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YSB260239</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输血输液加温仪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76462316"/>
      <w:bookmarkStart w:id="2" w:name="_Toc27110"/>
      <w:bookmarkStart w:id="3" w:name="_Toc12789052"/>
      <w:bookmarkStart w:id="4" w:name="_Toc10603087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输血输液加温仪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3893526"/>
      <w:bookmarkStart w:id="7" w:name="_Toc106030871"/>
      <w:bookmarkStart w:id="8" w:name="_Toc13094"/>
      <w:bookmarkStart w:id="9" w:name="_Toc3856"/>
      <w:bookmarkStart w:id="10" w:name="_Toc317775175"/>
      <w:bookmarkStart w:id="11" w:name="_Toc76462317"/>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YSB260239</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输血输液加温仪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20</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27954"/>
      <w:bookmarkStart w:id="22" w:name="_Toc106030874"/>
      <w:bookmarkStart w:id="23" w:name="_Toc76462320"/>
      <w:bookmarkStart w:id="24" w:name="_Toc918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2841"/>
      <w:bookmarkStart w:id="26" w:name="_Toc521053053"/>
      <w:bookmarkStart w:id="27" w:name="_Toc6178"/>
      <w:bookmarkStart w:id="28" w:name="_Toc26664"/>
      <w:bookmarkStart w:id="29" w:name="_Toc11956"/>
      <w:bookmarkStart w:id="30" w:name="_Toc525047161"/>
      <w:bookmarkStart w:id="31" w:name="_Toc65660334"/>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fldChar w:fldCharType="begin"/>
      </w:r>
      <w:r>
        <w:rPr>
          <w:rFonts w:hint="eastAsia" w:ascii="微软雅黑" w:hAnsi="微软雅黑" w:eastAsia="微软雅黑" w:cs="微软雅黑"/>
          <w:kern w:val="2"/>
          <w:sz w:val="24"/>
          <w:szCs w:val="24"/>
          <w:lang w:val="en-US" w:eastAsia="zh-CN" w:bidi="ar-SA"/>
        </w:rPr>
        <w:instrText xml:space="preserve"> HYPERLINK "mailto:2.中标人的保证金，将在与我院完成签订本项目合同并提交采购管理处办公室（将合同扫描文件发送至zbb63632469@qq.com）之后60个工作日内，无息退还至项目报名时所填写的投标单位对公账户。" </w:instrText>
      </w:r>
      <w:r>
        <w:rPr>
          <w:rFonts w:hint="eastAsia" w:ascii="微软雅黑" w:hAnsi="微软雅黑" w:eastAsia="微软雅黑" w:cs="微软雅黑"/>
          <w:kern w:val="2"/>
          <w:sz w:val="24"/>
          <w:szCs w:val="24"/>
          <w:lang w:val="en-US" w:eastAsia="zh-CN" w:bidi="ar-SA"/>
        </w:rPr>
        <w:fldChar w:fldCharType="separate"/>
      </w:r>
      <w:r>
        <w:rPr>
          <w:rFonts w:hint="eastAsia" w:ascii="微软雅黑" w:hAnsi="微软雅黑" w:eastAsia="微软雅黑" w:cs="微软雅黑"/>
          <w:kern w:val="2"/>
          <w:sz w:val="24"/>
          <w:szCs w:val="24"/>
          <w:lang w:val="en-US" w:eastAsia="zh-CN" w:bidi="ar-SA"/>
        </w:rPr>
        <w:t>2.中标人的保证金，将在与我院完成签订本项目合同并提交采购管理处办公室（将合同扫描文件发送至zbb63632469@qq.com）之后60个工作日内，无息退还至项目报名时所填写的投标单位对公账户。</w:t>
      </w:r>
      <w:r>
        <w:rPr>
          <w:rFonts w:hint="eastAsia" w:ascii="微软雅黑" w:hAnsi="微软雅黑" w:eastAsia="微软雅黑" w:cs="微软雅黑"/>
          <w:kern w:val="2"/>
          <w:sz w:val="24"/>
          <w:szCs w:val="24"/>
          <w:lang w:val="en-US" w:eastAsia="zh-CN" w:bidi="ar-SA"/>
        </w:rPr>
        <w:fldChar w:fldCharType="end"/>
      </w:r>
    </w:p>
    <w:p>
      <w:pPr>
        <w:pStyle w:val="2"/>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（三）投标人有下列情形之一的，采购人应当不退还投标保证金：</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1.投标人在投标过程中弄虚作假，提供虚假材料的；</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2.中标人无正当理由不与采购人签订合同的；</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3.中标人将中标项目转让给他人或者在响应文件中未说明且未经采购人同意，将中标项目分包给他人的；</w:t>
      </w:r>
    </w:p>
    <w:p>
      <w:pPr>
        <w:pStyle w:val="2"/>
        <w:ind w:firstLine="480" w:firstLineChars="200"/>
        <w:rPr>
          <w:rFonts w:hint="eastAsia"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4.中标人拒绝履行合同义务的；</w:t>
      </w:r>
    </w:p>
    <w:p>
      <w:pPr>
        <w:pStyle w:val="2"/>
        <w:ind w:firstLine="480" w:firstLineChars="200"/>
        <w:rPr>
          <w:rFonts w:hint="eastAsia" w:ascii="微软雅黑" w:hAnsi="微软雅黑" w:eastAsia="微软雅黑" w:cs="微软雅黑"/>
          <w:kern w:val="2"/>
          <w:sz w:val="24"/>
          <w:szCs w:val="24"/>
          <w:lang w:val="en-US" w:eastAsia="zh-CN" w:bidi="ar-SA"/>
        </w:rPr>
      </w:pPr>
      <w:bookmarkStart w:id="189" w:name="_GoBack"/>
      <w:bookmarkEnd w:id="189"/>
      <w:r>
        <w:rPr>
          <w:rFonts w:hint="eastAsia" w:ascii="微软雅黑" w:hAnsi="微软雅黑" w:eastAsia="微软雅黑" w:cs="微软雅黑"/>
          <w:kern w:val="2"/>
          <w:sz w:val="24"/>
          <w:szCs w:val="24"/>
          <w:lang w:val="en-US" w:eastAsia="zh-CN" w:bidi="ar-SA"/>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2945"/>
      <w:bookmarkStart w:id="35" w:name="_Toc106034626"/>
      <w:bookmarkStart w:id="36" w:name="_Toc521053054"/>
      <w:bookmarkStart w:id="37" w:name="_Toc65660335"/>
      <w:bookmarkStart w:id="38" w:name="_Toc525047162"/>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106034627"/>
      <w:bookmarkStart w:id="43" w:name="_Toc521053055"/>
      <w:bookmarkStart w:id="44" w:name="_Toc6563"/>
      <w:bookmarkStart w:id="45" w:name="_Toc65660336"/>
      <w:bookmarkStart w:id="46" w:name="_Toc16269"/>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733"/>
      <w:bookmarkStart w:id="48" w:name="_Toc106034628"/>
      <w:bookmarkStart w:id="49" w:name="_Toc521053056"/>
      <w:bookmarkStart w:id="50" w:name="_Toc525047164"/>
      <w:bookmarkStart w:id="51" w:name="_Toc24901"/>
      <w:bookmarkStart w:id="52" w:name="_Toc21079"/>
      <w:bookmarkStart w:id="53" w:name="_Toc10415"/>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5461"/>
      <w:bookmarkStart w:id="56" w:name="_Toc8649"/>
      <w:bookmarkStart w:id="57" w:name="_Toc1492"/>
      <w:bookmarkStart w:id="58" w:name="_Toc12959"/>
      <w:bookmarkStart w:id="59" w:name="_Toc23143"/>
      <w:bookmarkStart w:id="60" w:name="_Toc11017"/>
      <w:bookmarkStart w:id="61" w:name="_Toc2422"/>
      <w:bookmarkStart w:id="62" w:name="_Toc2070"/>
      <w:bookmarkStart w:id="63" w:name="_Toc75793504"/>
      <w:bookmarkStart w:id="64" w:name="_Toc25639"/>
      <w:bookmarkStart w:id="65" w:name="_Toc725"/>
      <w:bookmarkStart w:id="66" w:name="_Toc1625"/>
      <w:bookmarkStart w:id="67" w:name="_Toc32686"/>
      <w:bookmarkStart w:id="68" w:name="_Toc26176"/>
      <w:bookmarkStart w:id="69" w:name="_Toc19886"/>
      <w:bookmarkStart w:id="70" w:name="_Toc22327"/>
      <w:bookmarkStart w:id="71" w:name="_Toc106030380"/>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7027"/>
      <w:bookmarkStart w:id="74" w:name="_Toc22910"/>
      <w:bookmarkStart w:id="75" w:name="_Toc11703"/>
      <w:bookmarkStart w:id="76" w:name="_Toc9261"/>
      <w:bookmarkStart w:id="77" w:name="_Toc106030381"/>
      <w:bookmarkStart w:id="78" w:name="_Toc23504"/>
      <w:bookmarkStart w:id="79" w:name="_Toc19238"/>
      <w:bookmarkStart w:id="80" w:name="_Toc8370"/>
      <w:bookmarkStart w:id="81" w:name="_Toc4913"/>
      <w:bookmarkStart w:id="82" w:name="_Toc4531"/>
      <w:bookmarkStart w:id="83" w:name="_Toc29985"/>
      <w:bookmarkStart w:id="84" w:name="_Toc4519"/>
      <w:bookmarkStart w:id="85" w:name="_Toc20979"/>
      <w:bookmarkStart w:id="86" w:name="_Toc75793505"/>
      <w:bookmarkStart w:id="87" w:name="_Toc23656"/>
      <w:bookmarkStart w:id="88" w:name="_Toc1443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输血输液加温仪</w:t>
            </w:r>
          </w:p>
        </w:tc>
        <w:tc>
          <w:tcPr>
            <w:tcW w:w="1462"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10台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5696"/>
      <w:bookmarkStart w:id="90" w:name="_Toc28205"/>
      <w:bookmarkStart w:id="91" w:name="_Toc18903"/>
      <w:bookmarkStart w:id="92" w:name="_Toc18800"/>
      <w:bookmarkStart w:id="93" w:name="_Toc12568"/>
      <w:bookmarkStart w:id="94" w:name="_Toc23975"/>
      <w:bookmarkStart w:id="95" w:name="_Toc7792"/>
      <w:bookmarkStart w:id="96" w:name="_Toc18675"/>
      <w:bookmarkStart w:id="97" w:name="_Toc26453"/>
      <w:bookmarkStart w:id="98" w:name="_Toc10143"/>
      <w:bookmarkStart w:id="99" w:name="_Toc27067"/>
      <w:bookmarkStart w:id="100" w:name="_Toc32262"/>
      <w:bookmarkStart w:id="101" w:name="_Toc75793506"/>
      <w:bookmarkStart w:id="102" w:name="_Toc695"/>
      <w:bookmarkStart w:id="103" w:name="_Toc106030382"/>
      <w:bookmarkStart w:id="104" w:name="_Toc21817"/>
      <w:bookmarkStart w:id="105" w:name="_Toc5751"/>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default" w:ascii="微软雅黑" w:hAnsi="微软雅黑" w:eastAsia="微软雅黑" w:cs="微软雅黑"/>
          <w:sz w:val="24"/>
          <w:szCs w:val="24"/>
          <w:lang w:val="en-US" w:eastAsia="zh-CN"/>
        </w:rPr>
      </w:pPr>
      <w:bookmarkStart w:id="106" w:name="_Toc7791"/>
      <w:bookmarkStart w:id="107" w:name="_Toc76462327"/>
      <w:bookmarkStart w:id="108" w:name="_Toc12473"/>
      <w:bookmarkStart w:id="109" w:name="_Toc106030882"/>
      <w:r>
        <w:rPr>
          <w:rFonts w:hint="default"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双通道输血输液加温仪（单台限价：2万元）</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1.外形尺寸:长≤270mm，宽≤160mm，高≤130mm</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2.主机结构：一体化支架提手，方便移动仪器和固定加热管。</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3.通道独立控温：双通道互不干扰，可设置不同温度，可独立或协同工作。</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4.温度可调范围：33℃-43℃，连续可调，1.0℃步进，控温精度为±1.0℃</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5.导热通道：适用临床常规使用的一次性输液器和输血器。</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6.显示屏：配置高亮度彩色显示屏，可同时显示两个通道的设定温度、实时温度、加温时间。</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7.屏幕监测数据至少包括：加热时间，设定温度，当前温度，故障信息。</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8.高温报警：超过44℃系统声光报警并自动停止加热。</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9.低温提示：运行5分钟，通道低于32℃。低温提示出现时，机器继续运行，无报警声，界面显示“运行中低温”。</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10.故障报警和故障提示：高温报警、传感器故障报警、加温器件故障报警、低温提示。</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11.预热时间：从20℃-38℃小于2分钟。</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12.设备组成：主机、加热条、固定装置组成，设备有悬挂钩或把手一类，可悬挂于输液架上，不仅仅可固定在输液架上。</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13.重量：≤1.5kg。</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default" w:ascii="微软雅黑" w:hAnsi="微软雅黑" w:eastAsia="微软雅黑" w:cs="微软雅黑"/>
          <w:sz w:val="24"/>
          <w:szCs w:val="24"/>
          <w:lang w:val="en-US" w:eastAsia="zh-CN"/>
        </w:rPr>
        <w:t>14.正常工作条件：环境温度 +10°C－ +40°C；相对湿度：30%－80%；大气压力：700hPa－1060hPa</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宋体" w:hAnsi="宋体" w:cs="宋体"/>
          <w:lang w:val="en-US" w:eastAsia="zh-CN"/>
        </w:rPr>
      </w:pPr>
      <w:r>
        <w:rPr>
          <w:rFonts w:hint="eastAsia" w:ascii="微软雅黑" w:hAnsi="微软雅黑" w:eastAsia="微软雅黑" w:cs="微软雅黑"/>
          <w:sz w:val="24"/>
          <w:szCs w:val="24"/>
          <w:lang w:eastAsia="zh-CN"/>
        </w:rPr>
        <w:t>以上参数要求请提供相应官网截图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宋体" w:hAnsi="宋体" w:cs="宋体"/>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交货期：定标后30个日历日内将设备运到采购人指定交货地点。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1.质保期：不低于2年；质保期内免费维修维保，免费更换所有需要的配件，质保期外免费维修，采购人只支付维修设备配件等费用，不得支付维修产生的差旅费等费用。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3.不能解决故障则应48小时内提供备用机或解决方案。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一年不低于4次定期维护保养，</w:t>
            </w:r>
            <w:r>
              <w:rPr>
                <w:rFonts w:hint="eastAsia" w:ascii="微软雅黑" w:hAnsi="微软雅黑" w:eastAsia="微软雅黑" w:cs="微软雅黑"/>
                <w:color w:val="auto"/>
                <w:kern w:val="2"/>
                <w:sz w:val="21"/>
                <w:szCs w:val="21"/>
                <w:lang w:val="en-US" w:eastAsia="zh-CN" w:bidi="ar-SA"/>
              </w:rPr>
              <w:t>有故障情况发生，终身免费上门维修</w:t>
            </w:r>
            <w:r>
              <w:rPr>
                <w:rFonts w:hint="eastAsia" w:ascii="微软雅黑" w:hAnsi="微软雅黑" w:eastAsia="微软雅黑" w:cs="微软雅黑"/>
                <w:color w:val="auto"/>
                <w:kern w:val="2"/>
                <w:sz w:val="21"/>
                <w:szCs w:val="21"/>
                <w:lang w:val="de-DE" w:eastAsia="zh-CN" w:bidi="ar-SA"/>
              </w:rPr>
              <w:t>。</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7.</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按采购合同交货并安装调试完成，经验收合格后采购人出具项目验收报告；</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106030887"/>
      <w:bookmarkStart w:id="111" w:name="_Toc76462332"/>
      <w:bookmarkStart w:id="112"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76462333"/>
      <w:bookmarkStart w:id="115" w:name="_Toc106030888"/>
      <w:bookmarkStart w:id="116" w:name="_Toc26127"/>
      <w:bookmarkStart w:id="117" w:name="_Toc14958"/>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24315"/>
      <w:bookmarkStart w:id="120" w:name="_Toc30944"/>
      <w:bookmarkStart w:id="121" w:name="_Toc76462334"/>
      <w:bookmarkStart w:id="122" w:name="_Toc106030889"/>
      <w:bookmarkStart w:id="123" w:name="_Toc342913394"/>
      <w:bookmarkStart w:id="124" w:name="_Toc102227320"/>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106030890"/>
      <w:bookmarkStart w:id="126" w:name="_Toc31497"/>
      <w:bookmarkStart w:id="127"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06030891"/>
      <w:bookmarkStart w:id="130" w:name="_Toc10687"/>
      <w:bookmarkStart w:id="131" w:name="_Toc76462336"/>
      <w:bookmarkStart w:id="132" w:name="_Toc12222"/>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2227313"/>
      <w:bookmarkStart w:id="134" w:name="_Toc13119"/>
      <w:bookmarkStart w:id="135" w:name="_Toc106030892"/>
      <w:bookmarkStart w:id="136" w:name="_Toc29948"/>
      <w:bookmarkStart w:id="137" w:name="_Toc76462337"/>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106030893"/>
      <w:bookmarkStart w:id="139" w:name="_Toc76462338"/>
      <w:bookmarkStart w:id="140" w:name="_Toc26717"/>
      <w:bookmarkStart w:id="141" w:name="_Toc20271"/>
      <w:bookmarkStart w:id="142" w:name="_Toc342913389"/>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06030894"/>
      <w:bookmarkStart w:id="144" w:name="_Toc27891"/>
      <w:bookmarkStart w:id="145" w:name="_Toc342913391"/>
      <w:bookmarkStart w:id="146" w:name="_Toc15712"/>
      <w:bookmarkStart w:id="147" w:name="_Toc76462339"/>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66429"/>
      <w:bookmarkStart w:id="149" w:name="_Toc318159780"/>
      <w:bookmarkStart w:id="150" w:name="_Toc318159349"/>
      <w:bookmarkStart w:id="151" w:name="_Toc318159160"/>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79714297"/>
      <w:bookmarkStart w:id="153" w:name="_Toc76462340"/>
      <w:bookmarkStart w:id="154" w:name="_Toc342913392"/>
      <w:bookmarkStart w:id="155" w:name="_Toc106030895"/>
      <w:bookmarkStart w:id="156" w:name="_Toc102227318"/>
      <w:bookmarkStart w:id="157" w:name="_Toc20510"/>
      <w:bookmarkStart w:id="158" w:name="_Toc26007"/>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76462341"/>
      <w:bookmarkStart w:id="160" w:name="_Toc6435"/>
      <w:bookmarkStart w:id="161" w:name="_Toc106030896"/>
      <w:bookmarkStart w:id="162"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2729"/>
      <w:bookmarkStart w:id="164" w:name="_Toc102227321"/>
      <w:bookmarkStart w:id="165" w:name="_Toc76462342"/>
      <w:bookmarkStart w:id="166" w:name="_Toc21532"/>
      <w:bookmarkStart w:id="167" w:name="_Toc342913395"/>
      <w:bookmarkStart w:id="168" w:name="_Toc106030897"/>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21448"/>
      <w:bookmarkStart w:id="170" w:name="_Toc4796"/>
      <w:bookmarkStart w:id="171" w:name="_Toc76462343"/>
      <w:bookmarkStart w:id="172" w:name="_Toc10603089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28334"/>
      <w:bookmarkStart w:id="174" w:name="_Toc7646234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42913396"/>
      <w:bookmarkStart w:id="179" w:name="_Toc106030901"/>
      <w:bookmarkStart w:id="180" w:name="_Toc3372"/>
      <w:bookmarkStart w:id="181" w:name="_Toc76462346"/>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27984"/>
      <w:bookmarkStart w:id="186" w:name="_Toc21717"/>
      <w:bookmarkStart w:id="187" w:name="_Toc76462349"/>
      <w:bookmarkStart w:id="188" w:name="_Toc106030905"/>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2AF7"/>
    <w:rsid w:val="00FF748B"/>
    <w:rsid w:val="01031A07"/>
    <w:rsid w:val="026C7369"/>
    <w:rsid w:val="030620E3"/>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B9F0D6B"/>
    <w:rsid w:val="1EE0720C"/>
    <w:rsid w:val="1F0D01CA"/>
    <w:rsid w:val="1FB21338"/>
    <w:rsid w:val="21226BB2"/>
    <w:rsid w:val="21864056"/>
    <w:rsid w:val="222348FC"/>
    <w:rsid w:val="22F860AB"/>
    <w:rsid w:val="23DB3147"/>
    <w:rsid w:val="242C5890"/>
    <w:rsid w:val="2486441F"/>
    <w:rsid w:val="25013478"/>
    <w:rsid w:val="25A07F04"/>
    <w:rsid w:val="263535D3"/>
    <w:rsid w:val="26E678A2"/>
    <w:rsid w:val="28426BC2"/>
    <w:rsid w:val="2863744A"/>
    <w:rsid w:val="29601F8B"/>
    <w:rsid w:val="296F02CD"/>
    <w:rsid w:val="2AA01F44"/>
    <w:rsid w:val="2B712B53"/>
    <w:rsid w:val="2C43216E"/>
    <w:rsid w:val="2CD472B8"/>
    <w:rsid w:val="2DB02B6B"/>
    <w:rsid w:val="2E966F2B"/>
    <w:rsid w:val="2EB54030"/>
    <w:rsid w:val="2FD864EE"/>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CD0939"/>
    <w:rsid w:val="44F64ED7"/>
    <w:rsid w:val="452C7897"/>
    <w:rsid w:val="45D24AA7"/>
    <w:rsid w:val="46151D23"/>
    <w:rsid w:val="46BB1B1D"/>
    <w:rsid w:val="46D026EE"/>
    <w:rsid w:val="475E104C"/>
    <w:rsid w:val="47AA1B14"/>
    <w:rsid w:val="47DF47C8"/>
    <w:rsid w:val="47E44DA2"/>
    <w:rsid w:val="47F14C9F"/>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1853B78"/>
    <w:rsid w:val="521E4A24"/>
    <w:rsid w:val="52D92ACB"/>
    <w:rsid w:val="53B4776F"/>
    <w:rsid w:val="53DF1E3A"/>
    <w:rsid w:val="540F25CE"/>
    <w:rsid w:val="545B425C"/>
    <w:rsid w:val="558E730F"/>
    <w:rsid w:val="569163E9"/>
    <w:rsid w:val="573C43EC"/>
    <w:rsid w:val="57857077"/>
    <w:rsid w:val="58EA1C45"/>
    <w:rsid w:val="59A45271"/>
    <w:rsid w:val="59D52FEA"/>
    <w:rsid w:val="5CA67F0E"/>
    <w:rsid w:val="5DAD4E7C"/>
    <w:rsid w:val="5E16050E"/>
    <w:rsid w:val="5E3D2C1E"/>
    <w:rsid w:val="5EE04623"/>
    <w:rsid w:val="5F7C4D42"/>
    <w:rsid w:val="60346572"/>
    <w:rsid w:val="60CB5C8F"/>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1</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2026-07-21T01:52:04Z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