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p>
    <w:p>
      <w:pPr>
        <w:spacing w:line="1600" w:lineRule="exact"/>
        <w:jc w:val="center"/>
        <w:outlineLvl w:val="9"/>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lang w:eastAsia="zh-CN"/>
        </w:rPr>
      </w:pPr>
      <w:bookmarkStart w:id="0" w:name="_Toc1990"/>
      <w:r>
        <w:rPr>
          <w:rFonts w:hint="eastAsia" w:ascii="微软雅黑" w:hAnsi="微软雅黑" w:eastAsia="微软雅黑" w:cs="微软雅黑"/>
          <w:color w:val="auto"/>
          <w:sz w:val="130"/>
          <w:szCs w:val="130"/>
          <w:lang w:eastAsia="zh-CN"/>
        </w:rPr>
        <w:t>耗材遴选</w:t>
      </w:r>
      <w:bookmarkEnd w:id="0"/>
    </w:p>
    <w:p>
      <w:pPr>
        <w:spacing w:line="1600" w:lineRule="exact"/>
        <w:jc w:val="center"/>
        <w:outlineLvl w:val="0"/>
        <w:rPr>
          <w:rFonts w:hint="eastAsia" w:ascii="微软雅黑" w:hAnsi="微软雅黑" w:eastAsia="微软雅黑" w:cs="微软雅黑"/>
          <w:color w:val="auto"/>
          <w:sz w:val="130"/>
          <w:szCs w:val="130"/>
        </w:rPr>
      </w:pPr>
      <w:bookmarkStart w:id="1" w:name="_Toc12211"/>
      <w:r>
        <w:rPr>
          <w:rFonts w:hint="eastAsia" w:ascii="微软雅黑" w:hAnsi="微软雅黑" w:eastAsia="微软雅黑" w:cs="微软雅黑"/>
          <w:color w:val="auto"/>
          <w:sz w:val="130"/>
          <w:szCs w:val="130"/>
        </w:rPr>
        <w:t>采购文件</w:t>
      </w:r>
      <w:bookmarkEnd w:id="1"/>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bookmarkStart w:id="2" w:name="_Toc23762"/>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rPr>
        <w:t>YSB</w:t>
      </w:r>
      <w:r>
        <w:rPr>
          <w:rFonts w:hint="eastAsia" w:ascii="微软雅黑" w:hAnsi="微软雅黑" w:eastAsia="微软雅黑" w:cs="微软雅黑"/>
          <w:color w:val="auto"/>
          <w:sz w:val="36"/>
          <w:szCs w:val="36"/>
          <w:u w:val="single"/>
          <w:lang w:val="en-US" w:eastAsia="zh-CN"/>
        </w:rPr>
        <w:t>260</w:t>
      </w:r>
      <w:bookmarkEnd w:id="2"/>
      <w:r>
        <w:rPr>
          <w:rFonts w:hint="eastAsia" w:ascii="微软雅黑" w:hAnsi="微软雅黑" w:eastAsia="微软雅黑" w:cs="微软雅黑"/>
          <w:color w:val="auto"/>
          <w:sz w:val="36"/>
          <w:szCs w:val="36"/>
          <w:u w:val="single"/>
          <w:lang w:val="en-US" w:eastAsia="zh-CN"/>
        </w:rPr>
        <w:t>256</w:t>
      </w:r>
    </w:p>
    <w:p>
      <w:pPr>
        <w:spacing w:line="360" w:lineRule="auto"/>
        <w:ind w:firstLine="1800" w:firstLineChars="500"/>
        <w:outlineLvl w:val="0"/>
        <w:rPr>
          <w:rFonts w:hint="eastAsia" w:ascii="微软雅黑" w:hAnsi="微软雅黑" w:eastAsia="微软雅黑" w:cs="微软雅黑"/>
          <w:color w:val="auto"/>
          <w:sz w:val="36"/>
          <w:szCs w:val="36"/>
        </w:rPr>
      </w:pPr>
      <w:bookmarkStart w:id="3" w:name="_Toc2355"/>
      <w:r>
        <w:rPr>
          <w:rFonts w:hint="eastAsia" w:ascii="微软雅黑" w:hAnsi="微软雅黑" w:eastAsia="微软雅黑" w:cs="微软雅黑"/>
          <w:color w:val="auto"/>
          <w:sz w:val="36"/>
          <w:szCs w:val="36"/>
        </w:rPr>
        <w:t>项目名称：</w:t>
      </w:r>
      <w:bookmarkEnd w:id="3"/>
      <w:r>
        <w:rPr>
          <w:rFonts w:hint="eastAsia" w:ascii="微软雅黑" w:hAnsi="微软雅黑" w:eastAsia="微软雅黑" w:cs="微软雅黑"/>
          <w:color w:val="auto"/>
          <w:sz w:val="36"/>
          <w:szCs w:val="36"/>
          <w:u w:val="single"/>
        </w:rPr>
        <w:t>一次性使用吸痰管（</w:t>
      </w:r>
      <w:r>
        <w:rPr>
          <w:rFonts w:hint="eastAsia" w:ascii="微软雅黑" w:hAnsi="微软雅黑" w:eastAsia="微软雅黑" w:cs="微软雅黑"/>
          <w:color w:val="auto"/>
          <w:sz w:val="36"/>
          <w:szCs w:val="36"/>
          <w:u w:val="single"/>
          <w:lang w:val="en-US" w:eastAsia="zh-CN"/>
        </w:rPr>
        <w:t>刷头</w:t>
      </w:r>
      <w:r>
        <w:rPr>
          <w:rFonts w:hint="eastAsia" w:ascii="微软雅黑" w:hAnsi="微软雅黑" w:eastAsia="微软雅黑" w:cs="微软雅黑"/>
          <w:color w:val="auto"/>
          <w:sz w:val="36"/>
          <w:szCs w:val="36"/>
          <w:u w:val="single"/>
        </w:rPr>
        <w:t>型）</w:t>
      </w:r>
    </w:p>
    <w:p>
      <w:pPr>
        <w:pStyle w:val="2"/>
        <w:rPr>
          <w:rFonts w:hint="eastAsia"/>
          <w:color w:val="auto"/>
        </w:rPr>
      </w:pPr>
    </w:p>
    <w:p>
      <w:pPr>
        <w:rPr>
          <w:rFonts w:hint="eastAsia"/>
          <w:color w:val="auto"/>
        </w:rPr>
      </w:pPr>
    </w:p>
    <w:p>
      <w:pPr>
        <w:spacing w:line="500" w:lineRule="exact"/>
        <w:jc w:val="center"/>
        <w:outlineLvl w:val="9"/>
        <w:rPr>
          <w:rFonts w:hint="eastAsia" w:ascii="微软雅黑" w:hAnsi="微软雅黑" w:eastAsia="微软雅黑" w:cs="微软雅黑"/>
          <w:color w:val="auto"/>
          <w:sz w:val="36"/>
          <w:szCs w:val="36"/>
        </w:rPr>
      </w:pPr>
    </w:p>
    <w:p>
      <w:pPr>
        <w:spacing w:line="500" w:lineRule="exact"/>
        <w:jc w:val="center"/>
        <w:outlineLvl w:val="0"/>
        <w:rPr>
          <w:rFonts w:hint="eastAsia" w:ascii="微软雅黑" w:hAnsi="微软雅黑" w:eastAsia="微软雅黑" w:cs="微软雅黑"/>
          <w:color w:val="auto"/>
          <w:sz w:val="36"/>
          <w:szCs w:val="36"/>
        </w:rPr>
      </w:pPr>
      <w:bookmarkStart w:id="4" w:name="_Toc16773"/>
      <w:r>
        <w:rPr>
          <w:rFonts w:hint="eastAsia" w:ascii="微软雅黑" w:hAnsi="微软雅黑" w:eastAsia="微软雅黑" w:cs="微软雅黑"/>
          <w:color w:val="auto"/>
          <w:sz w:val="36"/>
          <w:szCs w:val="36"/>
        </w:rPr>
        <w:t>重庆医科大学附属儿童医院</w:t>
      </w:r>
      <w:bookmarkEnd w:id="4"/>
    </w:p>
    <w:p>
      <w:pPr>
        <w:spacing w:line="720" w:lineRule="exact"/>
        <w:jc w:val="center"/>
        <w:outlineLvl w:val="0"/>
        <w:rPr>
          <w:rFonts w:hint="eastAsia" w:ascii="微软雅黑" w:hAnsi="微软雅黑" w:eastAsia="微软雅黑" w:cs="微软雅黑"/>
          <w:color w:val="auto"/>
          <w:sz w:val="48"/>
          <w:szCs w:val="32"/>
        </w:rPr>
      </w:pPr>
      <w:bookmarkStart w:id="5" w:name="_Toc5665"/>
      <w:r>
        <w:rPr>
          <w:rFonts w:hint="eastAsia" w:ascii="微软雅黑" w:hAnsi="微软雅黑" w:eastAsia="微软雅黑" w:cs="微软雅黑"/>
          <w:color w:val="auto"/>
          <w:sz w:val="36"/>
          <w:szCs w:val="36"/>
        </w:rPr>
        <w:t>202</w:t>
      </w:r>
      <w:r>
        <w:rPr>
          <w:rFonts w:hint="eastAsia" w:ascii="微软雅黑" w:hAnsi="微软雅黑" w:eastAsia="微软雅黑" w:cs="微软雅黑"/>
          <w:color w:val="auto"/>
          <w:sz w:val="36"/>
          <w:szCs w:val="36"/>
          <w:lang w:val="en-US" w:eastAsia="zh-CN"/>
        </w:rPr>
        <w:t>6</w:t>
      </w:r>
      <w:r>
        <w:rPr>
          <w:rFonts w:hint="eastAsia" w:ascii="微软雅黑" w:hAnsi="微软雅黑" w:eastAsia="微软雅黑" w:cs="微软雅黑"/>
          <w:color w:val="auto"/>
          <w:sz w:val="36"/>
          <w:szCs w:val="36"/>
        </w:rPr>
        <w:t>年</w:t>
      </w:r>
      <w:r>
        <w:rPr>
          <w:rFonts w:hint="eastAsia" w:ascii="微软雅黑" w:hAnsi="微软雅黑" w:eastAsia="微软雅黑" w:cs="微软雅黑"/>
          <w:color w:val="auto"/>
          <w:sz w:val="36"/>
          <w:szCs w:val="36"/>
          <w:lang w:val="en-US" w:eastAsia="zh-CN"/>
        </w:rPr>
        <w:t>7</w:t>
      </w:r>
      <w:r>
        <w:rPr>
          <w:rFonts w:hint="eastAsia" w:ascii="微软雅黑" w:hAnsi="微软雅黑" w:eastAsia="微软雅黑" w:cs="微软雅黑"/>
          <w:color w:val="auto"/>
          <w:sz w:val="36"/>
          <w:szCs w:val="36"/>
        </w:rPr>
        <w:t>月</w:t>
      </w:r>
      <w:bookmarkEnd w:id="5"/>
    </w:p>
    <w:p>
      <w:pPr>
        <w:spacing w:line="720" w:lineRule="exact"/>
        <w:jc w:val="center"/>
        <w:outlineLvl w:val="9"/>
        <w:rPr>
          <w:rFonts w:hint="eastAsia" w:ascii="微软雅黑" w:hAnsi="微软雅黑" w:eastAsia="微软雅黑" w:cs="微软雅黑"/>
          <w:color w:val="auto"/>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44"/>
          <w:szCs w:val="28"/>
        </w:rPr>
      </w:pPr>
      <w:bookmarkStart w:id="6" w:name="_Toc15814"/>
      <w:r>
        <w:rPr>
          <w:rFonts w:hint="eastAsia" w:ascii="微软雅黑" w:hAnsi="微软雅黑" w:eastAsia="微软雅黑" w:cs="微软雅黑"/>
          <w:color w:val="auto"/>
          <w:sz w:val="44"/>
          <w:szCs w:val="28"/>
        </w:rPr>
        <w:t>目   录</w:t>
      </w:r>
      <w:bookmarkEnd w:id="6"/>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_Toc1968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_Toc3766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_Toc3766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_Toc5052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_Toc5052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_Toc14933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其他</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_Toc14933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_Toc9165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38"/>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_Toc7292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_Toc7292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_Toc30810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_Toc9075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耗材遴选采购程序及方法、评审标准、无效响应和采购终止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_Toc9075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_Toc29885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_Toc7442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_Toc7442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_Toc21416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_Toc21416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_Toc21652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_Toc21652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_Toc4805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_Toc4805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_Toc13154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四、中标人的确认和变更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_Toc15948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_Toc23339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_Toc23339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_Toc28846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_Toc28846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7" w:name="_Toc11641050"/>
      <w:bookmarkStart w:id="8" w:name="_Toc106030870"/>
      <w:bookmarkStart w:id="9" w:name="_Toc76462316"/>
      <w:bookmarkStart w:id="10" w:name="_Toc12789052"/>
      <w:bookmarkStart w:id="11" w:name="_Toc15319"/>
      <w:bookmarkStart w:id="12" w:name="_Toc24037"/>
      <w:bookmarkStart w:id="13" w:name="_Toc1968"/>
      <w:r>
        <w:rPr>
          <w:rFonts w:hint="eastAsia" w:ascii="微软雅黑" w:hAnsi="微软雅黑" w:eastAsia="微软雅黑" w:cs="微软雅黑"/>
          <w:color w:val="auto"/>
          <w:sz w:val="44"/>
        </w:rPr>
        <w:t>第一篇  采购邀请书</w:t>
      </w:r>
      <w:bookmarkEnd w:id="7"/>
      <w:bookmarkEnd w:id="8"/>
      <w:bookmarkEnd w:id="9"/>
      <w:bookmarkEnd w:id="10"/>
      <w:bookmarkEnd w:id="11"/>
      <w:bookmarkEnd w:id="12"/>
      <w:bookmarkEnd w:id="13"/>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一次性使用吸痰管（</w:t>
      </w:r>
      <w:r>
        <w:rPr>
          <w:rFonts w:hint="eastAsia" w:ascii="微软雅黑" w:hAnsi="微软雅黑" w:eastAsia="微软雅黑" w:cs="微软雅黑"/>
          <w:color w:val="auto"/>
          <w:sz w:val="24"/>
          <w:szCs w:val="24"/>
          <w:u w:val="single"/>
          <w:lang w:val="en-US" w:eastAsia="zh-CN"/>
        </w:rPr>
        <w:t>刷头</w:t>
      </w:r>
      <w:r>
        <w:rPr>
          <w:rFonts w:hint="eastAsia" w:ascii="微软雅黑" w:hAnsi="微软雅黑" w:eastAsia="微软雅黑" w:cs="微软雅黑"/>
          <w:color w:val="auto"/>
          <w:sz w:val="24"/>
          <w:szCs w:val="24"/>
          <w:u w:val="single"/>
        </w:rPr>
        <w:t>型）</w:t>
      </w:r>
      <w:r>
        <w:rPr>
          <w:rFonts w:hint="eastAsia" w:ascii="微软雅黑" w:hAnsi="微软雅黑" w:eastAsia="微软雅黑" w:cs="微软雅黑"/>
          <w:color w:val="auto"/>
          <w:sz w:val="24"/>
          <w:szCs w:val="24"/>
        </w:rPr>
        <w:t>项目进行</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color w:val="auto"/>
          <w:sz w:val="24"/>
        </w:rPr>
      </w:pPr>
      <w:bookmarkStart w:id="14" w:name="_Toc3856"/>
      <w:bookmarkStart w:id="15" w:name="_Toc3766"/>
      <w:bookmarkStart w:id="16" w:name="_Toc76462317"/>
      <w:bookmarkStart w:id="17" w:name="_Toc106030871"/>
      <w:bookmarkStart w:id="18" w:name="_Toc313893526"/>
      <w:bookmarkStart w:id="19" w:name="_Toc29268"/>
      <w:bookmarkStart w:id="20" w:name="_Toc317775175"/>
      <w:r>
        <w:rPr>
          <w:rFonts w:hint="eastAsia" w:ascii="微软雅黑" w:hAnsi="微软雅黑" w:eastAsia="微软雅黑" w:cs="微软雅黑"/>
          <w:color w:val="auto"/>
          <w:sz w:val="24"/>
          <w:lang w:eastAsia="zh-CN"/>
        </w:rPr>
        <w:t>耗材遴选</w:t>
      </w:r>
      <w:r>
        <w:rPr>
          <w:rFonts w:hint="eastAsia" w:ascii="微软雅黑" w:hAnsi="微软雅黑" w:eastAsia="微软雅黑" w:cs="微软雅黑"/>
          <w:color w:val="auto"/>
          <w:sz w:val="24"/>
        </w:rPr>
        <w:t>采购内容</w:t>
      </w:r>
      <w:bookmarkEnd w:id="14"/>
      <w:bookmarkEnd w:id="15"/>
      <w:bookmarkEnd w:id="16"/>
      <w:bookmarkEnd w:id="17"/>
      <w:bookmarkEnd w:id="18"/>
      <w:bookmarkEnd w:id="19"/>
      <w:bookmarkEnd w:id="20"/>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70"/>
        <w:gridCol w:w="1427"/>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21" w:name="_Toc106030872"/>
            <w:bookmarkStart w:id="22" w:name="_Toc76462318"/>
            <w:bookmarkStart w:id="23" w:name="_Toc373860293"/>
            <w:bookmarkStart w:id="24" w:name="_Toc317775178"/>
            <w:r>
              <w:rPr>
                <w:rFonts w:hint="eastAsia" w:ascii="微软雅黑" w:hAnsi="微软雅黑" w:eastAsia="微软雅黑" w:cs="微软雅黑"/>
                <w:b/>
                <w:bCs/>
                <w:color w:val="auto"/>
                <w:kern w:val="0"/>
                <w:sz w:val="21"/>
                <w:szCs w:val="24"/>
              </w:rPr>
              <w:t>项目编号</w:t>
            </w:r>
          </w:p>
        </w:tc>
        <w:tc>
          <w:tcPr>
            <w:tcW w:w="184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8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保证金</w:t>
            </w:r>
          </w:p>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YSB</w:t>
            </w:r>
            <w:r>
              <w:rPr>
                <w:rFonts w:hint="eastAsia" w:ascii="微软雅黑" w:hAnsi="微软雅黑" w:eastAsia="微软雅黑" w:cs="微软雅黑"/>
                <w:color w:val="auto"/>
                <w:sz w:val="21"/>
                <w:szCs w:val="21"/>
                <w:lang w:val="en-US" w:eastAsia="zh-CN"/>
              </w:rPr>
              <w:t>260256</w:t>
            </w:r>
          </w:p>
        </w:tc>
        <w:tc>
          <w:tcPr>
            <w:tcW w:w="184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一次性使用吸痰管（</w:t>
            </w:r>
            <w:r>
              <w:rPr>
                <w:rFonts w:hint="eastAsia" w:ascii="微软雅黑" w:hAnsi="微软雅黑" w:eastAsia="微软雅黑" w:cs="微软雅黑"/>
                <w:color w:val="auto"/>
                <w:sz w:val="21"/>
                <w:szCs w:val="21"/>
                <w:lang w:val="en-US" w:eastAsia="zh-CN"/>
              </w:rPr>
              <w:t>刷头</w:t>
            </w:r>
            <w:r>
              <w:rPr>
                <w:rFonts w:hint="eastAsia" w:ascii="微软雅黑" w:hAnsi="微软雅黑" w:eastAsia="微软雅黑" w:cs="微软雅黑"/>
                <w:color w:val="auto"/>
                <w:sz w:val="21"/>
                <w:szCs w:val="21"/>
              </w:rPr>
              <w:t>型）</w:t>
            </w:r>
          </w:p>
        </w:tc>
        <w:tc>
          <w:tcPr>
            <w:tcW w:w="88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5" w:name="_Toc9755"/>
      <w:bookmarkStart w:id="26" w:name="_Toc12454"/>
      <w:bookmarkStart w:id="27" w:name="_Toc19904"/>
      <w:r>
        <w:rPr>
          <w:rFonts w:hint="eastAsia" w:ascii="微软雅黑" w:hAnsi="微软雅黑" w:eastAsia="微软雅黑" w:cs="微软雅黑"/>
          <w:color w:val="auto"/>
          <w:sz w:val="24"/>
        </w:rPr>
        <w:t>二、</w:t>
      </w:r>
      <w:bookmarkEnd w:id="21"/>
      <w:bookmarkEnd w:id="22"/>
      <w:bookmarkEnd w:id="25"/>
      <w:bookmarkStart w:id="28" w:name="_Toc76462319"/>
      <w:bookmarkStart w:id="29" w:name="_Toc106030873"/>
      <w:bookmarkStart w:id="30" w:name="_Toc4480"/>
      <w:r>
        <w:rPr>
          <w:rFonts w:hint="eastAsia" w:ascii="微软雅黑" w:hAnsi="微软雅黑" w:eastAsia="微软雅黑" w:cs="微软雅黑"/>
          <w:color w:val="auto"/>
          <w:sz w:val="24"/>
        </w:rPr>
        <w:t>投标人资格条件</w:t>
      </w:r>
      <w:bookmarkEnd w:id="26"/>
      <w:bookmarkEnd w:id="27"/>
      <w:bookmarkEnd w:id="28"/>
      <w:bookmarkEnd w:id="29"/>
      <w:bookmarkEnd w:id="3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31" w:name="_Toc27954"/>
      <w:bookmarkStart w:id="32" w:name="_Toc76462320"/>
      <w:bookmarkStart w:id="33" w:name="_Toc10603087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投标人医疗器械经营许可证；</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所投产品属三类医疗器械的，须具备有效期内《医疗器械经营企业许可证》或《医疗器械经营许可证》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color w:val="auto"/>
          <w:sz w:val="24"/>
          <w:szCs w:val="24"/>
          <w:lang w:val="en-US" w:eastAsia="zh-CN"/>
        </w:rPr>
        <w:t>及产品备案证明</w:t>
      </w:r>
      <w:r>
        <w:rPr>
          <w:rFonts w:hint="eastAsia" w:ascii="微软雅黑" w:hAnsi="微软雅黑" w:eastAsia="微软雅黑" w:cs="微软雅黑"/>
          <w:color w:val="auto"/>
          <w:sz w:val="24"/>
          <w:szCs w:val="24"/>
        </w:rPr>
        <w:t>；</w:t>
      </w:r>
    </w:p>
    <w:p>
      <w:pPr>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8.投标人须提供投标产品的说明书。</w:t>
      </w:r>
    </w:p>
    <w:bookmarkEnd w:id="23"/>
    <w:bookmarkEnd w:id="31"/>
    <w:bookmarkEnd w:id="32"/>
    <w:bookmarkEnd w:id="33"/>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4" w:name="_Toc5052"/>
      <w:bookmarkStart w:id="35" w:name="_Toc19462"/>
      <w:bookmarkStart w:id="36" w:name="_Toc29069"/>
      <w:r>
        <w:rPr>
          <w:rFonts w:hint="eastAsia" w:ascii="微软雅黑" w:hAnsi="微软雅黑" w:eastAsia="微软雅黑" w:cs="微软雅黑"/>
          <w:color w:val="auto"/>
          <w:sz w:val="24"/>
        </w:rPr>
        <w:t>三、比选有关说明</w:t>
      </w:r>
      <w:bookmarkEnd w:id="34"/>
      <w:bookmarkEnd w:id="35"/>
      <w:bookmarkEnd w:id="36"/>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的投标人，请在重庆医科大学附属儿童医院电子招投标平台下载本项目</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7" w:name="_Toc6178"/>
      <w:bookmarkStart w:id="38" w:name="_Toc106034625"/>
      <w:bookmarkStart w:id="39" w:name="_Toc525047161"/>
      <w:bookmarkStart w:id="40" w:name="_Toc12841"/>
      <w:bookmarkStart w:id="41" w:name="_Toc1523"/>
      <w:bookmarkStart w:id="42" w:name="_Toc65660334"/>
      <w:bookmarkStart w:id="43" w:name="_Toc521053053"/>
      <w:bookmarkStart w:id="44" w:name="_Toc11956"/>
      <w:bookmarkStart w:id="45" w:name="_Toc14339"/>
      <w:r>
        <w:rPr>
          <w:rFonts w:hint="eastAsia" w:ascii="微软雅黑" w:hAnsi="微软雅黑" w:eastAsia="微软雅黑" w:cs="微软雅黑"/>
          <w:color w:val="auto"/>
          <w:sz w:val="24"/>
        </w:rPr>
        <w:t>四、保证金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w:t>
      </w:r>
      <w:r>
        <w:rPr>
          <w:rFonts w:hint="eastAsia" w:ascii="微软雅黑" w:hAnsi="微软雅黑" w:eastAsia="微软雅黑" w:cs="微软雅黑"/>
          <w:color w:val="auto"/>
          <w:sz w:val="24"/>
          <w:szCs w:val="24"/>
          <w:u w:val="single"/>
          <w:lang w:eastAsia="zh-CN"/>
        </w:rPr>
        <w:t>中标人</w:t>
      </w:r>
      <w:r>
        <w:rPr>
          <w:rFonts w:hint="eastAsia" w:ascii="微软雅黑" w:hAnsi="微软雅黑" w:eastAsia="微软雅黑" w:cs="微软雅黑"/>
          <w:color w:val="auto"/>
          <w:sz w:val="24"/>
          <w:szCs w:val="24"/>
          <w:u w:val="single"/>
        </w:rPr>
        <w:t>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2.</w:t>
      </w:r>
      <w:r>
        <w:rPr>
          <w:rFonts w:hint="eastAsia" w:ascii="微软雅黑" w:hAnsi="微软雅黑" w:eastAsia="微软雅黑" w:cs="微软雅黑"/>
          <w:color w:val="auto"/>
          <w:sz w:val="24"/>
          <w:szCs w:val="24"/>
          <w:u w:val="single"/>
          <w:lang w:eastAsia="zh-CN"/>
        </w:rPr>
        <w:t>中标人</w:t>
      </w:r>
      <w:r>
        <w:rPr>
          <w:rFonts w:hint="eastAsia" w:ascii="微软雅黑" w:hAnsi="微软雅黑" w:eastAsia="微软雅黑" w:cs="微软雅黑"/>
          <w:color w:val="auto"/>
          <w:sz w:val="24"/>
          <w:szCs w:val="24"/>
          <w:u w:val="single"/>
        </w:rPr>
        <w:t>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6" w:name="_Toc106034626"/>
      <w:bookmarkStart w:id="47" w:name="_Toc65660335"/>
      <w:bookmarkStart w:id="48" w:name="_Toc4355"/>
      <w:bookmarkStart w:id="49" w:name="_Toc1546"/>
      <w:bookmarkStart w:id="50" w:name="_Toc525047162"/>
      <w:bookmarkStart w:id="51" w:name="_Toc2344"/>
      <w:bookmarkStart w:id="52" w:name="_Toc2945"/>
      <w:bookmarkStart w:id="53" w:name="_Toc521053054"/>
      <w:bookmarkStart w:id="54" w:name="_Toc14933"/>
      <w:bookmarkStart w:id="55" w:name="_Toc13906"/>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rPr>
        <w:t>、</w:t>
      </w:r>
      <w:bookmarkEnd w:id="46"/>
      <w:bookmarkEnd w:id="47"/>
      <w:bookmarkEnd w:id="48"/>
      <w:bookmarkEnd w:id="49"/>
      <w:bookmarkEnd w:id="50"/>
      <w:bookmarkEnd w:id="51"/>
      <w:bookmarkEnd w:id="52"/>
      <w:bookmarkEnd w:id="53"/>
      <w:r>
        <w:rPr>
          <w:rFonts w:hint="eastAsia" w:ascii="微软雅黑" w:hAnsi="微软雅黑" w:eastAsia="微软雅黑" w:cs="微软雅黑"/>
          <w:color w:val="auto"/>
          <w:sz w:val="24"/>
          <w:lang w:eastAsia="zh-CN"/>
        </w:rPr>
        <w:t>其他</w:t>
      </w:r>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文件有任何实质性疑问，应当以书面形式向招标方提出质疑，并须将该质疑文件纸质版（须加盖提出质疑单位的公章确认）在投标截止时间前送达重庆医科大学附属儿童医院采购管理处，否则即视为完全放弃对本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文件的全部内容。如发现缺页或附件不全，应及时提出，以便补齐。如有疑问，请在投标截止日前向招标单位提出，超过此时限规定，招标单位不再受理对于</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56" w:name="_Toc24901"/>
      <w:bookmarkStart w:id="57" w:name="_Toc9165"/>
      <w:bookmarkStart w:id="58" w:name="_Toc521053056"/>
      <w:bookmarkStart w:id="59" w:name="_Toc10415"/>
      <w:bookmarkStart w:id="60" w:name="_Toc20610"/>
      <w:bookmarkStart w:id="61" w:name="_Toc29391"/>
      <w:bookmarkStart w:id="62" w:name="_Toc106034628"/>
      <w:bookmarkStart w:id="63" w:name="_Toc1733"/>
      <w:bookmarkStart w:id="64" w:name="_Toc525047164"/>
      <w:bookmarkStart w:id="65" w:name="_Toc65660337"/>
      <w:r>
        <w:rPr>
          <w:rFonts w:hint="eastAsia" w:ascii="微软雅黑" w:hAnsi="微软雅黑" w:eastAsia="微软雅黑" w:cs="微软雅黑"/>
          <w:color w:val="auto"/>
          <w:sz w:val="24"/>
        </w:rPr>
        <w:t>六、联系方式</w:t>
      </w:r>
      <w:bookmarkEnd w:id="56"/>
      <w:bookmarkEnd w:id="57"/>
      <w:bookmarkEnd w:id="58"/>
      <w:bookmarkEnd w:id="59"/>
      <w:bookmarkEnd w:id="60"/>
      <w:bookmarkEnd w:id="61"/>
      <w:bookmarkEnd w:id="62"/>
      <w:bookmarkEnd w:id="63"/>
      <w:bookmarkEnd w:id="64"/>
      <w:bookmarkEnd w:id="6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24"/>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color w:val="auto"/>
          <w:sz w:val="24"/>
          <w:szCs w:val="24"/>
        </w:rPr>
      </w:pPr>
      <w:bookmarkStart w:id="66" w:name="_Toc12789058"/>
    </w:p>
    <w:p>
      <w:pPr>
        <w:pStyle w:val="3"/>
        <w:tabs>
          <w:tab w:val="left" w:pos="3360"/>
        </w:tabs>
        <w:spacing w:line="360" w:lineRule="auto"/>
        <w:jc w:val="center"/>
        <w:rPr>
          <w:rFonts w:hint="eastAsia" w:ascii="微软雅黑" w:hAnsi="微软雅黑" w:eastAsia="微软雅黑" w:cs="微软雅黑"/>
          <w:b/>
          <w:color w:val="auto"/>
          <w:sz w:val="44"/>
        </w:rPr>
      </w:pPr>
      <w:bookmarkStart w:id="67" w:name="_Toc1492"/>
      <w:bookmarkStart w:id="68" w:name="_Toc12959"/>
      <w:bookmarkStart w:id="69" w:name="_Toc8649"/>
      <w:bookmarkStart w:id="70" w:name="_Toc1625"/>
      <w:bookmarkStart w:id="71" w:name="_Toc23143"/>
      <w:bookmarkStart w:id="72" w:name="_Toc2422"/>
      <w:bookmarkStart w:id="73" w:name="_Toc19886"/>
      <w:bookmarkStart w:id="74" w:name="_Toc11017"/>
      <w:bookmarkStart w:id="75" w:name="_Toc75793504"/>
      <w:bookmarkStart w:id="76" w:name="_Toc2070"/>
      <w:bookmarkStart w:id="77" w:name="_Toc725"/>
      <w:bookmarkStart w:id="78" w:name="_Toc25639"/>
      <w:bookmarkStart w:id="79" w:name="_Toc5461"/>
      <w:bookmarkStart w:id="80" w:name="_Toc26176"/>
      <w:bookmarkStart w:id="81" w:name="_Toc32686"/>
      <w:bookmarkStart w:id="82" w:name="_Toc7292"/>
      <w:bookmarkStart w:id="83" w:name="_Toc106030380"/>
      <w:bookmarkStart w:id="84" w:name="_Toc28363"/>
      <w:r>
        <w:rPr>
          <w:rFonts w:hint="eastAsia" w:ascii="微软雅黑" w:hAnsi="微软雅黑" w:eastAsia="微软雅黑" w:cs="微软雅黑"/>
          <w:b/>
          <w:color w:val="auto"/>
          <w:sz w:val="44"/>
        </w:rPr>
        <w:t xml:space="preserve">第二篇 </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Pr>
          <w:rFonts w:hint="eastAsia" w:ascii="微软雅黑" w:hAnsi="微软雅黑" w:eastAsia="微软雅黑" w:cs="微软雅黑"/>
          <w:b/>
          <w:color w:val="auto"/>
          <w:sz w:val="44"/>
        </w:rPr>
        <w:t>项目技术（质量）需求</w:t>
      </w:r>
      <w:bookmarkEnd w:id="82"/>
      <w:bookmarkEnd w:id="83"/>
      <w:bookmarkEnd w:id="84"/>
    </w:p>
    <w:p>
      <w:pPr>
        <w:ind w:firstLine="480" w:firstLineChars="200"/>
        <w:rPr>
          <w:rFonts w:hint="eastAsia" w:ascii="微软雅黑" w:hAnsi="微软雅黑" w:eastAsia="微软雅黑" w:cs="微软雅黑"/>
          <w:b/>
          <w:bCs/>
          <w:color w:val="auto"/>
          <w:sz w:val="24"/>
          <w:szCs w:val="24"/>
        </w:rPr>
      </w:pPr>
      <w:bookmarkStart w:id="85" w:name="_Toc75793505"/>
      <w:bookmarkStart w:id="86" w:name="_Toc23504"/>
      <w:bookmarkStart w:id="87" w:name="_Toc11703"/>
      <w:bookmarkStart w:id="88" w:name="_Toc8370"/>
      <w:bookmarkStart w:id="89" w:name="_Toc29985"/>
      <w:bookmarkStart w:id="90" w:name="_Toc9261"/>
      <w:bookmarkStart w:id="91" w:name="_Toc22910"/>
      <w:bookmarkStart w:id="92" w:name="_Toc4913"/>
      <w:bookmarkStart w:id="93" w:name="_Toc106030381"/>
      <w:bookmarkStart w:id="94" w:name="_Toc19238"/>
      <w:bookmarkStart w:id="95" w:name="_Toc20979"/>
      <w:bookmarkStart w:id="96" w:name="_Toc23656"/>
      <w:bookmarkStart w:id="97" w:name="_Toc7027"/>
      <w:bookmarkStart w:id="98" w:name="_Toc4519"/>
      <w:bookmarkStart w:id="99" w:name="_Toc4531"/>
      <w:r>
        <w:rPr>
          <w:rFonts w:hint="eastAsia" w:ascii="微软雅黑" w:hAnsi="微软雅黑" w:eastAsia="微软雅黑" w:cs="微软雅黑"/>
          <w:b/>
          <w:bCs/>
          <w:color w:val="auto"/>
          <w:sz w:val="24"/>
          <w:szCs w:val="24"/>
        </w:rPr>
        <w:t>一、项目一览表</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964"/>
        <w:gridCol w:w="141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496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15"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275" w:type="dxa"/>
            <w:vAlign w:val="center"/>
          </w:tcPr>
          <w:p>
            <w:pPr>
              <w:jc w:val="center"/>
              <w:rPr>
                <w:rFonts w:hint="eastAsia" w:ascii="微软雅黑" w:hAnsi="微软雅黑" w:eastAsia="微软雅黑" w:cs="微软雅黑"/>
                <w:b/>
                <w:color w:val="auto"/>
                <w:sz w:val="24"/>
                <w:szCs w:val="24"/>
                <w:lang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color w:val="auto"/>
                <w:sz w:val="24"/>
                <w:szCs w:val="24"/>
              </w:rPr>
            </w:pPr>
            <w:bookmarkStart w:id="100" w:name="_Toc2264"/>
            <w:r>
              <w:rPr>
                <w:rFonts w:hint="eastAsia" w:ascii="微软雅黑" w:hAnsi="微软雅黑" w:eastAsia="微软雅黑" w:cs="微软雅黑"/>
                <w:color w:val="auto"/>
                <w:sz w:val="24"/>
                <w:szCs w:val="24"/>
              </w:rPr>
              <w:t>1</w:t>
            </w:r>
            <w:bookmarkEnd w:id="100"/>
          </w:p>
        </w:tc>
        <w:tc>
          <w:tcPr>
            <w:tcW w:w="4964" w:type="dxa"/>
            <w:vAlign w:val="center"/>
          </w:tcPr>
          <w:p>
            <w:pPr>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一次性使用吸痰管（</w:t>
            </w:r>
            <w:r>
              <w:rPr>
                <w:rFonts w:hint="eastAsia" w:ascii="微软雅黑" w:hAnsi="微软雅黑" w:eastAsia="微软雅黑" w:cs="微软雅黑"/>
                <w:color w:val="auto"/>
                <w:sz w:val="24"/>
                <w:szCs w:val="24"/>
                <w:lang w:val="en-US" w:eastAsia="zh-CN"/>
              </w:rPr>
              <w:t>刷头</w:t>
            </w:r>
            <w:r>
              <w:rPr>
                <w:rFonts w:hint="eastAsia" w:ascii="微软雅黑" w:hAnsi="微软雅黑" w:eastAsia="微软雅黑" w:cs="微软雅黑"/>
                <w:color w:val="auto"/>
                <w:sz w:val="24"/>
                <w:szCs w:val="24"/>
              </w:rPr>
              <w:t>型）</w:t>
            </w:r>
          </w:p>
        </w:tc>
        <w:tc>
          <w:tcPr>
            <w:tcW w:w="1415"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按实结算</w:t>
            </w:r>
          </w:p>
        </w:tc>
        <w:tc>
          <w:tcPr>
            <w:tcW w:w="1275" w:type="dxa"/>
            <w:vAlign w:val="center"/>
          </w:tcPr>
          <w:p>
            <w:pPr>
              <w:jc w:val="center"/>
              <w:rPr>
                <w:rFonts w:hint="eastAsia" w:ascii="微软雅黑" w:hAnsi="微软雅黑" w:eastAsia="微软雅黑" w:cs="微软雅黑"/>
                <w:color w:val="auto"/>
                <w:sz w:val="24"/>
                <w:szCs w:val="24"/>
              </w:rPr>
            </w:pPr>
          </w:p>
        </w:tc>
      </w:tr>
    </w:tbl>
    <w:p>
      <w:pPr>
        <w:ind w:firstLine="480" w:firstLineChars="200"/>
        <w:rPr>
          <w:rFonts w:hint="eastAsia" w:ascii="微软雅黑" w:hAnsi="微软雅黑" w:eastAsia="微软雅黑" w:cs="微软雅黑"/>
          <w:color w:val="auto"/>
          <w:sz w:val="24"/>
          <w:szCs w:val="24"/>
        </w:rPr>
      </w:pPr>
      <w:bookmarkStart w:id="101" w:name="_Toc28205"/>
      <w:bookmarkStart w:id="102" w:name="_Toc27067"/>
      <w:bookmarkStart w:id="103" w:name="_Toc23975"/>
      <w:bookmarkStart w:id="104" w:name="_Toc21817"/>
      <w:bookmarkStart w:id="105" w:name="_Toc75793506"/>
      <w:bookmarkStart w:id="106" w:name="_Toc106030382"/>
      <w:bookmarkStart w:id="107" w:name="_Toc695"/>
      <w:bookmarkStart w:id="108" w:name="_Toc12568"/>
      <w:bookmarkStart w:id="109" w:name="_Toc5751"/>
      <w:bookmarkStart w:id="110" w:name="_Toc7792"/>
      <w:bookmarkStart w:id="111" w:name="_Toc26453"/>
      <w:bookmarkStart w:id="112" w:name="_Toc32262"/>
      <w:bookmarkStart w:id="113" w:name="_Toc15696"/>
      <w:bookmarkStart w:id="114" w:name="_Toc10143"/>
      <w:bookmarkStart w:id="115" w:name="_Toc18903"/>
      <w:bookmarkStart w:id="116" w:name="_Toc18800"/>
      <w:r>
        <w:rPr>
          <w:rFonts w:hint="eastAsia" w:ascii="微软雅黑" w:hAnsi="微软雅黑" w:eastAsia="微软雅黑" w:cs="微软雅黑"/>
          <w:b/>
          <w:bCs/>
          <w:color w:val="auto"/>
          <w:sz w:val="24"/>
          <w:szCs w:val="24"/>
        </w:rPr>
        <w:t>二、项目技术需求</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117" w:name="OLE_LINK2"/>
      <w:r>
        <w:rPr>
          <w:rFonts w:hint="eastAsia" w:ascii="微软雅黑" w:hAnsi="微软雅黑" w:eastAsia="微软雅黑" w:cs="微软雅黑"/>
          <w:color w:val="auto"/>
          <w:sz w:val="24"/>
          <w:szCs w:val="24"/>
          <w:lang w:val="en-US" w:eastAsia="zh-CN"/>
        </w:rPr>
        <w:t>1.适用范围：与负压装置匹配，对患儿作吸痰一次性使用；</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2.规格型号：所有规格型号，包括但不限于Fr6、Fr8、Fr10、Fr12；</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3.管路材质：包括但不限于硅胶或医用高分子聚氯乙烯（PVC）；</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4.管路透明，便于观察吸出物；</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5.无菌产品，单支独立包装，有侧孔；</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6.带刷头，刷头材质包括但不限于海绵或硅胶；</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7.提供无菌手套套装。</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237" w:name="_GoBack"/>
      <w:bookmarkEnd w:id="237"/>
    </w:p>
    <w:p>
      <w:pPr>
        <w:snapToGrid w:val="0"/>
        <w:spacing w:line="400" w:lineRule="exact"/>
        <w:ind w:firstLine="480" w:firstLineChars="200"/>
        <w:rPr>
          <w:rFonts w:hint="eastAsia" w:ascii="微软雅黑" w:hAnsi="微软雅黑" w:eastAsia="微软雅黑" w:cs="微软雅黑"/>
          <w:color w:val="auto"/>
          <w:sz w:val="24"/>
          <w:szCs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color w:val="auto"/>
          <w:sz w:val="24"/>
          <w:szCs w:val="24"/>
          <w:lang w:val="en-US" w:eastAsia="zh-CN"/>
        </w:rPr>
        <w:t>注：开标现场必须提供所投产品带包装的样品。</w:t>
      </w:r>
      <w:bookmarkEnd w:id="117"/>
    </w:p>
    <w:p>
      <w:pPr>
        <w:pStyle w:val="4"/>
        <w:spacing w:before="200" w:after="200" w:line="240" w:lineRule="auto"/>
        <w:jc w:val="center"/>
        <w:rPr>
          <w:rFonts w:hint="eastAsia" w:ascii="微软雅黑" w:hAnsi="微软雅黑" w:eastAsia="微软雅黑" w:cs="微软雅黑"/>
          <w:color w:val="auto"/>
          <w:sz w:val="44"/>
        </w:rPr>
      </w:pPr>
      <w:bookmarkStart w:id="118" w:name="_Toc20793"/>
      <w:bookmarkStart w:id="119" w:name="_Toc76462327"/>
      <w:bookmarkStart w:id="120" w:name="_Toc106030882"/>
      <w:bookmarkStart w:id="121" w:name="_Toc7791"/>
      <w:bookmarkStart w:id="122" w:name="_Toc30810"/>
      <w:r>
        <w:rPr>
          <w:rFonts w:hint="eastAsia" w:ascii="微软雅黑" w:hAnsi="微软雅黑" w:eastAsia="微软雅黑" w:cs="微软雅黑"/>
          <w:color w:val="auto"/>
          <w:sz w:val="44"/>
        </w:rPr>
        <w:t xml:space="preserve">第三篇  </w:t>
      </w:r>
      <w:bookmarkEnd w:id="66"/>
      <w:r>
        <w:rPr>
          <w:rFonts w:hint="eastAsia" w:ascii="微软雅黑" w:hAnsi="微软雅黑" w:eastAsia="微软雅黑" w:cs="微软雅黑"/>
          <w:color w:val="auto"/>
          <w:sz w:val="44"/>
        </w:rPr>
        <w:t>项目商务需求</w:t>
      </w:r>
      <w:bookmarkEnd w:id="118"/>
      <w:bookmarkEnd w:id="119"/>
      <w:bookmarkEnd w:id="120"/>
      <w:bookmarkEnd w:id="121"/>
      <w:bookmarkEnd w:id="122"/>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lang w:val="en-US" w:eastAsia="zh-CN"/>
              </w:rPr>
              <w:t>合同、</w:t>
            </w: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合同：合同期3年。</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交货期：中标人在收到采购人通知后在7个日历日内（或者在采购人临时具体书面指定天数内）将物资运到采购人指定交货地点。</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1.中标后若出现断供或发生Ⅱ级不良事件，自动取消该产品的供货资格；</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2.售后及时(24小时到现场提供解决方案)，收到供应宝订单须3日之内响应订单。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该项目报价须</w:t>
            </w:r>
            <w:r>
              <w:rPr>
                <w:rFonts w:hint="eastAsia" w:ascii="微软雅黑" w:hAnsi="微软雅黑" w:eastAsia="微软雅黑" w:cs="微软雅黑"/>
                <w:color w:val="auto"/>
                <w:sz w:val="24"/>
                <w:szCs w:val="24"/>
                <w:lang w:val="en-US" w:eastAsia="zh-CN"/>
              </w:rPr>
              <w:t>对所投产品的线上价格和备案价格分别进行报价</w:t>
            </w:r>
            <w:r>
              <w:rPr>
                <w:rFonts w:hint="eastAsia" w:ascii="微软雅黑" w:hAnsi="微软雅黑" w:eastAsia="微软雅黑" w:cs="微软雅黑"/>
                <w:color w:val="auto"/>
                <w:sz w:val="24"/>
                <w:szCs w:val="24"/>
              </w:rPr>
              <w:t>，包括完成货物、运输、验收及其他本项目所需的所有费用及各种应纳的税费。因</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每月结算一次，中标人每月向采购人开具上月采购金额发票和经采购人确认的结算凭证，采购人收到发票和结算凭证后2个月内以转账方式向中标人支付。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bookmarkStart w:id="123" w:name="OLE_LINK1"/>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其他未尽事宜由供需双方在采购合同中详细约定。</w:t>
            </w:r>
            <w:bookmarkEnd w:id="123"/>
          </w:p>
        </w:tc>
      </w:tr>
    </w:tbl>
    <w:p>
      <w:pPr>
        <w:rPr>
          <w:rFonts w:hint="eastAsia" w:ascii="微软雅黑" w:hAnsi="微软雅黑" w:eastAsia="微软雅黑" w:cs="微软雅黑"/>
          <w:b/>
          <w:color w:val="auto"/>
          <w:sz w:val="44"/>
        </w:rPr>
      </w:pPr>
      <w:bookmarkStart w:id="124" w:name="_Toc76462332"/>
      <w:bookmarkStart w:id="125" w:name="_Toc6692"/>
      <w:bookmarkStart w:id="126" w:name="_Toc106030887"/>
      <w:r>
        <w:rPr>
          <w:rFonts w:hint="eastAsia" w:ascii="微软雅黑" w:hAnsi="微软雅黑" w:eastAsia="微软雅黑" w:cs="微软雅黑"/>
          <w:b/>
          <w:color w:val="auto"/>
          <w:sz w:val="44"/>
        </w:rPr>
        <w:br w:type="page"/>
      </w:r>
    </w:p>
    <w:bookmarkEnd w:id="124"/>
    <w:bookmarkEnd w:id="125"/>
    <w:bookmarkEnd w:id="126"/>
    <w:p>
      <w:pPr>
        <w:pStyle w:val="4"/>
        <w:spacing w:before="200" w:after="200" w:line="240" w:lineRule="auto"/>
        <w:jc w:val="center"/>
        <w:rPr>
          <w:rFonts w:hint="eastAsia" w:ascii="微软雅黑" w:hAnsi="微软雅黑" w:eastAsia="微软雅黑" w:cs="微软雅黑"/>
          <w:color w:val="auto"/>
          <w:sz w:val="44"/>
        </w:rPr>
      </w:pPr>
      <w:bookmarkStart w:id="127" w:name="_Toc30635"/>
      <w:bookmarkStart w:id="128" w:name="_Toc30488"/>
      <w:bookmarkStart w:id="129" w:name="_Toc9075"/>
      <w:r>
        <w:rPr>
          <w:rFonts w:hint="eastAsia" w:ascii="微软雅黑" w:hAnsi="微软雅黑" w:eastAsia="微软雅黑" w:cs="微软雅黑"/>
          <w:color w:val="auto"/>
          <w:sz w:val="44"/>
        </w:rPr>
        <w:t>第三篇  耗材遴选采购程序及方法、评审标准、无效响应和采购终止</w:t>
      </w:r>
      <w:bookmarkEnd w:id="127"/>
      <w:bookmarkEnd w:id="128"/>
      <w:bookmarkEnd w:id="129"/>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0" w:name="_Toc76462333"/>
      <w:bookmarkStart w:id="131" w:name="_Toc2184"/>
      <w:bookmarkStart w:id="132" w:name="_Toc15203"/>
      <w:bookmarkStart w:id="133" w:name="_Toc29885"/>
      <w:bookmarkStart w:id="134" w:name="_Toc106030888"/>
      <w:bookmarkStart w:id="135" w:name="_Toc14958"/>
      <w:r>
        <w:rPr>
          <w:rFonts w:hint="eastAsia" w:ascii="微软雅黑" w:hAnsi="微软雅黑" w:eastAsia="微软雅黑" w:cs="微软雅黑"/>
          <w:color w:val="auto"/>
          <w:sz w:val="24"/>
        </w:rPr>
        <w:t>一、耗材遴选采购程序</w:t>
      </w:r>
      <w:bookmarkEnd w:id="130"/>
      <w:bookmarkEnd w:id="131"/>
      <w:bookmarkEnd w:id="132"/>
      <w:bookmarkEnd w:id="133"/>
      <w:bookmarkEnd w:id="134"/>
      <w:bookmarkEnd w:id="13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（一）按耗材遴选采购文件规定的时间和地点进行，投标人须有法定代表人（或其授权代表）或自然人参加。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依据法律法规和耗材遴选采购文件的规定，对响应文件中的资格证明等进行审查，以确定投标人是否具备比选资格。资格性审查资料表如下：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w:t>
            </w:r>
            <w:r>
              <w:rPr>
                <w:rFonts w:hint="eastAsia" w:ascii="微软雅黑" w:hAnsi="微软雅黑" w:eastAsia="微软雅黑" w:cs="微软雅黑"/>
                <w:color w:val="auto"/>
                <w:szCs w:val="21"/>
                <w:lang w:val="en-US" w:eastAsia="zh-CN"/>
              </w:rPr>
              <w:t>承诺函</w:t>
            </w:r>
            <w:r>
              <w:rPr>
                <w:rFonts w:hint="eastAsia" w:ascii="微软雅黑" w:hAnsi="微软雅黑" w:eastAsia="微软雅黑" w:cs="微软雅黑"/>
                <w:color w:val="auto"/>
                <w:szCs w:val="21"/>
              </w:rPr>
              <w:t>”（格式详见第</w:t>
            </w:r>
            <w:r>
              <w:rPr>
                <w:rFonts w:hint="eastAsia" w:ascii="微软雅黑" w:hAnsi="微软雅黑" w:eastAsia="微软雅黑" w:cs="微软雅黑"/>
                <w:color w:val="auto"/>
                <w:szCs w:val="21"/>
                <w:lang w:val="en-US" w:eastAsia="zh-CN"/>
              </w:rPr>
              <w:t>五</w:t>
            </w:r>
            <w:r>
              <w:rPr>
                <w:rFonts w:hint="eastAsia" w:ascii="微软雅黑" w:hAnsi="微软雅黑" w:eastAsia="微软雅黑" w:cs="微软雅黑"/>
                <w:color w:val="auto"/>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6" w:name="_Toc4742"/>
      <w:bookmarkStart w:id="137" w:name="_Toc31352"/>
      <w:bookmarkStart w:id="138" w:name="_Toc8130"/>
      <w:r>
        <w:rPr>
          <w:rFonts w:hint="eastAsia" w:ascii="微软雅黑" w:hAnsi="微软雅黑" w:eastAsia="微软雅黑" w:cs="微软雅黑"/>
          <w:color w:val="auto"/>
          <w:sz w:val="24"/>
        </w:rPr>
        <w:t>二、评标方法</w:t>
      </w:r>
      <w:bookmarkEnd w:id="136"/>
      <w:bookmarkEnd w:id="137"/>
      <w:bookmarkEnd w:id="138"/>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139" w:name="_Toc76462334"/>
      <w:bookmarkStart w:id="140" w:name="_Toc106030889"/>
      <w:bookmarkStart w:id="141" w:name="_Toc30944"/>
      <w:bookmarkStart w:id="142" w:name="_Toc342913394"/>
      <w:bookmarkStart w:id="143" w:name="_Toc102227320"/>
      <w:r>
        <w:rPr>
          <w:rFonts w:hint="eastAsia" w:ascii="微软雅黑" w:hAnsi="微软雅黑" w:eastAsia="微软雅黑" w:cs="微软雅黑"/>
          <w:color w:val="auto"/>
          <w:sz w:val="24"/>
          <w:szCs w:val="24"/>
          <w:lang w:val="en-US" w:eastAsia="zh-CN"/>
        </w:rPr>
        <w:t>1.评标小组通过资质审核、技术评估、临床需求匹配等遴选入围品牌。</w:t>
      </w:r>
    </w:p>
    <w:p>
      <w:pPr>
        <w:snapToGrid w:val="0"/>
        <w:spacing w:line="400" w:lineRule="exact"/>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color w:val="auto"/>
          <w:sz w:val="24"/>
          <w:szCs w:val="24"/>
          <w:lang w:val="en-US" w:eastAsia="zh-CN"/>
        </w:rPr>
        <w:t>2.对入围品牌进行价格谈判和排序，同等条件下，低价中标。</w:t>
      </w:r>
      <w:bookmarkStart w:id="144" w:name="_Toc27049"/>
      <w:bookmarkStart w:id="145" w:name="_Toc27003"/>
      <w:bookmarkStart w:id="146" w:name="_Toc972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w:t>
      </w:r>
      <w:bookmarkEnd w:id="144"/>
      <w:bookmarkEnd w:id="145"/>
      <w:bookmarkStart w:id="147" w:name="_Toc14503"/>
      <w:bookmarkStart w:id="148" w:name="_Toc17873"/>
      <w:r>
        <w:rPr>
          <w:rFonts w:hint="eastAsia" w:ascii="微软雅黑" w:hAnsi="微软雅黑" w:eastAsia="微软雅黑" w:cs="微软雅黑"/>
          <w:sz w:val="24"/>
        </w:rPr>
        <w:t>评审标准</w:t>
      </w:r>
      <w:bookmarkEnd w:id="139"/>
      <w:bookmarkEnd w:id="140"/>
      <w:bookmarkEnd w:id="141"/>
      <w:bookmarkEnd w:id="146"/>
      <w:bookmarkEnd w:id="147"/>
      <w:bookmarkEnd w:id="148"/>
    </w:p>
    <w:p>
      <w:pPr>
        <w:snapToGrid w:val="0"/>
        <w:spacing w:line="400" w:lineRule="exact"/>
        <w:ind w:firstLine="480" w:firstLineChars="200"/>
        <w:rPr>
          <w:rFonts w:hint="eastAsia" w:ascii="微软雅黑" w:hAnsi="微软雅黑" w:eastAsia="微软雅黑" w:cs="微软雅黑"/>
          <w:sz w:val="24"/>
          <w:szCs w:val="24"/>
        </w:rPr>
      </w:pPr>
      <w:bookmarkStart w:id="149" w:name="_Toc106030890"/>
      <w:bookmarkStart w:id="150" w:name="_Toc76462335"/>
      <w:bookmarkStart w:id="151"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42"/>
    <w:bookmarkEnd w:id="143"/>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30365"/>
      <w:bookmarkStart w:id="153" w:name="_Toc8094"/>
      <w:bookmarkStart w:id="154" w:name="_Toc3878"/>
      <w:bookmarkStart w:id="155" w:name="_Toc29549"/>
      <w:r>
        <w:rPr>
          <w:rFonts w:hint="eastAsia" w:ascii="微软雅黑" w:hAnsi="微软雅黑" w:eastAsia="微软雅黑" w:cs="微软雅黑"/>
          <w:sz w:val="24"/>
          <w:lang w:val="en-US" w:eastAsia="zh-CN"/>
        </w:rPr>
        <w:t>四</w:t>
      </w:r>
      <w:r>
        <w:rPr>
          <w:rFonts w:hint="eastAsia" w:ascii="微软雅黑" w:hAnsi="微软雅黑" w:eastAsia="微软雅黑" w:cs="微软雅黑"/>
          <w:sz w:val="24"/>
        </w:rPr>
        <w:t>、无效响应</w:t>
      </w:r>
      <w:bookmarkEnd w:id="152"/>
      <w:bookmarkEnd w:id="153"/>
      <w:bookmarkEnd w:id="154"/>
      <w:bookmarkEnd w:id="15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（八）投标人磋商有效期不满足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106030891"/>
      <w:bookmarkStart w:id="157" w:name="_Toc10687"/>
      <w:bookmarkStart w:id="158" w:name="_Toc76462336"/>
      <w:bookmarkStart w:id="159" w:name="_Toc26449"/>
      <w:bookmarkStart w:id="160" w:name="_Toc15394"/>
      <w:bookmarkStart w:id="161" w:name="_Toc18225"/>
      <w:bookmarkStart w:id="162" w:name="_Toc22602"/>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156"/>
      <w:bookmarkEnd w:id="157"/>
      <w:bookmarkEnd w:id="158"/>
      <w:r>
        <w:rPr>
          <w:rFonts w:hint="eastAsia" w:ascii="微软雅黑" w:hAnsi="微软雅黑" w:eastAsia="微软雅黑" w:cs="微软雅黑"/>
          <w:sz w:val="24"/>
        </w:rPr>
        <w:t>废标条款</w:t>
      </w:r>
      <w:bookmarkEnd w:id="159"/>
      <w:bookmarkEnd w:id="160"/>
      <w:bookmarkEnd w:id="161"/>
      <w:bookmarkEnd w:id="162"/>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符合</w:t>
      </w:r>
      <w:r>
        <w:rPr>
          <w:rFonts w:hint="eastAsia" w:ascii="微软雅黑" w:hAnsi="微软雅黑" w:eastAsia="微软雅黑" w:cs="微软雅黑"/>
          <w:color w:val="auto"/>
          <w:sz w:val="24"/>
          <w:szCs w:val="24"/>
          <w:lang w:val="en-US" w:eastAsia="zh-CN"/>
        </w:rPr>
        <w:t>遴选入围</w:t>
      </w:r>
      <w:r>
        <w:rPr>
          <w:rFonts w:hint="eastAsia" w:ascii="微软雅黑" w:hAnsi="微软雅黑" w:eastAsia="微软雅黑" w:cs="微软雅黑"/>
          <w:color w:val="auto"/>
          <w:sz w:val="24"/>
          <w:szCs w:val="24"/>
        </w:rPr>
        <w:t>要求</w:t>
      </w:r>
      <w:r>
        <w:rPr>
          <w:rFonts w:hint="eastAsia" w:ascii="微软雅黑" w:hAnsi="微软雅黑" w:eastAsia="微软雅黑" w:cs="微软雅黑"/>
          <w:color w:val="auto"/>
          <w:sz w:val="24"/>
          <w:szCs w:val="24"/>
          <w:lang w:val="en-US" w:eastAsia="zh-CN"/>
        </w:rPr>
        <w:t>的投标人不足两家的</w:t>
      </w:r>
      <w:r>
        <w:rPr>
          <w:rFonts w:hint="eastAsia" w:ascii="微软雅黑" w:hAnsi="微软雅黑" w:eastAsia="微软雅黑" w:cs="微软雅黑"/>
          <w:color w:val="auto"/>
          <w:sz w:val="24"/>
          <w:szCs w:val="24"/>
        </w:rPr>
        <w:t>（挂网公示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rPr>
        <w:t>次的除外）</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63" w:name="_Toc76462337"/>
      <w:bookmarkStart w:id="164" w:name="_Toc2424"/>
      <w:bookmarkStart w:id="165" w:name="_Toc106030892"/>
      <w:bookmarkStart w:id="166" w:name="_Toc6837"/>
      <w:bookmarkStart w:id="167" w:name="_Toc26030"/>
      <w:bookmarkStart w:id="168" w:name="_Toc102227313"/>
      <w:bookmarkStart w:id="169" w:name="_Toc29948"/>
      <w:r>
        <w:rPr>
          <w:rFonts w:hint="eastAsia" w:ascii="微软雅黑" w:hAnsi="微软雅黑" w:eastAsia="微软雅黑" w:cs="微软雅黑"/>
          <w:color w:val="auto"/>
          <w:sz w:val="44"/>
        </w:rPr>
        <w:t>第四篇  投标人须知</w:t>
      </w:r>
      <w:bookmarkEnd w:id="163"/>
      <w:bookmarkEnd w:id="164"/>
      <w:bookmarkEnd w:id="165"/>
      <w:bookmarkEnd w:id="166"/>
      <w:bookmarkEnd w:id="167"/>
      <w:bookmarkEnd w:id="168"/>
      <w:bookmarkEnd w:id="169"/>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0" w:name="_Toc106030893"/>
      <w:bookmarkStart w:id="171" w:name="_Toc76462338"/>
      <w:bookmarkStart w:id="172" w:name="_Toc9299"/>
      <w:bookmarkStart w:id="173" w:name="_Toc342913389"/>
      <w:bookmarkStart w:id="174" w:name="_Toc4805"/>
      <w:bookmarkStart w:id="175" w:name="_Toc26717"/>
      <w:bookmarkStart w:id="176" w:name="_Toc12757"/>
      <w:r>
        <w:rPr>
          <w:rFonts w:hint="eastAsia" w:ascii="微软雅黑" w:hAnsi="微软雅黑" w:eastAsia="微软雅黑" w:cs="微软雅黑"/>
          <w:color w:val="auto"/>
          <w:sz w:val="24"/>
        </w:rPr>
        <w:t>一、耗材遴选费用</w:t>
      </w:r>
      <w:bookmarkEnd w:id="170"/>
      <w:bookmarkEnd w:id="171"/>
      <w:bookmarkEnd w:id="172"/>
      <w:bookmarkEnd w:id="173"/>
      <w:bookmarkEnd w:id="174"/>
      <w:bookmarkEnd w:id="175"/>
      <w:bookmarkEnd w:id="176"/>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7" w:name="_Toc342913391"/>
      <w:bookmarkStart w:id="178" w:name="_Toc21022"/>
      <w:bookmarkStart w:id="179" w:name="_Toc19008"/>
      <w:bookmarkStart w:id="180" w:name="_Toc15712"/>
      <w:bookmarkStart w:id="181" w:name="_Toc32028"/>
      <w:bookmarkStart w:id="182" w:name="_Toc76462339"/>
      <w:bookmarkStart w:id="183" w:name="_Toc106030894"/>
      <w:r>
        <w:rPr>
          <w:rFonts w:hint="eastAsia" w:ascii="微软雅黑" w:hAnsi="微软雅黑" w:eastAsia="微软雅黑" w:cs="微软雅黑"/>
          <w:color w:val="auto"/>
          <w:sz w:val="24"/>
        </w:rPr>
        <w:t>二、</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w:t>
      </w:r>
      <w:bookmarkEnd w:id="177"/>
      <w:bookmarkEnd w:id="178"/>
      <w:bookmarkEnd w:id="179"/>
      <w:bookmarkEnd w:id="180"/>
      <w:bookmarkEnd w:id="181"/>
      <w:bookmarkEnd w:id="182"/>
      <w:bookmarkEnd w:id="183"/>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文件。一经进入比选程序，即视为投标人已详细阅读全部文件资料，完全理解</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文件所有条款内容并同意放弃对这方面有不明白及误解的权利。</w:t>
      </w:r>
      <w:bookmarkStart w:id="184" w:name="_Toc318166429"/>
      <w:bookmarkStart w:id="185" w:name="_Toc318159780"/>
      <w:bookmarkStart w:id="186" w:name="_Toc318159349"/>
      <w:bookmarkStart w:id="187" w:name="_Toc318159160"/>
    </w:p>
    <w:bookmarkEnd w:id="184"/>
    <w:bookmarkEnd w:id="185"/>
    <w:bookmarkEnd w:id="186"/>
    <w:bookmarkEnd w:id="187"/>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8" w:name="_Toc18631"/>
      <w:bookmarkStart w:id="189" w:name="_Toc11716"/>
      <w:bookmarkStart w:id="190" w:name="_Toc106030895"/>
      <w:bookmarkStart w:id="191" w:name="_Toc102227318"/>
      <w:bookmarkStart w:id="192" w:name="_Toc76462340"/>
      <w:bookmarkStart w:id="193" w:name="_Toc179714297"/>
      <w:bookmarkStart w:id="194" w:name="_Toc26007"/>
      <w:bookmarkStart w:id="195" w:name="_Toc342913392"/>
      <w:bookmarkStart w:id="196" w:name="_Toc12263"/>
      <w:r>
        <w:rPr>
          <w:rFonts w:hint="eastAsia" w:ascii="微软雅黑" w:hAnsi="微软雅黑" w:eastAsia="微软雅黑" w:cs="微软雅黑"/>
          <w:color w:val="auto"/>
          <w:sz w:val="24"/>
        </w:rPr>
        <w:t>三、</w:t>
      </w:r>
      <w:r>
        <w:rPr>
          <w:rFonts w:hint="eastAsia" w:ascii="微软雅黑" w:hAnsi="微软雅黑" w:eastAsia="微软雅黑" w:cs="微软雅黑"/>
          <w:color w:val="auto"/>
          <w:sz w:val="24"/>
          <w:lang w:val="en-US" w:eastAsia="zh-CN"/>
        </w:rPr>
        <w:t>遴选</w:t>
      </w:r>
      <w:r>
        <w:rPr>
          <w:rFonts w:hint="eastAsia" w:ascii="微软雅黑" w:hAnsi="微软雅黑" w:eastAsia="微软雅黑" w:cs="微软雅黑"/>
          <w:color w:val="auto"/>
          <w:sz w:val="24"/>
        </w:rPr>
        <w:t>要求</w:t>
      </w:r>
      <w:bookmarkEnd w:id="188"/>
      <w:bookmarkEnd w:id="189"/>
      <w:bookmarkEnd w:id="190"/>
      <w:bookmarkEnd w:id="191"/>
      <w:bookmarkEnd w:id="192"/>
      <w:bookmarkEnd w:id="193"/>
      <w:bookmarkEnd w:id="194"/>
      <w:bookmarkEnd w:id="195"/>
      <w:bookmarkEnd w:id="19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文件的要求编制响应文件，并对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响应文件由“第五篇 响应文件编制要求”规定的部分和投标人所作的一切有效补充、修改和承诺等文件组成，投标人应按照“第五篇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内容与响应文件中</w:t>
      </w:r>
      <w:r>
        <w:rPr>
          <w:rFonts w:hint="eastAsia" w:ascii="微软雅黑" w:hAnsi="微软雅黑" w:eastAsia="微软雅黑" w:cs="微软雅黑"/>
          <w:color w:val="auto"/>
          <w:kern w:val="2"/>
          <w:lang w:val="en-US" w:eastAsia="zh-CN" w:bidi="ar"/>
        </w:rPr>
        <w:t>其他</w:t>
      </w:r>
      <w:r>
        <w:rPr>
          <w:rFonts w:hint="eastAsia" w:ascii="微软雅黑" w:hAnsi="微软雅黑" w:eastAsia="微软雅黑" w:cs="微软雅黑"/>
          <w:color w:val="auto"/>
          <w:kern w:val="2"/>
          <w:lang w:bidi="ar"/>
        </w:rPr>
        <w:t>相应内容不一致的，以</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lang w:val="en-US" w:eastAsia="zh-CN"/>
        </w:rPr>
        <w:t>遴选</w:t>
      </w:r>
      <w:r>
        <w:rPr>
          <w:rFonts w:hint="eastAsia" w:ascii="微软雅黑" w:hAnsi="微软雅黑" w:eastAsia="微软雅黑" w:cs="微软雅黑"/>
          <w:color w:val="auto"/>
          <w:sz w:val="24"/>
          <w:szCs w:val="24"/>
        </w:rPr>
        <w:t>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文件“第五篇</w:t>
      </w:r>
      <w:r>
        <w:rPr>
          <w:rFonts w:hint="eastAsia" w:ascii="微软雅黑" w:hAnsi="微软雅黑" w:eastAsia="微软雅黑" w:cs="微软雅黑"/>
          <w:color w:val="auto"/>
          <w:sz w:val="24"/>
          <w:lang w:val="en-US" w:eastAsia="zh-CN"/>
        </w:rPr>
        <w:t xml:space="preserve"> </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1"/>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97" w:name="_Toc22276"/>
      <w:bookmarkStart w:id="198" w:name="_Toc76462341"/>
      <w:bookmarkStart w:id="199" w:name="_Toc106030896"/>
      <w:bookmarkStart w:id="200" w:name="_Toc13425"/>
      <w:bookmarkStart w:id="201" w:name="_Toc6435"/>
      <w:bookmarkStart w:id="202" w:name="_Toc13154"/>
      <w:r>
        <w:rPr>
          <w:rFonts w:hint="eastAsia" w:ascii="微软雅黑" w:hAnsi="微软雅黑" w:eastAsia="微软雅黑" w:cs="微软雅黑"/>
          <w:color w:val="auto"/>
          <w:sz w:val="24"/>
        </w:rPr>
        <w:t>四、中标人的确认和变更</w:t>
      </w:r>
      <w:bookmarkEnd w:id="197"/>
      <w:bookmarkEnd w:id="198"/>
      <w:bookmarkEnd w:id="199"/>
      <w:bookmarkEnd w:id="200"/>
      <w:bookmarkEnd w:id="201"/>
      <w:bookmarkEnd w:id="202"/>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w:t>
      </w:r>
      <w:r>
        <w:rPr>
          <w:rFonts w:hint="eastAsia" w:ascii="微软雅黑" w:hAnsi="微软雅黑" w:eastAsia="微软雅黑" w:cs="微软雅黑"/>
          <w:color w:val="auto"/>
          <w:sz w:val="24"/>
          <w:szCs w:val="24"/>
          <w:lang w:val="en-US" w:eastAsia="zh-CN"/>
        </w:rPr>
        <w:t>中标</w:t>
      </w:r>
      <w:r>
        <w:rPr>
          <w:rFonts w:hint="eastAsia" w:ascii="微软雅黑" w:hAnsi="微软雅黑" w:eastAsia="微软雅黑" w:cs="微软雅黑"/>
          <w:color w:val="auto"/>
          <w:sz w:val="24"/>
          <w:szCs w:val="24"/>
        </w:rPr>
        <w:t>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w:t>
      </w:r>
      <w:r>
        <w:rPr>
          <w:rFonts w:hint="eastAsia" w:ascii="微软雅黑" w:hAnsi="微软雅黑" w:eastAsia="微软雅黑" w:cs="微软雅黑"/>
          <w:color w:val="auto"/>
          <w:sz w:val="24"/>
          <w:lang w:val="en-US" w:eastAsia="zh-CN"/>
        </w:rPr>
        <w:t>中标</w:t>
      </w:r>
      <w:r>
        <w:rPr>
          <w:rFonts w:hint="eastAsia" w:ascii="微软雅黑" w:hAnsi="微软雅黑" w:eastAsia="微软雅黑" w:cs="微软雅黑"/>
          <w:color w:val="auto"/>
          <w:sz w:val="24"/>
        </w:rPr>
        <w:t>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03" w:name="_Toc21532"/>
      <w:bookmarkStart w:id="204" w:name="_Toc76462342"/>
      <w:bookmarkStart w:id="205" w:name="_Toc342913395"/>
      <w:bookmarkStart w:id="206" w:name="_Toc447"/>
      <w:bookmarkStart w:id="207" w:name="_Toc102227321"/>
      <w:bookmarkStart w:id="208" w:name="_Toc4490"/>
      <w:bookmarkStart w:id="209" w:name="_Toc27713"/>
      <w:bookmarkStart w:id="210" w:name="_Toc106030897"/>
      <w:r>
        <w:rPr>
          <w:rFonts w:hint="eastAsia" w:ascii="微软雅黑" w:hAnsi="微软雅黑" w:eastAsia="微软雅黑" w:cs="微软雅黑"/>
          <w:color w:val="auto"/>
          <w:sz w:val="24"/>
        </w:rPr>
        <w:t>五、成交通知</w:t>
      </w:r>
      <w:bookmarkEnd w:id="203"/>
      <w:bookmarkEnd w:id="204"/>
      <w:bookmarkEnd w:id="205"/>
      <w:bookmarkEnd w:id="206"/>
      <w:bookmarkEnd w:id="207"/>
      <w:bookmarkEnd w:id="208"/>
      <w:bookmarkEnd w:id="209"/>
      <w:bookmarkEnd w:id="21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1" w:name="_Toc76462343"/>
      <w:bookmarkStart w:id="212" w:name="_Toc696"/>
      <w:bookmarkStart w:id="213" w:name="_Toc15948"/>
      <w:bookmarkStart w:id="214" w:name="_Toc106030898"/>
      <w:bookmarkStart w:id="215" w:name="_Toc18266"/>
      <w:bookmarkStart w:id="216" w:name="_Toc21448"/>
      <w:r>
        <w:rPr>
          <w:rFonts w:hint="eastAsia" w:ascii="微软雅黑" w:hAnsi="微软雅黑" w:eastAsia="微软雅黑" w:cs="微软雅黑"/>
          <w:color w:val="auto"/>
          <w:sz w:val="24"/>
        </w:rPr>
        <w:t>六、质疑处理</w:t>
      </w:r>
      <w:bookmarkEnd w:id="211"/>
      <w:bookmarkEnd w:id="212"/>
      <w:bookmarkEnd w:id="213"/>
      <w:bookmarkEnd w:id="214"/>
      <w:bookmarkEnd w:id="215"/>
      <w:bookmarkEnd w:id="21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w:t>
      </w:r>
      <w:r>
        <w:rPr>
          <w:rFonts w:hint="eastAsia" w:ascii="微软雅黑" w:hAnsi="微软雅黑" w:eastAsia="微软雅黑" w:cs="微软雅黑"/>
          <w:color w:val="auto"/>
          <w:sz w:val="24"/>
          <w:lang w:val="en-US" w:eastAsia="zh-CN"/>
        </w:rPr>
        <w:t>或应当知道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217" w:name="_Toc28334"/>
      <w:bookmarkStart w:id="218" w:name="_Toc76462344"/>
      <w:bookmarkStart w:id="219"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20" w:name="_Toc6926"/>
      <w:bookmarkStart w:id="221" w:name="_Toc23339"/>
      <w:bookmarkStart w:id="222" w:name="_Toc7473"/>
      <w:r>
        <w:rPr>
          <w:rFonts w:hint="eastAsia" w:ascii="微软雅黑" w:hAnsi="微软雅黑" w:eastAsia="微软雅黑" w:cs="微软雅黑"/>
          <w:color w:val="auto"/>
          <w:sz w:val="24"/>
        </w:rPr>
        <w:t>七、</w:t>
      </w:r>
      <w:bookmarkEnd w:id="217"/>
      <w:bookmarkEnd w:id="218"/>
      <w:bookmarkEnd w:id="219"/>
      <w:bookmarkStart w:id="223" w:name="_Toc102227322"/>
      <w:bookmarkStart w:id="224" w:name="_Toc342913396"/>
      <w:bookmarkStart w:id="225" w:name="_Toc106030901"/>
      <w:bookmarkStart w:id="226" w:name="_Toc3372"/>
      <w:bookmarkStart w:id="227" w:name="_Toc76462346"/>
      <w:bookmarkStart w:id="228" w:name="_Toc11641055"/>
      <w:bookmarkStart w:id="229" w:name="_Toc12789059"/>
      <w:r>
        <w:rPr>
          <w:rFonts w:hint="eastAsia" w:ascii="微软雅黑" w:hAnsi="微软雅黑" w:eastAsia="微软雅黑" w:cs="微软雅黑"/>
          <w:color w:val="auto"/>
          <w:sz w:val="24"/>
        </w:rPr>
        <w:t>签订</w:t>
      </w:r>
      <w:bookmarkEnd w:id="223"/>
      <w:r>
        <w:rPr>
          <w:rFonts w:hint="eastAsia" w:ascii="微软雅黑" w:hAnsi="微软雅黑" w:eastAsia="微软雅黑" w:cs="微软雅黑"/>
          <w:color w:val="auto"/>
          <w:sz w:val="24"/>
        </w:rPr>
        <w:t>合同</w:t>
      </w:r>
      <w:bookmarkEnd w:id="220"/>
      <w:bookmarkEnd w:id="221"/>
      <w:bookmarkEnd w:id="222"/>
      <w:bookmarkEnd w:id="224"/>
      <w:bookmarkEnd w:id="225"/>
      <w:bookmarkEnd w:id="226"/>
      <w:bookmarkEnd w:id="227"/>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228"/>
      <w:bookmarkEnd w:id="229"/>
    </w:p>
    <w:p>
      <w:pPr>
        <w:pStyle w:val="4"/>
        <w:spacing w:before="200" w:after="200" w:line="240" w:lineRule="auto"/>
        <w:jc w:val="center"/>
        <w:rPr>
          <w:rFonts w:hint="eastAsia" w:ascii="微软雅黑" w:hAnsi="微软雅黑" w:eastAsia="微软雅黑" w:cs="微软雅黑"/>
          <w:color w:val="auto"/>
          <w:sz w:val="44"/>
        </w:rPr>
      </w:pPr>
      <w:bookmarkStart w:id="230" w:name="_Hlt41879464"/>
      <w:bookmarkEnd w:id="230"/>
      <w:bookmarkStart w:id="231" w:name="_Toc27984"/>
      <w:bookmarkStart w:id="232" w:name="_Toc28846"/>
      <w:bookmarkStart w:id="233" w:name="_Toc32648"/>
      <w:bookmarkStart w:id="234" w:name="_Toc76462349"/>
      <w:bookmarkStart w:id="235" w:name="_Toc106030905"/>
      <w:bookmarkStart w:id="236" w:name="_Toc31440"/>
      <w:r>
        <w:rPr>
          <w:rFonts w:hint="eastAsia" w:ascii="微软雅黑" w:hAnsi="微软雅黑" w:eastAsia="微软雅黑" w:cs="微软雅黑"/>
          <w:color w:val="auto"/>
          <w:sz w:val="44"/>
        </w:rPr>
        <w:t>第五篇  响应文件编制要求</w:t>
      </w:r>
      <w:bookmarkEnd w:id="231"/>
      <w:bookmarkEnd w:id="232"/>
      <w:bookmarkEnd w:id="233"/>
      <w:bookmarkEnd w:id="234"/>
      <w:bookmarkEnd w:id="235"/>
      <w:bookmarkEnd w:id="23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（一）耗材专用报价表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（二）开标现场最终报价表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val="en-US" w:eastAsia="zh-CN"/>
        </w:rPr>
        <w:t>商务</w:t>
      </w:r>
      <w:r>
        <w:rPr>
          <w:rFonts w:hint="eastAsia" w:ascii="微软雅黑" w:hAnsi="微软雅黑" w:eastAsia="微软雅黑" w:cs="微软雅黑"/>
          <w:color w:val="auto"/>
          <w:sz w:val="24"/>
          <w:szCs w:val="24"/>
        </w:rPr>
        <w:t>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四、资格条件及其他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五、其他资料</w:t>
      </w:r>
    </w:p>
    <w:p>
      <w:pPr>
        <w:snapToGrid w:val="0"/>
        <w:spacing w:line="360" w:lineRule="auto"/>
        <w:rPr>
          <w:rFonts w:hint="eastAsia" w:ascii="微软雅黑" w:hAnsi="微软雅黑" w:eastAsia="微软雅黑" w:cs="微软雅黑"/>
          <w:color w:val="auto"/>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jc w:val="both"/>
        <w:outlineLvl w:val="9"/>
        <w:rPr>
          <w:rFonts w:hint="eastAsia" w:ascii="微软雅黑" w:hAnsi="微软雅黑" w:eastAsia="微软雅黑" w:cs="微软雅黑"/>
          <w:color w:val="auto"/>
        </w:rPr>
      </w:pPr>
    </w:p>
    <w:sectPr>
      <w:headerReference r:id="rId13" w:type="default"/>
      <w:footerReference r:id="rId14"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475D04"/>
    <w:rsid w:val="026C7369"/>
    <w:rsid w:val="030620E3"/>
    <w:rsid w:val="04590024"/>
    <w:rsid w:val="04EC2E74"/>
    <w:rsid w:val="0501052E"/>
    <w:rsid w:val="05B83278"/>
    <w:rsid w:val="06B845BE"/>
    <w:rsid w:val="079B568B"/>
    <w:rsid w:val="07CC09EB"/>
    <w:rsid w:val="07F103E0"/>
    <w:rsid w:val="08D23DC8"/>
    <w:rsid w:val="092E6FC0"/>
    <w:rsid w:val="0AED6133"/>
    <w:rsid w:val="0BB87E47"/>
    <w:rsid w:val="0CF75B4D"/>
    <w:rsid w:val="0D1F249B"/>
    <w:rsid w:val="0D26388C"/>
    <w:rsid w:val="0D2D45FA"/>
    <w:rsid w:val="0F092757"/>
    <w:rsid w:val="0F4F0F37"/>
    <w:rsid w:val="1009316D"/>
    <w:rsid w:val="14093EF5"/>
    <w:rsid w:val="147A5E14"/>
    <w:rsid w:val="148D1984"/>
    <w:rsid w:val="14D11CFB"/>
    <w:rsid w:val="15935DB5"/>
    <w:rsid w:val="15BB3449"/>
    <w:rsid w:val="171C1EE4"/>
    <w:rsid w:val="17324323"/>
    <w:rsid w:val="17A1211B"/>
    <w:rsid w:val="18ED7A84"/>
    <w:rsid w:val="19255AF5"/>
    <w:rsid w:val="19401112"/>
    <w:rsid w:val="19740A13"/>
    <w:rsid w:val="1A531DF7"/>
    <w:rsid w:val="1A7E6296"/>
    <w:rsid w:val="1E2C5A53"/>
    <w:rsid w:val="1E85149C"/>
    <w:rsid w:val="1EE241F9"/>
    <w:rsid w:val="1F0D01CA"/>
    <w:rsid w:val="21226BB2"/>
    <w:rsid w:val="21864056"/>
    <w:rsid w:val="222348FC"/>
    <w:rsid w:val="22F860AB"/>
    <w:rsid w:val="23894B8C"/>
    <w:rsid w:val="2486441F"/>
    <w:rsid w:val="263535D3"/>
    <w:rsid w:val="26BC1D3E"/>
    <w:rsid w:val="286153F5"/>
    <w:rsid w:val="2895673E"/>
    <w:rsid w:val="293366CF"/>
    <w:rsid w:val="29601F8B"/>
    <w:rsid w:val="296F02CD"/>
    <w:rsid w:val="29911D60"/>
    <w:rsid w:val="2AA01F44"/>
    <w:rsid w:val="2C43216E"/>
    <w:rsid w:val="2CD472B8"/>
    <w:rsid w:val="2DAE631A"/>
    <w:rsid w:val="2DB02B6B"/>
    <w:rsid w:val="300C58E0"/>
    <w:rsid w:val="30607DAE"/>
    <w:rsid w:val="312C1210"/>
    <w:rsid w:val="31DA5A58"/>
    <w:rsid w:val="32355B8A"/>
    <w:rsid w:val="32FD7152"/>
    <w:rsid w:val="32FE4017"/>
    <w:rsid w:val="332D1E43"/>
    <w:rsid w:val="34060532"/>
    <w:rsid w:val="361F2D7D"/>
    <w:rsid w:val="37556B60"/>
    <w:rsid w:val="37660142"/>
    <w:rsid w:val="38CD7FDC"/>
    <w:rsid w:val="397D4DF2"/>
    <w:rsid w:val="39C073AD"/>
    <w:rsid w:val="3A506A3F"/>
    <w:rsid w:val="3ACE5D4F"/>
    <w:rsid w:val="3B401A7D"/>
    <w:rsid w:val="3C55524B"/>
    <w:rsid w:val="3CCE1388"/>
    <w:rsid w:val="3DC14F27"/>
    <w:rsid w:val="3DDD46D4"/>
    <w:rsid w:val="3DF6488D"/>
    <w:rsid w:val="3E761E57"/>
    <w:rsid w:val="3F1C71CA"/>
    <w:rsid w:val="3F464493"/>
    <w:rsid w:val="3FD67934"/>
    <w:rsid w:val="401D7EEA"/>
    <w:rsid w:val="406334F2"/>
    <w:rsid w:val="409F14A1"/>
    <w:rsid w:val="415F6EA3"/>
    <w:rsid w:val="42E4764C"/>
    <w:rsid w:val="43291680"/>
    <w:rsid w:val="452C7897"/>
    <w:rsid w:val="454278DA"/>
    <w:rsid w:val="46151D23"/>
    <w:rsid w:val="46D026EE"/>
    <w:rsid w:val="476B30BF"/>
    <w:rsid w:val="494C6B8D"/>
    <w:rsid w:val="497B7CB3"/>
    <w:rsid w:val="4A286398"/>
    <w:rsid w:val="4A8845CE"/>
    <w:rsid w:val="4ABB11C1"/>
    <w:rsid w:val="4AE32B49"/>
    <w:rsid w:val="4B1525C2"/>
    <w:rsid w:val="4B2D12E0"/>
    <w:rsid w:val="4BEB6B31"/>
    <w:rsid w:val="4D1D2982"/>
    <w:rsid w:val="4DD36371"/>
    <w:rsid w:val="4EEC1F3B"/>
    <w:rsid w:val="4EF16580"/>
    <w:rsid w:val="4F070047"/>
    <w:rsid w:val="4F3C244F"/>
    <w:rsid w:val="4FCD30B4"/>
    <w:rsid w:val="5115115D"/>
    <w:rsid w:val="5124401C"/>
    <w:rsid w:val="521E4A24"/>
    <w:rsid w:val="52D92ACB"/>
    <w:rsid w:val="53B4776F"/>
    <w:rsid w:val="53DF1E3A"/>
    <w:rsid w:val="540F25CE"/>
    <w:rsid w:val="545B425C"/>
    <w:rsid w:val="558E730F"/>
    <w:rsid w:val="573C43EC"/>
    <w:rsid w:val="57857077"/>
    <w:rsid w:val="58EA1C45"/>
    <w:rsid w:val="5925405A"/>
    <w:rsid w:val="59926240"/>
    <w:rsid w:val="5ADC3C17"/>
    <w:rsid w:val="5BCB0695"/>
    <w:rsid w:val="5CA2679A"/>
    <w:rsid w:val="5CA67F0E"/>
    <w:rsid w:val="5CC4593C"/>
    <w:rsid w:val="5DAD4E7C"/>
    <w:rsid w:val="60CB5C8F"/>
    <w:rsid w:val="62164EC7"/>
    <w:rsid w:val="633157F8"/>
    <w:rsid w:val="648E3C9A"/>
    <w:rsid w:val="64DA4767"/>
    <w:rsid w:val="65170F5B"/>
    <w:rsid w:val="65215328"/>
    <w:rsid w:val="663C214A"/>
    <w:rsid w:val="670A099E"/>
    <w:rsid w:val="688B0082"/>
    <w:rsid w:val="68BD663A"/>
    <w:rsid w:val="692F74C0"/>
    <w:rsid w:val="696405DD"/>
    <w:rsid w:val="69BE2355"/>
    <w:rsid w:val="69CF1240"/>
    <w:rsid w:val="6A866FA3"/>
    <w:rsid w:val="6B75107A"/>
    <w:rsid w:val="6BFE1706"/>
    <w:rsid w:val="6D5236ED"/>
    <w:rsid w:val="6DC13ADF"/>
    <w:rsid w:val="6E5E0C2F"/>
    <w:rsid w:val="6FE969BF"/>
    <w:rsid w:val="701245F9"/>
    <w:rsid w:val="71175C34"/>
    <w:rsid w:val="71A31538"/>
    <w:rsid w:val="74D70DF7"/>
    <w:rsid w:val="75043B07"/>
    <w:rsid w:val="750950F5"/>
    <w:rsid w:val="750D16CF"/>
    <w:rsid w:val="75DE5B64"/>
    <w:rsid w:val="763F7532"/>
    <w:rsid w:val="771419E3"/>
    <w:rsid w:val="773622B4"/>
    <w:rsid w:val="77D50611"/>
    <w:rsid w:val="788C12ED"/>
    <w:rsid w:val="789F3DA6"/>
    <w:rsid w:val="78A52377"/>
    <w:rsid w:val="78C53AE4"/>
    <w:rsid w:val="79082185"/>
    <w:rsid w:val="79FB3E99"/>
    <w:rsid w:val="7A6F77AB"/>
    <w:rsid w:val="7ABA3FBA"/>
    <w:rsid w:val="7B5B7497"/>
    <w:rsid w:val="7BEF5F10"/>
    <w:rsid w:val="7D911C7F"/>
    <w:rsid w:val="7D9563F1"/>
    <w:rsid w:val="7EB03BCE"/>
    <w:rsid w:val="7EDF2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45"/>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微软雅黑"/>
      <w:sz w:val="24"/>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微软雅黑"/>
      <w:kern w:val="2"/>
      <w:sz w:val="24"/>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WPSOffice手动目录 1"/>
    <w:qFormat/>
    <w:uiPriority w:val="0"/>
    <w:pPr>
      <w:ind w:leftChars="0"/>
    </w:pPr>
    <w:rPr>
      <w:rFonts w:ascii="Times New Roman" w:hAnsi="Times New Roman" w:eastAsia="宋体" w:cs="Times New Roman"/>
      <w:sz w:val="20"/>
      <w:szCs w:val="20"/>
    </w:rPr>
  </w:style>
  <w:style w:type="paragraph" w:customStyle="1" w:styleId="244">
    <w:name w:val="WPSOffice手动目录 2"/>
    <w:qFormat/>
    <w:uiPriority w:val="0"/>
    <w:pPr>
      <w:ind w:leftChars="200"/>
    </w:pPr>
    <w:rPr>
      <w:rFonts w:ascii="Times New Roman" w:hAnsi="Times New Roman" w:eastAsia="宋体" w:cs="Times New Roman"/>
      <w:sz w:val="20"/>
      <w:szCs w:val="20"/>
    </w:rPr>
  </w:style>
  <w:style w:type="character" w:customStyle="1" w:styleId="245">
    <w:name w:val="标题 1 Char"/>
    <w:link w:val="3"/>
    <w:qFormat/>
    <w:uiPriority w:val="0"/>
    <w:rPr>
      <w:rFonts w:ascii="宋体" w:hAnsi="宋体" w:eastAsia="微软雅黑"/>
      <w:b/>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0</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2026-06-24T07:54:23Z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D98A3CE3DF364AA6B59B5D2B06B21551</vt:lpwstr>
  </property>
</Properties>
</file>