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pPr>
        <w:jc w:val="center"/>
        <w:rPr>
          <w:rFonts w:hint="eastAsia" w:ascii="微软雅黑" w:hAnsi="微软雅黑" w:eastAsia="微软雅黑" w:cs="微软雅黑"/>
          <w:color w:val="auto"/>
        </w:rPr>
      </w:pPr>
    </w:p>
    <w:p>
      <w:pPr>
        <w:spacing w:line="1600" w:lineRule="exact"/>
        <w:jc w:val="center"/>
        <w:outlineLvl w:val="9"/>
        <w:rPr>
          <w:rFonts w:hint="eastAsia" w:ascii="微软雅黑" w:hAnsi="微软雅黑" w:eastAsia="微软雅黑" w:cs="微软雅黑"/>
          <w:color w:val="auto"/>
          <w:sz w:val="100"/>
        </w:rPr>
      </w:pPr>
    </w:p>
    <w:p>
      <w:pPr>
        <w:spacing w:line="1600" w:lineRule="exact"/>
        <w:jc w:val="center"/>
        <w:outlineLvl w:val="0"/>
        <w:rPr>
          <w:rFonts w:hint="eastAsia" w:ascii="微软雅黑" w:hAnsi="微软雅黑" w:eastAsia="微软雅黑" w:cs="微软雅黑"/>
          <w:color w:val="auto"/>
          <w:sz w:val="130"/>
          <w:szCs w:val="130"/>
          <w:lang w:eastAsia="zh-CN"/>
        </w:rPr>
      </w:pPr>
      <w:bookmarkStart w:id="0" w:name="_Toc1990"/>
      <w:r>
        <w:rPr>
          <w:rFonts w:hint="eastAsia" w:ascii="微软雅黑" w:hAnsi="微软雅黑" w:eastAsia="微软雅黑" w:cs="微软雅黑"/>
          <w:color w:val="auto"/>
          <w:sz w:val="130"/>
          <w:szCs w:val="130"/>
          <w:lang w:eastAsia="zh-CN"/>
        </w:rPr>
        <w:t>耗材遴选</w:t>
      </w:r>
      <w:bookmarkEnd w:id="0"/>
    </w:p>
    <w:p>
      <w:pPr>
        <w:spacing w:line="1600" w:lineRule="exact"/>
        <w:jc w:val="center"/>
        <w:outlineLvl w:val="0"/>
        <w:rPr>
          <w:rFonts w:hint="eastAsia" w:ascii="微软雅黑" w:hAnsi="微软雅黑" w:eastAsia="微软雅黑" w:cs="微软雅黑"/>
          <w:color w:val="auto"/>
          <w:sz w:val="130"/>
          <w:szCs w:val="130"/>
        </w:rPr>
      </w:pPr>
      <w:bookmarkStart w:id="1" w:name="_Toc12211"/>
      <w:r>
        <w:rPr>
          <w:rFonts w:hint="eastAsia" w:ascii="微软雅黑" w:hAnsi="微软雅黑" w:eastAsia="微软雅黑" w:cs="微软雅黑"/>
          <w:color w:val="auto"/>
          <w:sz w:val="130"/>
          <w:szCs w:val="130"/>
        </w:rPr>
        <w:t>采购文件</w:t>
      </w:r>
      <w:bookmarkEnd w:id="1"/>
    </w:p>
    <w:p>
      <w:pPr>
        <w:pStyle w:val="69"/>
        <w:spacing w:before="100" w:after="100" w:line="300" w:lineRule="auto"/>
        <w:jc w:val="center"/>
        <w:rPr>
          <w:rFonts w:hint="eastAsia" w:ascii="微软雅黑" w:hAnsi="微软雅黑" w:eastAsia="微软雅黑" w:cs="微软雅黑"/>
          <w:color w:val="auto"/>
          <w:sz w:val="32"/>
        </w:rPr>
      </w:pPr>
      <w:r>
        <w:rPr>
          <w:rFonts w:hint="eastAsia" w:ascii="微软雅黑" w:hAnsi="微软雅黑" w:eastAsia="微软雅黑" w:cs="微软雅黑"/>
          <w:b w:val="0"/>
          <w:color w:val="auto"/>
          <w:sz w:val="130"/>
          <w:szCs w:val="130"/>
        </w:rPr>
        <w:t xml:space="preserve">   </w:t>
      </w:r>
    </w:p>
    <w:p>
      <w:pPr>
        <w:pStyle w:val="70"/>
        <w:rPr>
          <w:rFonts w:hint="eastAsia" w:ascii="微软雅黑" w:hAnsi="微软雅黑" w:eastAsia="微软雅黑" w:cs="微软雅黑"/>
          <w:color w:val="auto"/>
          <w:kern w:val="2"/>
          <w:sz w:val="44"/>
          <w:szCs w:val="44"/>
        </w:rPr>
      </w:pPr>
    </w:p>
    <w:p>
      <w:pPr>
        <w:spacing w:line="360" w:lineRule="auto"/>
        <w:ind w:firstLine="1800" w:firstLineChars="500"/>
        <w:outlineLvl w:val="0"/>
        <w:rPr>
          <w:rFonts w:hint="default" w:ascii="微软雅黑" w:hAnsi="微软雅黑" w:eastAsia="微软雅黑" w:cs="微软雅黑"/>
          <w:color w:val="auto"/>
          <w:sz w:val="36"/>
          <w:szCs w:val="36"/>
          <w:lang w:val="en-US" w:eastAsia="zh-CN"/>
        </w:rPr>
      </w:pPr>
      <w:bookmarkStart w:id="2" w:name="_Toc23762"/>
      <w:r>
        <w:rPr>
          <w:rFonts w:hint="eastAsia" w:ascii="微软雅黑" w:hAnsi="微软雅黑" w:eastAsia="微软雅黑" w:cs="微软雅黑"/>
          <w:color w:val="auto"/>
          <w:sz w:val="36"/>
          <w:szCs w:val="36"/>
        </w:rPr>
        <w:t>项目编号：</w:t>
      </w:r>
      <w:r>
        <w:rPr>
          <w:rFonts w:hint="eastAsia" w:ascii="微软雅黑" w:hAnsi="微软雅黑" w:eastAsia="微软雅黑" w:cs="微软雅黑"/>
          <w:color w:val="auto"/>
          <w:sz w:val="36"/>
          <w:szCs w:val="36"/>
          <w:u w:val="single"/>
        </w:rPr>
        <w:t>YSB</w:t>
      </w:r>
      <w:r>
        <w:rPr>
          <w:rFonts w:hint="eastAsia" w:ascii="微软雅黑" w:hAnsi="微软雅黑" w:eastAsia="微软雅黑" w:cs="微软雅黑"/>
          <w:color w:val="auto"/>
          <w:sz w:val="36"/>
          <w:szCs w:val="36"/>
          <w:u w:val="single"/>
          <w:lang w:val="en-US" w:eastAsia="zh-CN"/>
        </w:rPr>
        <w:t>260</w:t>
      </w:r>
      <w:bookmarkEnd w:id="2"/>
      <w:r>
        <w:rPr>
          <w:rFonts w:hint="eastAsia" w:ascii="微软雅黑" w:hAnsi="微软雅黑" w:eastAsia="微软雅黑" w:cs="微软雅黑"/>
          <w:color w:val="auto"/>
          <w:sz w:val="36"/>
          <w:szCs w:val="36"/>
          <w:u w:val="single"/>
          <w:lang w:val="en-US" w:eastAsia="zh-CN"/>
        </w:rPr>
        <w:t>257</w:t>
      </w:r>
    </w:p>
    <w:p>
      <w:pPr>
        <w:spacing w:line="360" w:lineRule="auto"/>
        <w:ind w:firstLine="1800" w:firstLineChars="500"/>
        <w:outlineLvl w:val="0"/>
        <w:rPr>
          <w:rFonts w:hint="eastAsia" w:ascii="微软雅黑" w:hAnsi="微软雅黑" w:eastAsia="微软雅黑" w:cs="微软雅黑"/>
          <w:color w:val="auto"/>
          <w:sz w:val="36"/>
          <w:szCs w:val="36"/>
        </w:rPr>
      </w:pPr>
      <w:bookmarkStart w:id="3" w:name="_Toc2355"/>
      <w:r>
        <w:rPr>
          <w:rFonts w:hint="eastAsia" w:ascii="微软雅黑" w:hAnsi="微软雅黑" w:eastAsia="微软雅黑" w:cs="微软雅黑"/>
          <w:color w:val="auto"/>
          <w:sz w:val="36"/>
          <w:szCs w:val="36"/>
        </w:rPr>
        <w:t>项目名称：</w:t>
      </w:r>
      <w:bookmarkEnd w:id="3"/>
      <w:bookmarkStart w:id="237" w:name="_GoBack"/>
      <w:r>
        <w:rPr>
          <w:rFonts w:hint="eastAsia" w:ascii="微软雅黑" w:hAnsi="微软雅黑" w:eastAsia="微软雅黑" w:cs="微软雅黑"/>
          <w:color w:val="auto"/>
          <w:sz w:val="36"/>
          <w:szCs w:val="36"/>
          <w:u w:val="single"/>
        </w:rPr>
        <w:t>骨穿刺活检针</w:t>
      </w:r>
      <w:bookmarkEnd w:id="237"/>
    </w:p>
    <w:p>
      <w:pPr>
        <w:pStyle w:val="2"/>
        <w:rPr>
          <w:rFonts w:hint="eastAsia"/>
          <w:color w:val="auto"/>
        </w:rPr>
      </w:pPr>
    </w:p>
    <w:p>
      <w:pPr>
        <w:rPr>
          <w:rFonts w:hint="eastAsia"/>
          <w:color w:val="auto"/>
        </w:rPr>
      </w:pPr>
    </w:p>
    <w:p>
      <w:pPr>
        <w:spacing w:line="500" w:lineRule="exact"/>
        <w:jc w:val="center"/>
        <w:outlineLvl w:val="9"/>
        <w:rPr>
          <w:rFonts w:hint="eastAsia" w:ascii="微软雅黑" w:hAnsi="微软雅黑" w:eastAsia="微软雅黑" w:cs="微软雅黑"/>
          <w:color w:val="auto"/>
          <w:sz w:val="36"/>
          <w:szCs w:val="36"/>
        </w:rPr>
      </w:pPr>
    </w:p>
    <w:p>
      <w:pPr>
        <w:spacing w:line="500" w:lineRule="exact"/>
        <w:jc w:val="center"/>
        <w:outlineLvl w:val="0"/>
        <w:rPr>
          <w:rFonts w:hint="eastAsia" w:ascii="微软雅黑" w:hAnsi="微软雅黑" w:eastAsia="微软雅黑" w:cs="微软雅黑"/>
          <w:color w:val="auto"/>
          <w:sz w:val="36"/>
          <w:szCs w:val="36"/>
        </w:rPr>
      </w:pPr>
      <w:bookmarkStart w:id="4" w:name="_Toc16773"/>
      <w:r>
        <w:rPr>
          <w:rFonts w:hint="eastAsia" w:ascii="微软雅黑" w:hAnsi="微软雅黑" w:eastAsia="微软雅黑" w:cs="微软雅黑"/>
          <w:color w:val="auto"/>
          <w:sz w:val="36"/>
          <w:szCs w:val="36"/>
        </w:rPr>
        <w:t>重庆医科大学附属儿童医院</w:t>
      </w:r>
      <w:bookmarkEnd w:id="4"/>
    </w:p>
    <w:p>
      <w:pPr>
        <w:spacing w:line="720" w:lineRule="exact"/>
        <w:jc w:val="center"/>
        <w:outlineLvl w:val="0"/>
        <w:rPr>
          <w:rFonts w:hint="eastAsia" w:ascii="微软雅黑" w:hAnsi="微软雅黑" w:eastAsia="微软雅黑" w:cs="微软雅黑"/>
          <w:color w:val="auto"/>
          <w:sz w:val="48"/>
          <w:szCs w:val="32"/>
        </w:rPr>
      </w:pPr>
      <w:bookmarkStart w:id="5" w:name="_Toc5665"/>
      <w:r>
        <w:rPr>
          <w:rFonts w:hint="eastAsia" w:ascii="微软雅黑" w:hAnsi="微软雅黑" w:eastAsia="微软雅黑" w:cs="微软雅黑"/>
          <w:color w:val="auto"/>
          <w:sz w:val="36"/>
          <w:szCs w:val="36"/>
        </w:rPr>
        <w:t>202</w:t>
      </w:r>
      <w:r>
        <w:rPr>
          <w:rFonts w:hint="eastAsia" w:ascii="微软雅黑" w:hAnsi="微软雅黑" w:eastAsia="微软雅黑" w:cs="微软雅黑"/>
          <w:color w:val="auto"/>
          <w:sz w:val="36"/>
          <w:szCs w:val="36"/>
          <w:lang w:val="en-US" w:eastAsia="zh-CN"/>
        </w:rPr>
        <w:t>6</w:t>
      </w:r>
      <w:r>
        <w:rPr>
          <w:rFonts w:hint="eastAsia" w:ascii="微软雅黑" w:hAnsi="微软雅黑" w:eastAsia="微软雅黑" w:cs="微软雅黑"/>
          <w:color w:val="auto"/>
          <w:sz w:val="36"/>
          <w:szCs w:val="36"/>
        </w:rPr>
        <w:t>年</w:t>
      </w:r>
      <w:r>
        <w:rPr>
          <w:rFonts w:hint="eastAsia" w:ascii="微软雅黑" w:hAnsi="微软雅黑" w:eastAsia="微软雅黑" w:cs="微软雅黑"/>
          <w:color w:val="auto"/>
          <w:sz w:val="36"/>
          <w:szCs w:val="36"/>
          <w:lang w:val="en-US" w:eastAsia="zh-CN"/>
        </w:rPr>
        <w:t>8</w:t>
      </w:r>
      <w:r>
        <w:rPr>
          <w:rFonts w:hint="eastAsia" w:ascii="微软雅黑" w:hAnsi="微软雅黑" w:eastAsia="微软雅黑" w:cs="微软雅黑"/>
          <w:color w:val="auto"/>
          <w:sz w:val="36"/>
          <w:szCs w:val="36"/>
        </w:rPr>
        <w:t>月</w:t>
      </w:r>
      <w:bookmarkEnd w:id="5"/>
    </w:p>
    <w:p>
      <w:pPr>
        <w:spacing w:line="720" w:lineRule="exact"/>
        <w:jc w:val="center"/>
        <w:outlineLvl w:val="9"/>
        <w:rPr>
          <w:rFonts w:hint="eastAsia" w:ascii="微软雅黑" w:hAnsi="微软雅黑" w:eastAsia="微软雅黑" w:cs="微软雅黑"/>
          <w:color w:val="auto"/>
          <w:sz w:val="48"/>
          <w:szCs w:val="32"/>
        </w:rPr>
        <w:sectPr>
          <w:headerReference r:id="rId4" w:type="first"/>
          <w:footerReference r:id="rId7" w:type="first"/>
          <w:headerReference r:id="rId3" w:type="default"/>
          <w:footerReference r:id="rId5" w:type="default"/>
          <w:footerReference r:id="rId6" w:type="even"/>
          <w:pgSz w:w="11907" w:h="16840"/>
          <w:pgMar w:top="1134" w:right="1191" w:bottom="1134" w:left="1304" w:header="851" w:footer="992" w:gutter="0"/>
          <w:pgNumType w:fmt="numberInDash" w:start="1"/>
          <w:cols w:space="720" w:num="1"/>
          <w:titlePg/>
          <w:docGrid w:linePitch="381" w:charSpace="-5735"/>
        </w:sectPr>
      </w:pPr>
    </w:p>
    <w:p>
      <w:pPr>
        <w:spacing w:line="480" w:lineRule="exact"/>
        <w:jc w:val="center"/>
        <w:outlineLvl w:val="0"/>
        <w:rPr>
          <w:rFonts w:hint="eastAsia" w:ascii="微软雅黑" w:hAnsi="微软雅黑" w:eastAsia="微软雅黑" w:cs="微软雅黑"/>
          <w:color w:val="auto"/>
          <w:sz w:val="44"/>
          <w:szCs w:val="28"/>
        </w:rPr>
      </w:pPr>
      <w:bookmarkStart w:id="6" w:name="_Toc15814"/>
      <w:r>
        <w:rPr>
          <w:rFonts w:hint="eastAsia" w:ascii="微软雅黑" w:hAnsi="微软雅黑" w:eastAsia="微软雅黑" w:cs="微软雅黑"/>
          <w:color w:val="auto"/>
          <w:sz w:val="44"/>
          <w:szCs w:val="28"/>
        </w:rPr>
        <w:t>目   录</w:t>
      </w:r>
      <w:bookmarkEnd w:id="6"/>
    </w:p>
    <w:p>
      <w:pPr>
        <w:pStyle w:val="46"/>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color w:val="auto"/>
          <w:sz w:val="24"/>
          <w:szCs w:val="24"/>
        </w:rPr>
        <w:fldChar w:fldCharType="begin"/>
      </w:r>
      <w:r>
        <w:rPr>
          <w:rFonts w:hint="eastAsia" w:ascii="微软雅黑" w:hAnsi="微软雅黑" w:eastAsia="微软雅黑" w:cs="微软雅黑"/>
          <w:color w:val="auto"/>
          <w:sz w:val="24"/>
          <w:szCs w:val="24"/>
        </w:rPr>
        <w:instrText xml:space="preserve"> TOC \o "1-3" \h \z </w:instrText>
      </w:r>
      <w:r>
        <w:rPr>
          <w:rFonts w:hint="eastAsia" w:ascii="微软雅黑" w:hAnsi="微软雅黑" w:eastAsia="微软雅黑" w:cs="微软雅黑"/>
          <w:color w:val="auto"/>
          <w:sz w:val="24"/>
          <w:szCs w:val="24"/>
        </w:rPr>
        <w:fldChar w:fldCharType="separate"/>
      </w:r>
      <w:r>
        <w:rPr>
          <w:rFonts w:hint="eastAsia" w:ascii="微软雅黑" w:hAnsi="微软雅黑" w:eastAsia="微软雅黑" w:cs="微软雅黑"/>
          <w:color w:val="auto"/>
          <w:sz w:val="24"/>
          <w:szCs w:val="24"/>
        </w:rPr>
        <w:fldChar w:fldCharType="begin"/>
      </w:r>
      <w:r>
        <w:rPr>
          <w:rFonts w:hint="eastAsia" w:ascii="微软雅黑" w:hAnsi="微软雅黑" w:eastAsia="微软雅黑" w:cs="微软雅黑"/>
          <w:sz w:val="24"/>
          <w:szCs w:val="24"/>
        </w:rPr>
        <w:instrText xml:space="preserve"> HYPERLINK \l _Toc1968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第一篇  采购邀请书</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_Toc1968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- 2 -</w:t>
      </w:r>
      <w:r>
        <w:rPr>
          <w:rFonts w:hint="eastAsia" w:ascii="微软雅黑" w:hAnsi="微软雅黑" w:eastAsia="微软雅黑" w:cs="微软雅黑"/>
          <w:sz w:val="24"/>
          <w:szCs w:val="24"/>
        </w:rPr>
        <w:fldChar w:fldCharType="end"/>
      </w:r>
      <w:r>
        <w:rPr>
          <w:rFonts w:hint="eastAsia" w:ascii="微软雅黑" w:hAnsi="微软雅黑" w:eastAsia="微软雅黑" w:cs="微软雅黑"/>
          <w:color w:val="auto"/>
          <w:sz w:val="24"/>
          <w:szCs w:val="24"/>
        </w:rPr>
        <w:fldChar w:fldCharType="end"/>
      </w:r>
    </w:p>
    <w:p>
      <w:pPr>
        <w:pStyle w:val="46"/>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color w:val="auto"/>
          <w:sz w:val="24"/>
          <w:szCs w:val="24"/>
        </w:rPr>
        <w:fldChar w:fldCharType="begin"/>
      </w:r>
      <w:r>
        <w:rPr>
          <w:rFonts w:hint="eastAsia" w:ascii="微软雅黑" w:hAnsi="微软雅黑" w:eastAsia="微软雅黑" w:cs="微软雅黑"/>
          <w:sz w:val="24"/>
          <w:szCs w:val="24"/>
        </w:rPr>
        <w:instrText xml:space="preserve"> HYPERLINK \l _Toc3766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xml:space="preserve">一、 </w:t>
      </w:r>
      <w:r>
        <w:rPr>
          <w:rFonts w:hint="eastAsia" w:ascii="微软雅黑" w:hAnsi="微软雅黑" w:eastAsia="微软雅黑" w:cs="微软雅黑"/>
          <w:sz w:val="24"/>
          <w:szCs w:val="24"/>
          <w:lang w:eastAsia="zh-CN"/>
        </w:rPr>
        <w:t>耗材遴选</w:t>
      </w:r>
      <w:r>
        <w:rPr>
          <w:rFonts w:hint="eastAsia" w:ascii="微软雅黑" w:hAnsi="微软雅黑" w:eastAsia="微软雅黑" w:cs="微软雅黑"/>
          <w:sz w:val="24"/>
          <w:szCs w:val="24"/>
        </w:rPr>
        <w:t>采购内容</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_Toc3766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- 2 -</w:t>
      </w:r>
      <w:r>
        <w:rPr>
          <w:rFonts w:hint="eastAsia" w:ascii="微软雅黑" w:hAnsi="微软雅黑" w:eastAsia="微软雅黑" w:cs="微软雅黑"/>
          <w:sz w:val="24"/>
          <w:szCs w:val="24"/>
        </w:rPr>
        <w:fldChar w:fldCharType="end"/>
      </w:r>
      <w:r>
        <w:rPr>
          <w:rFonts w:hint="eastAsia" w:ascii="微软雅黑" w:hAnsi="微软雅黑" w:eastAsia="微软雅黑" w:cs="微软雅黑"/>
          <w:color w:val="auto"/>
          <w:sz w:val="24"/>
          <w:szCs w:val="24"/>
        </w:rPr>
        <w:fldChar w:fldCharType="end"/>
      </w:r>
    </w:p>
    <w:p>
      <w:pPr>
        <w:pStyle w:val="46"/>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color w:val="auto"/>
          <w:sz w:val="24"/>
          <w:szCs w:val="24"/>
        </w:rPr>
        <w:fldChar w:fldCharType="begin"/>
      </w:r>
      <w:r>
        <w:rPr>
          <w:rFonts w:hint="eastAsia" w:ascii="微软雅黑" w:hAnsi="微软雅黑" w:eastAsia="微软雅黑" w:cs="微软雅黑"/>
          <w:sz w:val="24"/>
          <w:szCs w:val="24"/>
        </w:rPr>
        <w:instrText xml:space="preserve"> HYPERLINK \l _Toc12454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二、投标人资格条件</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_Toc12454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- 2 -</w:t>
      </w:r>
      <w:r>
        <w:rPr>
          <w:rFonts w:hint="eastAsia" w:ascii="微软雅黑" w:hAnsi="微软雅黑" w:eastAsia="微软雅黑" w:cs="微软雅黑"/>
          <w:sz w:val="24"/>
          <w:szCs w:val="24"/>
        </w:rPr>
        <w:fldChar w:fldCharType="end"/>
      </w:r>
      <w:r>
        <w:rPr>
          <w:rFonts w:hint="eastAsia" w:ascii="微软雅黑" w:hAnsi="微软雅黑" w:eastAsia="微软雅黑" w:cs="微软雅黑"/>
          <w:color w:val="auto"/>
          <w:sz w:val="24"/>
          <w:szCs w:val="24"/>
        </w:rPr>
        <w:fldChar w:fldCharType="end"/>
      </w:r>
    </w:p>
    <w:p>
      <w:pPr>
        <w:pStyle w:val="46"/>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color w:val="auto"/>
          <w:sz w:val="24"/>
          <w:szCs w:val="24"/>
        </w:rPr>
        <w:fldChar w:fldCharType="begin"/>
      </w:r>
      <w:r>
        <w:rPr>
          <w:rFonts w:hint="eastAsia" w:ascii="微软雅黑" w:hAnsi="微软雅黑" w:eastAsia="微软雅黑" w:cs="微软雅黑"/>
          <w:sz w:val="24"/>
          <w:szCs w:val="24"/>
        </w:rPr>
        <w:instrText xml:space="preserve"> HYPERLINK \l _Toc5052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三、比选有关说明</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_Toc5052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- 2 -</w:t>
      </w:r>
      <w:r>
        <w:rPr>
          <w:rFonts w:hint="eastAsia" w:ascii="微软雅黑" w:hAnsi="微软雅黑" w:eastAsia="微软雅黑" w:cs="微软雅黑"/>
          <w:sz w:val="24"/>
          <w:szCs w:val="24"/>
        </w:rPr>
        <w:fldChar w:fldCharType="end"/>
      </w:r>
      <w:r>
        <w:rPr>
          <w:rFonts w:hint="eastAsia" w:ascii="微软雅黑" w:hAnsi="微软雅黑" w:eastAsia="微软雅黑" w:cs="微软雅黑"/>
          <w:color w:val="auto"/>
          <w:sz w:val="24"/>
          <w:szCs w:val="24"/>
        </w:rPr>
        <w:fldChar w:fldCharType="end"/>
      </w:r>
    </w:p>
    <w:p>
      <w:pPr>
        <w:pStyle w:val="46"/>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color w:val="auto"/>
          <w:sz w:val="24"/>
          <w:szCs w:val="24"/>
        </w:rPr>
        <w:fldChar w:fldCharType="begin"/>
      </w:r>
      <w:r>
        <w:rPr>
          <w:rFonts w:hint="eastAsia" w:ascii="微软雅黑" w:hAnsi="微软雅黑" w:eastAsia="微软雅黑" w:cs="微软雅黑"/>
          <w:sz w:val="24"/>
          <w:szCs w:val="24"/>
        </w:rPr>
        <w:instrText xml:space="preserve"> HYPERLINK \l _Toc1523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四、保证金</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_Toc1523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- 2 -</w:t>
      </w:r>
      <w:r>
        <w:rPr>
          <w:rFonts w:hint="eastAsia" w:ascii="微软雅黑" w:hAnsi="微软雅黑" w:eastAsia="微软雅黑" w:cs="微软雅黑"/>
          <w:sz w:val="24"/>
          <w:szCs w:val="24"/>
        </w:rPr>
        <w:fldChar w:fldCharType="end"/>
      </w:r>
      <w:r>
        <w:rPr>
          <w:rFonts w:hint="eastAsia" w:ascii="微软雅黑" w:hAnsi="微软雅黑" w:eastAsia="微软雅黑" w:cs="微软雅黑"/>
          <w:color w:val="auto"/>
          <w:sz w:val="24"/>
          <w:szCs w:val="24"/>
        </w:rPr>
        <w:fldChar w:fldCharType="end"/>
      </w:r>
    </w:p>
    <w:p>
      <w:pPr>
        <w:pStyle w:val="46"/>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color w:val="auto"/>
          <w:sz w:val="24"/>
          <w:szCs w:val="24"/>
        </w:rPr>
        <w:fldChar w:fldCharType="begin"/>
      </w:r>
      <w:r>
        <w:rPr>
          <w:rFonts w:hint="eastAsia" w:ascii="微软雅黑" w:hAnsi="微软雅黑" w:eastAsia="微软雅黑" w:cs="微软雅黑"/>
          <w:sz w:val="24"/>
          <w:szCs w:val="24"/>
        </w:rPr>
        <w:instrText xml:space="preserve"> HYPERLINK \l _Toc14933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lang w:val="en-US" w:eastAsia="zh-CN"/>
        </w:rPr>
        <w:t>五</w:t>
      </w:r>
      <w:r>
        <w:rPr>
          <w:rFonts w:hint="eastAsia" w:ascii="微软雅黑" w:hAnsi="微软雅黑" w:eastAsia="微软雅黑" w:cs="微软雅黑"/>
          <w:sz w:val="24"/>
          <w:szCs w:val="24"/>
        </w:rPr>
        <w:t>、</w:t>
      </w:r>
      <w:r>
        <w:rPr>
          <w:rFonts w:hint="eastAsia" w:ascii="微软雅黑" w:hAnsi="微软雅黑" w:eastAsia="微软雅黑" w:cs="微软雅黑"/>
          <w:sz w:val="24"/>
          <w:szCs w:val="24"/>
          <w:lang w:eastAsia="zh-CN"/>
        </w:rPr>
        <w:t>其他</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_Toc14933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- 3 -</w:t>
      </w:r>
      <w:r>
        <w:rPr>
          <w:rFonts w:hint="eastAsia" w:ascii="微软雅黑" w:hAnsi="微软雅黑" w:eastAsia="微软雅黑" w:cs="微软雅黑"/>
          <w:sz w:val="24"/>
          <w:szCs w:val="24"/>
        </w:rPr>
        <w:fldChar w:fldCharType="end"/>
      </w:r>
      <w:r>
        <w:rPr>
          <w:rFonts w:hint="eastAsia" w:ascii="微软雅黑" w:hAnsi="微软雅黑" w:eastAsia="微软雅黑" w:cs="微软雅黑"/>
          <w:color w:val="auto"/>
          <w:sz w:val="24"/>
          <w:szCs w:val="24"/>
        </w:rPr>
        <w:fldChar w:fldCharType="end"/>
      </w:r>
    </w:p>
    <w:p>
      <w:pPr>
        <w:pStyle w:val="46"/>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color w:val="auto"/>
          <w:sz w:val="24"/>
          <w:szCs w:val="24"/>
        </w:rPr>
        <w:fldChar w:fldCharType="begin"/>
      </w:r>
      <w:r>
        <w:rPr>
          <w:rFonts w:hint="eastAsia" w:ascii="微软雅黑" w:hAnsi="微软雅黑" w:eastAsia="微软雅黑" w:cs="微软雅黑"/>
          <w:sz w:val="24"/>
          <w:szCs w:val="24"/>
        </w:rPr>
        <w:instrText xml:space="preserve"> HYPERLINK \l _Toc9165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六、联系方式</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_Toc9165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- 3 -</w:t>
      </w:r>
      <w:r>
        <w:rPr>
          <w:rFonts w:hint="eastAsia" w:ascii="微软雅黑" w:hAnsi="微软雅黑" w:eastAsia="微软雅黑" w:cs="微软雅黑"/>
          <w:sz w:val="24"/>
          <w:szCs w:val="24"/>
        </w:rPr>
        <w:fldChar w:fldCharType="end"/>
      </w:r>
      <w:r>
        <w:rPr>
          <w:rFonts w:hint="eastAsia" w:ascii="微软雅黑" w:hAnsi="微软雅黑" w:eastAsia="微软雅黑" w:cs="微软雅黑"/>
          <w:color w:val="auto"/>
          <w:sz w:val="24"/>
          <w:szCs w:val="24"/>
        </w:rPr>
        <w:fldChar w:fldCharType="end"/>
      </w:r>
    </w:p>
    <w:p>
      <w:pPr>
        <w:pStyle w:val="38"/>
        <w:tabs>
          <w:tab w:val="right" w:leader="dot" w:pos="9412"/>
        </w:tabs>
        <w:ind w:leftChars="200"/>
        <w:rPr>
          <w:rFonts w:hint="eastAsia" w:ascii="微软雅黑" w:hAnsi="微软雅黑" w:eastAsia="微软雅黑" w:cs="微软雅黑"/>
          <w:sz w:val="24"/>
          <w:szCs w:val="24"/>
        </w:rPr>
      </w:pPr>
      <w:r>
        <w:rPr>
          <w:rFonts w:hint="eastAsia" w:ascii="微软雅黑" w:hAnsi="微软雅黑" w:eastAsia="微软雅黑" w:cs="微软雅黑"/>
          <w:color w:val="auto"/>
          <w:sz w:val="24"/>
          <w:szCs w:val="24"/>
        </w:rPr>
        <w:fldChar w:fldCharType="begin"/>
      </w:r>
      <w:r>
        <w:rPr>
          <w:rFonts w:hint="eastAsia" w:ascii="微软雅黑" w:hAnsi="微软雅黑" w:eastAsia="微软雅黑" w:cs="微软雅黑"/>
          <w:sz w:val="24"/>
          <w:szCs w:val="24"/>
        </w:rPr>
        <w:instrText xml:space="preserve"> HYPERLINK \l _Toc7292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第二篇 项目技术（质量）需求</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_Toc7292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- 4 -</w:t>
      </w:r>
      <w:r>
        <w:rPr>
          <w:rFonts w:hint="eastAsia" w:ascii="微软雅黑" w:hAnsi="微软雅黑" w:eastAsia="微软雅黑" w:cs="微软雅黑"/>
          <w:sz w:val="24"/>
          <w:szCs w:val="24"/>
        </w:rPr>
        <w:fldChar w:fldCharType="end"/>
      </w:r>
      <w:r>
        <w:rPr>
          <w:rFonts w:hint="eastAsia" w:ascii="微软雅黑" w:hAnsi="微软雅黑" w:eastAsia="微软雅黑" w:cs="微软雅黑"/>
          <w:color w:val="auto"/>
          <w:sz w:val="24"/>
          <w:szCs w:val="24"/>
        </w:rPr>
        <w:fldChar w:fldCharType="end"/>
      </w:r>
    </w:p>
    <w:p>
      <w:pPr>
        <w:pStyle w:val="46"/>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color w:val="auto"/>
          <w:sz w:val="24"/>
          <w:szCs w:val="24"/>
        </w:rPr>
        <w:fldChar w:fldCharType="begin"/>
      </w:r>
      <w:r>
        <w:rPr>
          <w:rFonts w:hint="eastAsia" w:ascii="微软雅黑" w:hAnsi="微软雅黑" w:eastAsia="微软雅黑" w:cs="微软雅黑"/>
          <w:sz w:val="24"/>
          <w:szCs w:val="24"/>
        </w:rPr>
        <w:instrText xml:space="preserve"> HYPERLINK \l _Toc30810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第三篇  项目商务需求</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_Toc30810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- 5 -</w:t>
      </w:r>
      <w:r>
        <w:rPr>
          <w:rFonts w:hint="eastAsia" w:ascii="微软雅黑" w:hAnsi="微软雅黑" w:eastAsia="微软雅黑" w:cs="微软雅黑"/>
          <w:sz w:val="24"/>
          <w:szCs w:val="24"/>
        </w:rPr>
        <w:fldChar w:fldCharType="end"/>
      </w:r>
      <w:r>
        <w:rPr>
          <w:rFonts w:hint="eastAsia" w:ascii="微软雅黑" w:hAnsi="微软雅黑" w:eastAsia="微软雅黑" w:cs="微软雅黑"/>
          <w:color w:val="auto"/>
          <w:sz w:val="24"/>
          <w:szCs w:val="24"/>
        </w:rPr>
        <w:fldChar w:fldCharType="end"/>
      </w:r>
    </w:p>
    <w:p>
      <w:pPr>
        <w:pStyle w:val="46"/>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color w:val="auto"/>
          <w:sz w:val="24"/>
          <w:szCs w:val="24"/>
        </w:rPr>
        <w:fldChar w:fldCharType="begin"/>
      </w:r>
      <w:r>
        <w:rPr>
          <w:rFonts w:hint="eastAsia" w:ascii="微软雅黑" w:hAnsi="微软雅黑" w:eastAsia="微软雅黑" w:cs="微软雅黑"/>
          <w:sz w:val="24"/>
          <w:szCs w:val="24"/>
        </w:rPr>
        <w:instrText xml:space="preserve"> HYPERLINK \l _Toc9075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第三篇  耗材遴选采购程序及方法、评审标准、无效响应和采购终止</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_Toc9075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- 6 -</w:t>
      </w:r>
      <w:r>
        <w:rPr>
          <w:rFonts w:hint="eastAsia" w:ascii="微软雅黑" w:hAnsi="微软雅黑" w:eastAsia="微软雅黑" w:cs="微软雅黑"/>
          <w:sz w:val="24"/>
          <w:szCs w:val="24"/>
        </w:rPr>
        <w:fldChar w:fldCharType="end"/>
      </w:r>
      <w:r>
        <w:rPr>
          <w:rFonts w:hint="eastAsia" w:ascii="微软雅黑" w:hAnsi="微软雅黑" w:eastAsia="微软雅黑" w:cs="微软雅黑"/>
          <w:color w:val="auto"/>
          <w:sz w:val="24"/>
          <w:szCs w:val="24"/>
        </w:rPr>
        <w:fldChar w:fldCharType="end"/>
      </w:r>
    </w:p>
    <w:p>
      <w:pPr>
        <w:pStyle w:val="46"/>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color w:val="auto"/>
          <w:sz w:val="24"/>
          <w:szCs w:val="24"/>
        </w:rPr>
        <w:fldChar w:fldCharType="begin"/>
      </w:r>
      <w:r>
        <w:rPr>
          <w:rFonts w:hint="eastAsia" w:ascii="微软雅黑" w:hAnsi="微软雅黑" w:eastAsia="微软雅黑" w:cs="微软雅黑"/>
          <w:sz w:val="24"/>
          <w:szCs w:val="24"/>
        </w:rPr>
        <w:instrText xml:space="preserve"> HYPERLINK \l _Toc29885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一、耗材遴选采购程序</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_Toc29885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- 6 -</w:t>
      </w:r>
      <w:r>
        <w:rPr>
          <w:rFonts w:hint="eastAsia" w:ascii="微软雅黑" w:hAnsi="微软雅黑" w:eastAsia="微软雅黑" w:cs="微软雅黑"/>
          <w:sz w:val="24"/>
          <w:szCs w:val="24"/>
        </w:rPr>
        <w:fldChar w:fldCharType="end"/>
      </w:r>
      <w:r>
        <w:rPr>
          <w:rFonts w:hint="eastAsia" w:ascii="微软雅黑" w:hAnsi="微软雅黑" w:eastAsia="微软雅黑" w:cs="微软雅黑"/>
          <w:color w:val="auto"/>
          <w:sz w:val="24"/>
          <w:szCs w:val="24"/>
        </w:rPr>
        <w:fldChar w:fldCharType="end"/>
      </w:r>
    </w:p>
    <w:p>
      <w:pPr>
        <w:pStyle w:val="46"/>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color w:val="auto"/>
          <w:sz w:val="24"/>
          <w:szCs w:val="24"/>
        </w:rPr>
        <w:fldChar w:fldCharType="begin"/>
      </w:r>
      <w:r>
        <w:rPr>
          <w:rFonts w:hint="eastAsia" w:ascii="微软雅黑" w:hAnsi="微软雅黑" w:eastAsia="微软雅黑" w:cs="微软雅黑"/>
          <w:sz w:val="24"/>
          <w:szCs w:val="24"/>
        </w:rPr>
        <w:instrText xml:space="preserve"> HYPERLINK \l _Toc7442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二、评审标准</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_Toc7442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- 7 -</w:t>
      </w:r>
      <w:r>
        <w:rPr>
          <w:rFonts w:hint="eastAsia" w:ascii="微软雅黑" w:hAnsi="微软雅黑" w:eastAsia="微软雅黑" w:cs="微软雅黑"/>
          <w:sz w:val="24"/>
          <w:szCs w:val="24"/>
        </w:rPr>
        <w:fldChar w:fldCharType="end"/>
      </w:r>
      <w:r>
        <w:rPr>
          <w:rFonts w:hint="eastAsia" w:ascii="微软雅黑" w:hAnsi="微软雅黑" w:eastAsia="微软雅黑" w:cs="微软雅黑"/>
          <w:color w:val="auto"/>
          <w:sz w:val="24"/>
          <w:szCs w:val="24"/>
        </w:rPr>
        <w:fldChar w:fldCharType="end"/>
      </w:r>
    </w:p>
    <w:p>
      <w:pPr>
        <w:pStyle w:val="46"/>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color w:val="auto"/>
          <w:sz w:val="24"/>
          <w:szCs w:val="24"/>
        </w:rPr>
        <w:fldChar w:fldCharType="begin"/>
      </w:r>
      <w:r>
        <w:rPr>
          <w:rFonts w:hint="eastAsia" w:ascii="微软雅黑" w:hAnsi="微软雅黑" w:eastAsia="微软雅黑" w:cs="微软雅黑"/>
          <w:sz w:val="24"/>
          <w:szCs w:val="24"/>
        </w:rPr>
        <w:instrText xml:space="preserve"> HYPERLINK \l _Toc21416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lang w:val="en-US" w:eastAsia="zh-CN"/>
        </w:rPr>
        <w:t>三</w:t>
      </w:r>
      <w:r>
        <w:rPr>
          <w:rFonts w:hint="eastAsia" w:ascii="微软雅黑" w:hAnsi="微软雅黑" w:eastAsia="微软雅黑" w:cs="微软雅黑"/>
          <w:sz w:val="24"/>
          <w:szCs w:val="24"/>
        </w:rPr>
        <w:t>、无效响应</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_Toc21416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- 7 -</w:t>
      </w:r>
      <w:r>
        <w:rPr>
          <w:rFonts w:hint="eastAsia" w:ascii="微软雅黑" w:hAnsi="微软雅黑" w:eastAsia="微软雅黑" w:cs="微软雅黑"/>
          <w:sz w:val="24"/>
          <w:szCs w:val="24"/>
        </w:rPr>
        <w:fldChar w:fldCharType="end"/>
      </w:r>
      <w:r>
        <w:rPr>
          <w:rFonts w:hint="eastAsia" w:ascii="微软雅黑" w:hAnsi="微软雅黑" w:eastAsia="微软雅黑" w:cs="微软雅黑"/>
          <w:color w:val="auto"/>
          <w:sz w:val="24"/>
          <w:szCs w:val="24"/>
        </w:rPr>
        <w:fldChar w:fldCharType="end"/>
      </w:r>
    </w:p>
    <w:p>
      <w:pPr>
        <w:pStyle w:val="46"/>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color w:val="auto"/>
          <w:sz w:val="24"/>
          <w:szCs w:val="24"/>
        </w:rPr>
        <w:fldChar w:fldCharType="begin"/>
      </w:r>
      <w:r>
        <w:rPr>
          <w:rFonts w:hint="eastAsia" w:ascii="微软雅黑" w:hAnsi="微软雅黑" w:eastAsia="微软雅黑" w:cs="微软雅黑"/>
          <w:sz w:val="24"/>
          <w:szCs w:val="24"/>
        </w:rPr>
        <w:instrText xml:space="preserve"> HYPERLINK \l _Toc21652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lang w:val="en-US" w:eastAsia="zh-CN"/>
        </w:rPr>
        <w:t>四</w:t>
      </w:r>
      <w:r>
        <w:rPr>
          <w:rFonts w:hint="eastAsia" w:ascii="微软雅黑" w:hAnsi="微软雅黑" w:eastAsia="微软雅黑" w:cs="微软雅黑"/>
          <w:sz w:val="24"/>
          <w:szCs w:val="24"/>
        </w:rPr>
        <w:t>、废标条款</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_Toc21652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- 7 -</w:t>
      </w:r>
      <w:r>
        <w:rPr>
          <w:rFonts w:hint="eastAsia" w:ascii="微软雅黑" w:hAnsi="微软雅黑" w:eastAsia="微软雅黑" w:cs="微软雅黑"/>
          <w:sz w:val="24"/>
          <w:szCs w:val="24"/>
        </w:rPr>
        <w:fldChar w:fldCharType="end"/>
      </w:r>
      <w:r>
        <w:rPr>
          <w:rFonts w:hint="eastAsia" w:ascii="微软雅黑" w:hAnsi="微软雅黑" w:eastAsia="微软雅黑" w:cs="微软雅黑"/>
          <w:color w:val="auto"/>
          <w:sz w:val="24"/>
          <w:szCs w:val="24"/>
        </w:rPr>
        <w:fldChar w:fldCharType="end"/>
      </w:r>
    </w:p>
    <w:p>
      <w:pPr>
        <w:pStyle w:val="46"/>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color w:val="auto"/>
          <w:sz w:val="24"/>
          <w:szCs w:val="24"/>
        </w:rPr>
        <w:fldChar w:fldCharType="begin"/>
      </w:r>
      <w:r>
        <w:rPr>
          <w:rFonts w:hint="eastAsia" w:ascii="微软雅黑" w:hAnsi="微软雅黑" w:eastAsia="微软雅黑" w:cs="微软雅黑"/>
          <w:sz w:val="24"/>
          <w:szCs w:val="24"/>
        </w:rPr>
        <w:instrText xml:space="preserve"> HYPERLINK \l _Toc2424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第四篇  投标人须知</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_Toc2424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- 9 -</w:t>
      </w:r>
      <w:r>
        <w:rPr>
          <w:rFonts w:hint="eastAsia" w:ascii="微软雅黑" w:hAnsi="微软雅黑" w:eastAsia="微软雅黑" w:cs="微软雅黑"/>
          <w:sz w:val="24"/>
          <w:szCs w:val="24"/>
        </w:rPr>
        <w:fldChar w:fldCharType="end"/>
      </w:r>
      <w:r>
        <w:rPr>
          <w:rFonts w:hint="eastAsia" w:ascii="微软雅黑" w:hAnsi="微软雅黑" w:eastAsia="微软雅黑" w:cs="微软雅黑"/>
          <w:color w:val="auto"/>
          <w:sz w:val="24"/>
          <w:szCs w:val="24"/>
        </w:rPr>
        <w:fldChar w:fldCharType="end"/>
      </w:r>
    </w:p>
    <w:p>
      <w:pPr>
        <w:pStyle w:val="46"/>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color w:val="auto"/>
          <w:sz w:val="24"/>
          <w:szCs w:val="24"/>
        </w:rPr>
        <w:fldChar w:fldCharType="begin"/>
      </w:r>
      <w:r>
        <w:rPr>
          <w:rFonts w:hint="eastAsia" w:ascii="微软雅黑" w:hAnsi="微软雅黑" w:eastAsia="微软雅黑" w:cs="微软雅黑"/>
          <w:sz w:val="24"/>
          <w:szCs w:val="24"/>
        </w:rPr>
        <w:instrText xml:space="preserve"> HYPERLINK \l _Toc4805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一、耗材遴选费用</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_Toc4805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- 9 -</w:t>
      </w:r>
      <w:r>
        <w:rPr>
          <w:rFonts w:hint="eastAsia" w:ascii="微软雅黑" w:hAnsi="微软雅黑" w:eastAsia="微软雅黑" w:cs="微软雅黑"/>
          <w:sz w:val="24"/>
          <w:szCs w:val="24"/>
        </w:rPr>
        <w:fldChar w:fldCharType="end"/>
      </w:r>
      <w:r>
        <w:rPr>
          <w:rFonts w:hint="eastAsia" w:ascii="微软雅黑" w:hAnsi="微软雅黑" w:eastAsia="微软雅黑" w:cs="微软雅黑"/>
          <w:color w:val="auto"/>
          <w:sz w:val="24"/>
          <w:szCs w:val="24"/>
        </w:rPr>
        <w:fldChar w:fldCharType="end"/>
      </w:r>
    </w:p>
    <w:p>
      <w:pPr>
        <w:pStyle w:val="46"/>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color w:val="auto"/>
          <w:sz w:val="24"/>
          <w:szCs w:val="24"/>
        </w:rPr>
        <w:fldChar w:fldCharType="begin"/>
      </w:r>
      <w:r>
        <w:rPr>
          <w:rFonts w:hint="eastAsia" w:ascii="微软雅黑" w:hAnsi="微软雅黑" w:eastAsia="微软雅黑" w:cs="微软雅黑"/>
          <w:sz w:val="24"/>
          <w:szCs w:val="24"/>
        </w:rPr>
        <w:instrText xml:space="preserve"> HYPERLINK \l _Toc21022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二、</w:t>
      </w:r>
      <w:r>
        <w:rPr>
          <w:rFonts w:hint="eastAsia" w:ascii="微软雅黑" w:hAnsi="微软雅黑" w:eastAsia="微软雅黑" w:cs="微软雅黑"/>
          <w:sz w:val="24"/>
          <w:szCs w:val="24"/>
          <w:lang w:eastAsia="zh-CN"/>
        </w:rPr>
        <w:t>耗材遴选采购</w:t>
      </w:r>
      <w:r>
        <w:rPr>
          <w:rFonts w:hint="eastAsia" w:ascii="微软雅黑" w:hAnsi="微软雅黑" w:eastAsia="微软雅黑" w:cs="微软雅黑"/>
          <w:sz w:val="24"/>
          <w:szCs w:val="24"/>
        </w:rPr>
        <w:t>文件</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_Toc21022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- 9 -</w:t>
      </w:r>
      <w:r>
        <w:rPr>
          <w:rFonts w:hint="eastAsia" w:ascii="微软雅黑" w:hAnsi="微软雅黑" w:eastAsia="微软雅黑" w:cs="微软雅黑"/>
          <w:sz w:val="24"/>
          <w:szCs w:val="24"/>
        </w:rPr>
        <w:fldChar w:fldCharType="end"/>
      </w:r>
      <w:r>
        <w:rPr>
          <w:rFonts w:hint="eastAsia" w:ascii="微软雅黑" w:hAnsi="微软雅黑" w:eastAsia="微软雅黑" w:cs="微软雅黑"/>
          <w:color w:val="auto"/>
          <w:sz w:val="24"/>
          <w:szCs w:val="24"/>
        </w:rPr>
        <w:fldChar w:fldCharType="end"/>
      </w:r>
    </w:p>
    <w:p>
      <w:pPr>
        <w:pStyle w:val="46"/>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color w:val="auto"/>
          <w:sz w:val="24"/>
          <w:szCs w:val="24"/>
        </w:rPr>
        <w:fldChar w:fldCharType="begin"/>
      </w:r>
      <w:r>
        <w:rPr>
          <w:rFonts w:hint="eastAsia" w:ascii="微软雅黑" w:hAnsi="微软雅黑" w:eastAsia="微软雅黑" w:cs="微软雅黑"/>
          <w:sz w:val="24"/>
          <w:szCs w:val="24"/>
        </w:rPr>
        <w:instrText xml:space="preserve"> HYPERLINK \l _Toc18631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三、</w:t>
      </w:r>
      <w:r>
        <w:rPr>
          <w:rFonts w:hint="eastAsia" w:ascii="微软雅黑" w:hAnsi="微软雅黑" w:eastAsia="微软雅黑" w:cs="微软雅黑"/>
          <w:sz w:val="24"/>
          <w:szCs w:val="24"/>
          <w:lang w:val="en-US" w:eastAsia="zh-CN"/>
        </w:rPr>
        <w:t>遴选</w:t>
      </w:r>
      <w:r>
        <w:rPr>
          <w:rFonts w:hint="eastAsia" w:ascii="微软雅黑" w:hAnsi="微软雅黑" w:eastAsia="微软雅黑" w:cs="微软雅黑"/>
          <w:sz w:val="24"/>
          <w:szCs w:val="24"/>
        </w:rPr>
        <w:t>要求</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_Toc18631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- 9 -</w:t>
      </w:r>
      <w:r>
        <w:rPr>
          <w:rFonts w:hint="eastAsia" w:ascii="微软雅黑" w:hAnsi="微软雅黑" w:eastAsia="微软雅黑" w:cs="微软雅黑"/>
          <w:sz w:val="24"/>
          <w:szCs w:val="24"/>
        </w:rPr>
        <w:fldChar w:fldCharType="end"/>
      </w:r>
      <w:r>
        <w:rPr>
          <w:rFonts w:hint="eastAsia" w:ascii="微软雅黑" w:hAnsi="微软雅黑" w:eastAsia="微软雅黑" w:cs="微软雅黑"/>
          <w:color w:val="auto"/>
          <w:sz w:val="24"/>
          <w:szCs w:val="24"/>
        </w:rPr>
        <w:fldChar w:fldCharType="end"/>
      </w:r>
    </w:p>
    <w:p>
      <w:pPr>
        <w:pStyle w:val="46"/>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color w:val="auto"/>
          <w:sz w:val="24"/>
          <w:szCs w:val="24"/>
        </w:rPr>
        <w:fldChar w:fldCharType="begin"/>
      </w:r>
      <w:r>
        <w:rPr>
          <w:rFonts w:hint="eastAsia" w:ascii="微软雅黑" w:hAnsi="微软雅黑" w:eastAsia="微软雅黑" w:cs="微软雅黑"/>
          <w:sz w:val="24"/>
          <w:szCs w:val="24"/>
        </w:rPr>
        <w:instrText xml:space="preserve"> HYPERLINK \l _Toc13154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四、中标人的确认和变更</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_Toc13154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- 10 -</w:t>
      </w:r>
      <w:r>
        <w:rPr>
          <w:rFonts w:hint="eastAsia" w:ascii="微软雅黑" w:hAnsi="微软雅黑" w:eastAsia="微软雅黑" w:cs="微软雅黑"/>
          <w:sz w:val="24"/>
          <w:szCs w:val="24"/>
        </w:rPr>
        <w:fldChar w:fldCharType="end"/>
      </w:r>
      <w:r>
        <w:rPr>
          <w:rFonts w:hint="eastAsia" w:ascii="微软雅黑" w:hAnsi="微软雅黑" w:eastAsia="微软雅黑" w:cs="微软雅黑"/>
          <w:color w:val="auto"/>
          <w:sz w:val="24"/>
          <w:szCs w:val="24"/>
        </w:rPr>
        <w:fldChar w:fldCharType="end"/>
      </w:r>
    </w:p>
    <w:p>
      <w:pPr>
        <w:pStyle w:val="46"/>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color w:val="auto"/>
          <w:sz w:val="24"/>
          <w:szCs w:val="24"/>
        </w:rPr>
        <w:fldChar w:fldCharType="begin"/>
      </w:r>
      <w:r>
        <w:rPr>
          <w:rFonts w:hint="eastAsia" w:ascii="微软雅黑" w:hAnsi="微软雅黑" w:eastAsia="微软雅黑" w:cs="微软雅黑"/>
          <w:sz w:val="24"/>
          <w:szCs w:val="24"/>
        </w:rPr>
        <w:instrText xml:space="preserve"> HYPERLINK \l _Toc447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五、成交通知</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_Toc447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- 10 -</w:t>
      </w:r>
      <w:r>
        <w:rPr>
          <w:rFonts w:hint="eastAsia" w:ascii="微软雅黑" w:hAnsi="微软雅黑" w:eastAsia="微软雅黑" w:cs="微软雅黑"/>
          <w:sz w:val="24"/>
          <w:szCs w:val="24"/>
        </w:rPr>
        <w:fldChar w:fldCharType="end"/>
      </w:r>
      <w:r>
        <w:rPr>
          <w:rFonts w:hint="eastAsia" w:ascii="微软雅黑" w:hAnsi="微软雅黑" w:eastAsia="微软雅黑" w:cs="微软雅黑"/>
          <w:color w:val="auto"/>
          <w:sz w:val="24"/>
          <w:szCs w:val="24"/>
        </w:rPr>
        <w:fldChar w:fldCharType="end"/>
      </w:r>
    </w:p>
    <w:p>
      <w:pPr>
        <w:pStyle w:val="46"/>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color w:val="auto"/>
          <w:sz w:val="24"/>
          <w:szCs w:val="24"/>
        </w:rPr>
        <w:fldChar w:fldCharType="begin"/>
      </w:r>
      <w:r>
        <w:rPr>
          <w:rFonts w:hint="eastAsia" w:ascii="微软雅黑" w:hAnsi="微软雅黑" w:eastAsia="微软雅黑" w:cs="微软雅黑"/>
          <w:sz w:val="24"/>
          <w:szCs w:val="24"/>
        </w:rPr>
        <w:instrText xml:space="preserve"> HYPERLINK \l _Toc15948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六、质疑处理</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_Toc15948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- 10 -</w:t>
      </w:r>
      <w:r>
        <w:rPr>
          <w:rFonts w:hint="eastAsia" w:ascii="微软雅黑" w:hAnsi="微软雅黑" w:eastAsia="微软雅黑" w:cs="微软雅黑"/>
          <w:sz w:val="24"/>
          <w:szCs w:val="24"/>
        </w:rPr>
        <w:fldChar w:fldCharType="end"/>
      </w:r>
      <w:r>
        <w:rPr>
          <w:rFonts w:hint="eastAsia" w:ascii="微软雅黑" w:hAnsi="微软雅黑" w:eastAsia="微软雅黑" w:cs="微软雅黑"/>
          <w:color w:val="auto"/>
          <w:sz w:val="24"/>
          <w:szCs w:val="24"/>
        </w:rPr>
        <w:fldChar w:fldCharType="end"/>
      </w:r>
    </w:p>
    <w:p>
      <w:pPr>
        <w:pStyle w:val="46"/>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color w:val="auto"/>
          <w:sz w:val="24"/>
          <w:szCs w:val="24"/>
        </w:rPr>
        <w:fldChar w:fldCharType="begin"/>
      </w:r>
      <w:r>
        <w:rPr>
          <w:rFonts w:hint="eastAsia" w:ascii="微软雅黑" w:hAnsi="微软雅黑" w:eastAsia="微软雅黑" w:cs="微软雅黑"/>
          <w:sz w:val="24"/>
          <w:szCs w:val="24"/>
        </w:rPr>
        <w:instrText xml:space="preserve"> HYPERLINK \l _Toc23339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七、签订合同</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_Toc23339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- 11 -</w:t>
      </w:r>
      <w:r>
        <w:rPr>
          <w:rFonts w:hint="eastAsia" w:ascii="微软雅黑" w:hAnsi="微软雅黑" w:eastAsia="微软雅黑" w:cs="微软雅黑"/>
          <w:sz w:val="24"/>
          <w:szCs w:val="24"/>
        </w:rPr>
        <w:fldChar w:fldCharType="end"/>
      </w:r>
      <w:r>
        <w:rPr>
          <w:rFonts w:hint="eastAsia" w:ascii="微软雅黑" w:hAnsi="微软雅黑" w:eastAsia="微软雅黑" w:cs="微软雅黑"/>
          <w:color w:val="auto"/>
          <w:sz w:val="24"/>
          <w:szCs w:val="24"/>
        </w:rPr>
        <w:fldChar w:fldCharType="end"/>
      </w:r>
    </w:p>
    <w:p>
      <w:pPr>
        <w:pStyle w:val="46"/>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color w:val="auto"/>
          <w:sz w:val="24"/>
          <w:szCs w:val="24"/>
        </w:rPr>
        <w:fldChar w:fldCharType="begin"/>
      </w:r>
      <w:r>
        <w:rPr>
          <w:rFonts w:hint="eastAsia" w:ascii="微软雅黑" w:hAnsi="微软雅黑" w:eastAsia="微软雅黑" w:cs="微软雅黑"/>
          <w:sz w:val="24"/>
          <w:szCs w:val="24"/>
        </w:rPr>
        <w:instrText xml:space="preserve"> HYPERLINK \l _Toc28846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第五篇  响应文件编制要求</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_Toc28846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- 12 -</w:t>
      </w:r>
      <w:r>
        <w:rPr>
          <w:rFonts w:hint="eastAsia" w:ascii="微软雅黑" w:hAnsi="微软雅黑" w:eastAsia="微软雅黑" w:cs="微软雅黑"/>
          <w:sz w:val="24"/>
          <w:szCs w:val="24"/>
        </w:rPr>
        <w:fldChar w:fldCharType="end"/>
      </w:r>
      <w:r>
        <w:rPr>
          <w:rFonts w:hint="eastAsia" w:ascii="微软雅黑" w:hAnsi="微软雅黑" w:eastAsia="微软雅黑" w:cs="微软雅黑"/>
          <w:color w:val="auto"/>
          <w:sz w:val="24"/>
          <w:szCs w:val="24"/>
        </w:rPr>
        <w:fldChar w:fldCharType="end"/>
      </w:r>
    </w:p>
    <w:p>
      <w:pPr>
        <w:pStyle w:val="46"/>
        <w:tabs>
          <w:tab w:val="right" w:leader="dot" w:pos="9402"/>
        </w:tabs>
        <w:spacing w:line="480" w:lineRule="exact"/>
        <w:ind w:left="560"/>
        <w:jc w:val="center"/>
        <w:rPr>
          <w:rFonts w:hint="eastAsia" w:ascii="微软雅黑" w:hAnsi="微软雅黑" w:eastAsia="微软雅黑" w:cs="微软雅黑"/>
          <w:color w:val="auto"/>
          <w:sz w:val="18"/>
          <w:szCs w:val="22"/>
        </w:rPr>
        <w:sectPr>
          <w:pgSz w:w="11907" w:h="16840"/>
          <w:pgMar w:top="1134" w:right="1191" w:bottom="1134" w:left="1304" w:header="851" w:footer="992" w:gutter="0"/>
          <w:pgNumType w:fmt="numberInDash" w:start="1"/>
          <w:cols w:space="720" w:num="1"/>
          <w:docGrid w:linePitch="381" w:charSpace="-5735"/>
        </w:sectPr>
      </w:pPr>
      <w:r>
        <w:rPr>
          <w:rFonts w:hint="eastAsia" w:ascii="微软雅黑" w:hAnsi="微软雅黑" w:eastAsia="微软雅黑" w:cs="微软雅黑"/>
          <w:color w:val="auto"/>
          <w:szCs w:val="24"/>
        </w:rPr>
        <w:fldChar w:fldCharType="end"/>
      </w:r>
    </w:p>
    <w:p>
      <w:pPr>
        <w:pStyle w:val="4"/>
        <w:spacing w:before="200" w:after="200" w:line="240" w:lineRule="auto"/>
        <w:jc w:val="center"/>
        <w:rPr>
          <w:rFonts w:hint="eastAsia" w:ascii="微软雅黑" w:hAnsi="微软雅黑" w:eastAsia="微软雅黑" w:cs="微软雅黑"/>
          <w:color w:val="auto"/>
          <w:sz w:val="44"/>
        </w:rPr>
      </w:pPr>
      <w:bookmarkStart w:id="7" w:name="_Toc11641050"/>
      <w:bookmarkStart w:id="8" w:name="_Toc106030870"/>
      <w:bookmarkStart w:id="9" w:name="_Toc76462316"/>
      <w:bookmarkStart w:id="10" w:name="_Toc24037"/>
      <w:bookmarkStart w:id="11" w:name="_Toc12789052"/>
      <w:bookmarkStart w:id="12" w:name="_Toc1968"/>
      <w:bookmarkStart w:id="13" w:name="_Toc15319"/>
      <w:r>
        <w:rPr>
          <w:rFonts w:hint="eastAsia" w:ascii="微软雅黑" w:hAnsi="微软雅黑" w:eastAsia="微软雅黑" w:cs="微软雅黑"/>
          <w:color w:val="auto"/>
          <w:sz w:val="44"/>
        </w:rPr>
        <w:t>第一篇  采购邀请书</w:t>
      </w:r>
      <w:bookmarkEnd w:id="7"/>
      <w:bookmarkEnd w:id="8"/>
      <w:bookmarkEnd w:id="9"/>
      <w:bookmarkEnd w:id="10"/>
      <w:bookmarkEnd w:id="11"/>
      <w:bookmarkEnd w:id="12"/>
      <w:bookmarkEnd w:id="13"/>
    </w:p>
    <w:p>
      <w:pPr>
        <w:rPr>
          <w:rFonts w:hint="eastAsia" w:ascii="微软雅黑" w:hAnsi="微软雅黑" w:eastAsia="微软雅黑" w:cs="微软雅黑"/>
          <w:color w:val="auto"/>
        </w:rPr>
      </w:pPr>
      <w:r>
        <w:rPr>
          <w:rFonts w:hint="eastAsia" w:ascii="微软雅黑" w:hAnsi="微软雅黑" w:eastAsia="微软雅黑" w:cs="微软雅黑"/>
          <w:color w:val="auto"/>
          <w:sz w:val="24"/>
          <w:szCs w:val="24"/>
        </w:rPr>
        <w:t xml:space="preserve">    重庆医科大学附属儿童医院对</w:t>
      </w:r>
      <w:r>
        <w:rPr>
          <w:rFonts w:hint="eastAsia" w:ascii="微软雅黑" w:hAnsi="微软雅黑" w:eastAsia="微软雅黑" w:cs="微软雅黑"/>
          <w:color w:val="auto"/>
          <w:sz w:val="24"/>
          <w:szCs w:val="24"/>
          <w:u w:val="single"/>
        </w:rPr>
        <w:t>骨穿刺活检针</w:t>
      </w:r>
      <w:r>
        <w:rPr>
          <w:rFonts w:hint="eastAsia" w:ascii="微软雅黑" w:hAnsi="微软雅黑" w:eastAsia="微软雅黑" w:cs="微软雅黑"/>
          <w:color w:val="auto"/>
          <w:sz w:val="24"/>
          <w:szCs w:val="24"/>
        </w:rPr>
        <w:t>项目进行</w:t>
      </w:r>
      <w:r>
        <w:rPr>
          <w:rFonts w:hint="eastAsia" w:ascii="微软雅黑" w:hAnsi="微软雅黑" w:eastAsia="微软雅黑" w:cs="微软雅黑"/>
          <w:color w:val="auto"/>
          <w:sz w:val="24"/>
          <w:szCs w:val="24"/>
          <w:lang w:eastAsia="zh-CN"/>
        </w:rPr>
        <w:t>耗材遴选</w:t>
      </w:r>
      <w:r>
        <w:rPr>
          <w:rFonts w:hint="eastAsia" w:ascii="微软雅黑" w:hAnsi="微软雅黑" w:eastAsia="微软雅黑" w:cs="微软雅黑"/>
          <w:color w:val="auto"/>
          <w:sz w:val="24"/>
          <w:szCs w:val="24"/>
        </w:rPr>
        <w:t>采购。欢迎有资格的投标人前来参与。</w:t>
      </w:r>
    </w:p>
    <w:p>
      <w:pPr>
        <w:pStyle w:val="4"/>
        <w:numPr>
          <w:ilvl w:val="0"/>
          <w:numId w:val="14"/>
        </w:numPr>
        <w:adjustRightInd w:val="0"/>
        <w:snapToGrid w:val="0"/>
        <w:spacing w:before="0" w:after="0" w:line="400" w:lineRule="exact"/>
        <w:rPr>
          <w:rFonts w:hint="eastAsia" w:ascii="微软雅黑" w:hAnsi="微软雅黑" w:eastAsia="微软雅黑" w:cs="微软雅黑"/>
          <w:color w:val="auto"/>
          <w:sz w:val="24"/>
        </w:rPr>
      </w:pPr>
      <w:bookmarkStart w:id="14" w:name="_Toc3856"/>
      <w:bookmarkStart w:id="15" w:name="_Toc3766"/>
      <w:bookmarkStart w:id="16" w:name="_Toc76462317"/>
      <w:bookmarkStart w:id="17" w:name="_Toc106030871"/>
      <w:bookmarkStart w:id="18" w:name="_Toc29268"/>
      <w:bookmarkStart w:id="19" w:name="_Toc313893526"/>
      <w:bookmarkStart w:id="20" w:name="_Toc317775175"/>
      <w:r>
        <w:rPr>
          <w:rFonts w:hint="eastAsia" w:ascii="微软雅黑" w:hAnsi="微软雅黑" w:eastAsia="微软雅黑" w:cs="微软雅黑"/>
          <w:color w:val="auto"/>
          <w:sz w:val="24"/>
          <w:lang w:eastAsia="zh-CN"/>
        </w:rPr>
        <w:t>耗材遴选</w:t>
      </w:r>
      <w:r>
        <w:rPr>
          <w:rFonts w:hint="eastAsia" w:ascii="微软雅黑" w:hAnsi="微软雅黑" w:eastAsia="微软雅黑" w:cs="微软雅黑"/>
          <w:color w:val="auto"/>
          <w:sz w:val="24"/>
        </w:rPr>
        <w:t>采购内容</w:t>
      </w:r>
      <w:bookmarkEnd w:id="14"/>
      <w:bookmarkEnd w:id="15"/>
      <w:bookmarkEnd w:id="16"/>
      <w:bookmarkEnd w:id="17"/>
      <w:bookmarkEnd w:id="18"/>
      <w:bookmarkEnd w:id="19"/>
      <w:bookmarkEnd w:id="20"/>
    </w:p>
    <w:tbl>
      <w:tblPr>
        <w:tblStyle w:val="58"/>
        <w:tblW w:w="4222"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50"/>
        <w:gridCol w:w="2970"/>
        <w:gridCol w:w="1427"/>
        <w:gridCol w:w="208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0" w:hRule="atLeast"/>
          <w:jc w:val="center"/>
        </w:trPr>
        <w:tc>
          <w:tcPr>
            <w:tcW w:w="964" w:type="pct"/>
            <w:tcBorders>
              <w:top w:val="single" w:color="auto" w:sz="4" w:space="0"/>
              <w:left w:val="single" w:color="auto" w:sz="4" w:space="0"/>
              <w:right w:val="single" w:color="auto" w:sz="4" w:space="0"/>
            </w:tcBorders>
            <w:vAlign w:val="center"/>
          </w:tcPr>
          <w:p>
            <w:pPr>
              <w:widowControl/>
              <w:jc w:val="center"/>
              <w:rPr>
                <w:rFonts w:hint="eastAsia" w:ascii="微软雅黑" w:hAnsi="微软雅黑" w:eastAsia="微软雅黑" w:cs="微软雅黑"/>
                <w:b/>
                <w:bCs/>
                <w:color w:val="auto"/>
                <w:kern w:val="0"/>
                <w:sz w:val="21"/>
                <w:szCs w:val="24"/>
              </w:rPr>
            </w:pPr>
            <w:bookmarkStart w:id="21" w:name="_Toc76462318"/>
            <w:bookmarkStart w:id="22" w:name="_Toc106030872"/>
            <w:bookmarkStart w:id="23" w:name="_Toc373860293"/>
            <w:bookmarkStart w:id="24" w:name="_Toc317775178"/>
            <w:r>
              <w:rPr>
                <w:rFonts w:hint="eastAsia" w:ascii="微软雅黑" w:hAnsi="微软雅黑" w:eastAsia="微软雅黑" w:cs="微软雅黑"/>
                <w:b/>
                <w:bCs/>
                <w:color w:val="auto"/>
                <w:kern w:val="0"/>
                <w:sz w:val="21"/>
                <w:szCs w:val="24"/>
              </w:rPr>
              <w:t>项目编号</w:t>
            </w:r>
          </w:p>
        </w:tc>
        <w:tc>
          <w:tcPr>
            <w:tcW w:w="1848" w:type="pct"/>
            <w:tcBorders>
              <w:top w:val="single" w:color="auto" w:sz="4" w:space="0"/>
              <w:left w:val="single" w:color="auto" w:sz="4" w:space="0"/>
              <w:right w:val="single" w:color="auto" w:sz="4" w:space="0"/>
            </w:tcBorders>
            <w:vAlign w:val="center"/>
          </w:tcPr>
          <w:p>
            <w:pPr>
              <w:widowControl/>
              <w:jc w:val="center"/>
              <w:rPr>
                <w:rFonts w:hint="eastAsia" w:ascii="微软雅黑" w:hAnsi="微软雅黑" w:eastAsia="微软雅黑" w:cs="微软雅黑"/>
                <w:b/>
                <w:bCs/>
                <w:color w:val="auto"/>
                <w:kern w:val="0"/>
                <w:sz w:val="21"/>
                <w:szCs w:val="24"/>
              </w:rPr>
            </w:pPr>
            <w:r>
              <w:rPr>
                <w:rFonts w:hint="eastAsia" w:ascii="微软雅黑" w:hAnsi="微软雅黑" w:eastAsia="微软雅黑" w:cs="微软雅黑"/>
                <w:b/>
                <w:bCs/>
                <w:color w:val="auto"/>
                <w:kern w:val="0"/>
                <w:sz w:val="21"/>
                <w:szCs w:val="24"/>
              </w:rPr>
              <w:t>项目名称</w:t>
            </w:r>
          </w:p>
        </w:tc>
        <w:tc>
          <w:tcPr>
            <w:tcW w:w="887" w:type="pct"/>
            <w:tcBorders>
              <w:top w:val="single" w:color="auto" w:sz="4" w:space="0"/>
              <w:left w:val="single" w:color="auto" w:sz="4" w:space="0"/>
              <w:right w:val="single" w:color="auto" w:sz="4" w:space="0"/>
            </w:tcBorders>
            <w:vAlign w:val="center"/>
          </w:tcPr>
          <w:p>
            <w:pPr>
              <w:widowControl/>
              <w:jc w:val="center"/>
              <w:rPr>
                <w:rFonts w:hint="eastAsia" w:ascii="微软雅黑" w:hAnsi="微软雅黑" w:eastAsia="微软雅黑" w:cs="微软雅黑"/>
                <w:b/>
                <w:bCs/>
                <w:color w:val="auto"/>
                <w:kern w:val="0"/>
                <w:sz w:val="21"/>
                <w:szCs w:val="24"/>
              </w:rPr>
            </w:pPr>
            <w:r>
              <w:rPr>
                <w:rFonts w:hint="eastAsia" w:ascii="微软雅黑" w:hAnsi="微软雅黑" w:eastAsia="微软雅黑" w:cs="微软雅黑"/>
                <w:b/>
                <w:bCs/>
                <w:color w:val="auto"/>
                <w:kern w:val="0"/>
                <w:sz w:val="21"/>
                <w:szCs w:val="24"/>
              </w:rPr>
              <w:t>保证金</w:t>
            </w:r>
          </w:p>
          <w:p>
            <w:pPr>
              <w:widowControl/>
              <w:jc w:val="center"/>
              <w:rPr>
                <w:rFonts w:hint="eastAsia" w:ascii="微软雅黑" w:hAnsi="微软雅黑" w:eastAsia="微软雅黑" w:cs="微软雅黑"/>
                <w:b/>
                <w:bCs/>
                <w:color w:val="auto"/>
                <w:kern w:val="0"/>
                <w:sz w:val="21"/>
                <w:szCs w:val="24"/>
              </w:rPr>
            </w:pPr>
            <w:r>
              <w:rPr>
                <w:rFonts w:hint="eastAsia" w:ascii="微软雅黑" w:hAnsi="微软雅黑" w:eastAsia="微软雅黑" w:cs="微软雅黑"/>
                <w:b/>
                <w:bCs/>
                <w:color w:val="auto"/>
                <w:kern w:val="0"/>
                <w:sz w:val="21"/>
                <w:szCs w:val="24"/>
              </w:rPr>
              <w:t>（元）</w:t>
            </w:r>
          </w:p>
        </w:tc>
        <w:tc>
          <w:tcPr>
            <w:tcW w:w="1299" w:type="pct"/>
            <w:tcBorders>
              <w:top w:val="single" w:color="auto" w:sz="4" w:space="0"/>
              <w:left w:val="single" w:color="auto" w:sz="4" w:space="0"/>
              <w:right w:val="single" w:color="auto" w:sz="4" w:space="0"/>
            </w:tcBorders>
            <w:vAlign w:val="center"/>
          </w:tcPr>
          <w:p>
            <w:pPr>
              <w:widowControl/>
              <w:jc w:val="center"/>
              <w:rPr>
                <w:rFonts w:hint="default" w:ascii="微软雅黑" w:hAnsi="微软雅黑" w:eastAsia="微软雅黑" w:cs="微软雅黑"/>
                <w:b/>
                <w:bCs/>
                <w:color w:val="auto"/>
                <w:kern w:val="0"/>
                <w:sz w:val="21"/>
                <w:szCs w:val="24"/>
                <w:lang w:val="en-US" w:eastAsia="zh-CN"/>
              </w:rPr>
            </w:pPr>
            <w:r>
              <w:rPr>
                <w:rFonts w:hint="eastAsia" w:ascii="微软雅黑" w:hAnsi="微软雅黑" w:eastAsia="微软雅黑" w:cs="微软雅黑"/>
                <w:b/>
                <w:bCs/>
                <w:color w:val="auto"/>
                <w:kern w:val="0"/>
                <w:sz w:val="21"/>
                <w:szCs w:val="24"/>
                <w:lang w:val="en-US" w:eastAsia="zh-CN"/>
              </w:rPr>
              <w:t>中标单位数量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atLeast"/>
          <w:jc w:val="center"/>
        </w:trPr>
        <w:tc>
          <w:tcPr>
            <w:tcW w:w="964" w:type="pct"/>
            <w:tcBorders>
              <w:top w:val="single" w:color="auto" w:sz="4" w:space="0"/>
              <w:left w:val="single" w:color="auto" w:sz="4" w:space="0"/>
              <w:bottom w:val="single" w:color="auto" w:sz="4" w:space="0"/>
              <w:right w:val="single" w:color="auto" w:sz="4" w:space="0"/>
            </w:tcBorders>
            <w:vAlign w:val="center"/>
          </w:tcPr>
          <w:p>
            <w:pPr>
              <w:jc w:val="center"/>
              <w:rPr>
                <w:rFonts w:hint="default"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rPr>
              <w:t>YSB</w:t>
            </w:r>
            <w:r>
              <w:rPr>
                <w:rFonts w:hint="eastAsia" w:ascii="微软雅黑" w:hAnsi="微软雅黑" w:eastAsia="微软雅黑" w:cs="微软雅黑"/>
                <w:color w:val="auto"/>
                <w:sz w:val="21"/>
                <w:szCs w:val="21"/>
                <w:lang w:val="en-US" w:eastAsia="zh-CN"/>
              </w:rPr>
              <w:t>260257</w:t>
            </w:r>
          </w:p>
        </w:tc>
        <w:tc>
          <w:tcPr>
            <w:tcW w:w="1848" w:type="pct"/>
            <w:tcBorders>
              <w:top w:val="single" w:color="auto" w:sz="4" w:space="0"/>
              <w:left w:val="single" w:color="auto" w:sz="4" w:space="0"/>
              <w:bottom w:val="single" w:color="auto" w:sz="4" w:space="0"/>
              <w:right w:val="single" w:color="auto" w:sz="4" w:space="0"/>
            </w:tcBorders>
            <w:vAlign w:val="center"/>
          </w:tcPr>
          <w:p>
            <w:pPr>
              <w:jc w:val="center"/>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骨穿刺活检针</w:t>
            </w:r>
          </w:p>
        </w:tc>
        <w:tc>
          <w:tcPr>
            <w:tcW w:w="887" w:type="pct"/>
            <w:tcBorders>
              <w:top w:val="single" w:color="auto" w:sz="4" w:space="0"/>
              <w:left w:val="single" w:color="auto" w:sz="4" w:space="0"/>
              <w:bottom w:val="single" w:color="auto" w:sz="4" w:space="0"/>
              <w:right w:val="single" w:color="auto" w:sz="4" w:space="0"/>
            </w:tcBorders>
            <w:vAlign w:val="center"/>
          </w:tcPr>
          <w:p>
            <w:pPr>
              <w:jc w:val="center"/>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2000</w:t>
            </w:r>
          </w:p>
        </w:tc>
        <w:tc>
          <w:tcPr>
            <w:tcW w:w="1299" w:type="pct"/>
            <w:tcBorders>
              <w:top w:val="single" w:color="auto" w:sz="4" w:space="0"/>
              <w:left w:val="single" w:color="auto" w:sz="4" w:space="0"/>
              <w:bottom w:val="single" w:color="auto" w:sz="4" w:space="0"/>
              <w:right w:val="single" w:color="auto" w:sz="4" w:space="0"/>
            </w:tcBorders>
            <w:vAlign w:val="center"/>
          </w:tcPr>
          <w:p>
            <w:pPr>
              <w:jc w:val="center"/>
              <w:rPr>
                <w:rFonts w:hint="default"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≥1</w:t>
            </w:r>
          </w:p>
        </w:tc>
      </w:tr>
    </w:tbl>
    <w:p>
      <w:pPr>
        <w:pStyle w:val="4"/>
        <w:adjustRightInd w:val="0"/>
        <w:snapToGrid w:val="0"/>
        <w:spacing w:before="0" w:after="0" w:line="400" w:lineRule="exact"/>
        <w:ind w:firstLine="480" w:firstLineChars="200"/>
        <w:rPr>
          <w:rFonts w:hint="eastAsia" w:ascii="微软雅黑" w:hAnsi="微软雅黑" w:eastAsia="微软雅黑" w:cs="微软雅黑"/>
          <w:color w:val="auto"/>
          <w:sz w:val="24"/>
        </w:rPr>
      </w:pPr>
      <w:bookmarkStart w:id="25" w:name="_Toc9755"/>
      <w:bookmarkStart w:id="26" w:name="_Toc12454"/>
      <w:bookmarkStart w:id="27" w:name="_Toc19904"/>
      <w:r>
        <w:rPr>
          <w:rFonts w:hint="eastAsia" w:ascii="微软雅黑" w:hAnsi="微软雅黑" w:eastAsia="微软雅黑" w:cs="微软雅黑"/>
          <w:color w:val="auto"/>
          <w:sz w:val="24"/>
        </w:rPr>
        <w:t>二、</w:t>
      </w:r>
      <w:bookmarkEnd w:id="21"/>
      <w:bookmarkEnd w:id="22"/>
      <w:bookmarkEnd w:id="25"/>
      <w:bookmarkStart w:id="28" w:name="_Toc76462319"/>
      <w:bookmarkStart w:id="29" w:name="_Toc106030873"/>
      <w:bookmarkStart w:id="30" w:name="_Toc4480"/>
      <w:r>
        <w:rPr>
          <w:rFonts w:hint="eastAsia" w:ascii="微软雅黑" w:hAnsi="微软雅黑" w:eastAsia="微软雅黑" w:cs="微软雅黑"/>
          <w:color w:val="auto"/>
          <w:sz w:val="24"/>
        </w:rPr>
        <w:t>投标人资格条件</w:t>
      </w:r>
      <w:bookmarkEnd w:id="26"/>
      <w:bookmarkEnd w:id="27"/>
      <w:bookmarkEnd w:id="28"/>
      <w:bookmarkEnd w:id="29"/>
      <w:bookmarkEnd w:id="30"/>
    </w:p>
    <w:p>
      <w:pPr>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（一）满足《中华人民共和国政府采购法》第二十二条规定；</w:t>
      </w:r>
    </w:p>
    <w:p>
      <w:pPr>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（二）本项目的特定资格要求：</w:t>
      </w:r>
      <w:bookmarkStart w:id="31" w:name="_Toc76462320"/>
      <w:bookmarkStart w:id="32" w:name="_Toc106030874"/>
      <w:bookmarkStart w:id="33" w:name="_Toc27954"/>
    </w:p>
    <w:p>
      <w:pPr>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1</w:t>
      </w:r>
      <w:r>
        <w:rPr>
          <w:rFonts w:hint="eastAsia" w:ascii="微软雅黑" w:hAnsi="微软雅黑" w:eastAsia="微软雅黑" w:cs="微软雅黑"/>
          <w:color w:val="auto"/>
          <w:sz w:val="24"/>
          <w:szCs w:val="24"/>
          <w:lang w:val="en-US" w:eastAsia="zh-CN"/>
        </w:rPr>
        <w:t>.</w:t>
      </w:r>
      <w:r>
        <w:rPr>
          <w:rFonts w:hint="eastAsia" w:ascii="微软雅黑" w:hAnsi="微软雅黑" w:eastAsia="微软雅黑" w:cs="微软雅黑"/>
          <w:color w:val="auto"/>
          <w:sz w:val="24"/>
          <w:szCs w:val="24"/>
        </w:rPr>
        <w:t>投标人为所投标产品制造商或经销商。若为经销商投标，须具备投标产品制造商或制造商中国境内代表机构认可的经销资格；</w:t>
      </w:r>
    </w:p>
    <w:p>
      <w:pPr>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2</w:t>
      </w:r>
      <w:r>
        <w:rPr>
          <w:rFonts w:hint="eastAsia" w:ascii="微软雅黑" w:hAnsi="微软雅黑" w:eastAsia="微软雅黑" w:cs="微软雅黑"/>
          <w:color w:val="auto"/>
          <w:sz w:val="24"/>
          <w:szCs w:val="24"/>
          <w:lang w:val="en-US" w:eastAsia="zh-CN"/>
        </w:rPr>
        <w:t>.</w:t>
      </w:r>
      <w:r>
        <w:rPr>
          <w:rFonts w:hint="eastAsia" w:ascii="微软雅黑" w:hAnsi="微软雅黑" w:eastAsia="微软雅黑" w:cs="微软雅黑"/>
          <w:color w:val="auto"/>
          <w:sz w:val="24"/>
          <w:szCs w:val="24"/>
        </w:rPr>
        <w:t>投标人医疗器械经营许可证；</w:t>
      </w:r>
    </w:p>
    <w:p>
      <w:pPr>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3</w:t>
      </w:r>
      <w:r>
        <w:rPr>
          <w:rFonts w:hint="eastAsia" w:ascii="微软雅黑" w:hAnsi="微软雅黑" w:eastAsia="微软雅黑" w:cs="微软雅黑"/>
          <w:color w:val="auto"/>
          <w:sz w:val="24"/>
          <w:szCs w:val="24"/>
          <w:lang w:val="en-US" w:eastAsia="zh-CN"/>
        </w:rPr>
        <w:t>.</w:t>
      </w:r>
      <w:r>
        <w:rPr>
          <w:rFonts w:hint="eastAsia" w:ascii="微软雅黑" w:hAnsi="微软雅黑" w:eastAsia="微软雅黑" w:cs="微软雅黑"/>
          <w:color w:val="auto"/>
          <w:sz w:val="24"/>
          <w:szCs w:val="24"/>
        </w:rPr>
        <w:t>生产企业的医疗器械生产企业许可证和生产目录表；</w:t>
      </w:r>
    </w:p>
    <w:p>
      <w:pPr>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4</w:t>
      </w:r>
      <w:r>
        <w:rPr>
          <w:rFonts w:hint="eastAsia" w:ascii="微软雅黑" w:hAnsi="微软雅黑" w:eastAsia="微软雅黑" w:cs="微软雅黑"/>
          <w:color w:val="auto"/>
          <w:sz w:val="24"/>
          <w:szCs w:val="24"/>
          <w:lang w:val="en-US" w:eastAsia="zh-CN"/>
        </w:rPr>
        <w:t>.</w:t>
      </w:r>
      <w:r>
        <w:rPr>
          <w:rFonts w:hint="eastAsia" w:ascii="微软雅黑" w:hAnsi="微软雅黑" w:eastAsia="微软雅黑" w:cs="微软雅黑"/>
          <w:color w:val="auto"/>
          <w:sz w:val="24"/>
          <w:szCs w:val="24"/>
        </w:rPr>
        <w:t>所投产品属三类医疗器械的，须具备有效期内《医疗器械经营企业许可证》或《医疗器械经营许可证》</w:t>
      </w:r>
      <w:r>
        <w:rPr>
          <w:rFonts w:hint="eastAsia" w:ascii="微软雅黑" w:hAnsi="微软雅黑" w:eastAsia="微软雅黑" w:cs="微软雅黑"/>
          <w:color w:val="auto"/>
          <w:sz w:val="24"/>
          <w:szCs w:val="24"/>
          <w:lang w:val="en-US" w:eastAsia="zh-CN"/>
        </w:rPr>
        <w:t>及产品注册证</w:t>
      </w:r>
      <w:r>
        <w:rPr>
          <w:rFonts w:hint="eastAsia" w:ascii="微软雅黑" w:hAnsi="微软雅黑" w:eastAsia="微软雅黑" w:cs="微软雅黑"/>
          <w:color w:val="auto"/>
          <w:sz w:val="24"/>
          <w:szCs w:val="24"/>
        </w:rPr>
        <w:t>；</w:t>
      </w:r>
    </w:p>
    <w:p>
      <w:pPr>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5</w:t>
      </w:r>
      <w:r>
        <w:rPr>
          <w:rFonts w:hint="eastAsia" w:ascii="微软雅黑" w:hAnsi="微软雅黑" w:eastAsia="微软雅黑" w:cs="微软雅黑"/>
          <w:color w:val="auto"/>
          <w:sz w:val="24"/>
          <w:szCs w:val="24"/>
          <w:lang w:val="en-US" w:eastAsia="zh-CN"/>
        </w:rPr>
        <w:t>.</w:t>
      </w:r>
      <w:r>
        <w:rPr>
          <w:rFonts w:hint="eastAsia" w:ascii="微软雅黑" w:hAnsi="微软雅黑" w:eastAsia="微软雅黑" w:cs="微软雅黑"/>
          <w:color w:val="auto"/>
          <w:sz w:val="24"/>
          <w:szCs w:val="24"/>
        </w:rPr>
        <w:t>所提供产品属二类医疗器械的，须具备有效期内《医疗器械经营企业许可证》或《第二类医疗器械经营备案凭证》</w:t>
      </w:r>
      <w:r>
        <w:rPr>
          <w:rFonts w:hint="eastAsia" w:ascii="微软雅黑" w:hAnsi="微软雅黑" w:eastAsia="微软雅黑" w:cs="微软雅黑"/>
          <w:color w:val="auto"/>
          <w:sz w:val="24"/>
          <w:szCs w:val="24"/>
          <w:lang w:val="en-US" w:eastAsia="zh-CN"/>
        </w:rPr>
        <w:t>及产品注册证</w:t>
      </w:r>
      <w:r>
        <w:rPr>
          <w:rFonts w:hint="eastAsia" w:ascii="微软雅黑" w:hAnsi="微软雅黑" w:eastAsia="微软雅黑" w:cs="微软雅黑"/>
          <w:color w:val="auto"/>
          <w:sz w:val="24"/>
          <w:szCs w:val="24"/>
        </w:rPr>
        <w:t>；</w:t>
      </w:r>
    </w:p>
    <w:p>
      <w:pPr>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6</w:t>
      </w:r>
      <w:r>
        <w:rPr>
          <w:rFonts w:hint="eastAsia" w:ascii="微软雅黑" w:hAnsi="微软雅黑" w:eastAsia="微软雅黑" w:cs="微软雅黑"/>
          <w:color w:val="auto"/>
          <w:sz w:val="24"/>
          <w:szCs w:val="24"/>
          <w:lang w:val="en-US" w:eastAsia="zh-CN"/>
        </w:rPr>
        <w:t>.</w:t>
      </w:r>
      <w:r>
        <w:rPr>
          <w:rFonts w:hint="eastAsia" w:ascii="微软雅黑" w:hAnsi="微软雅黑" w:eastAsia="微软雅黑" w:cs="微软雅黑"/>
          <w:color w:val="auto"/>
          <w:sz w:val="24"/>
          <w:szCs w:val="24"/>
        </w:rPr>
        <w:t>所提供产品属一类医疗器械的，须具有所提供产品《第一类医疗器械备案凭证》及《第一类医疗器械备案信息表》</w:t>
      </w:r>
      <w:r>
        <w:rPr>
          <w:rFonts w:hint="eastAsia" w:ascii="微软雅黑" w:hAnsi="微软雅黑" w:eastAsia="微软雅黑" w:cs="微软雅黑"/>
          <w:color w:val="auto"/>
          <w:sz w:val="24"/>
          <w:szCs w:val="24"/>
          <w:lang w:val="en-US" w:eastAsia="zh-CN"/>
        </w:rPr>
        <w:t>及产品备案证明</w:t>
      </w:r>
      <w:r>
        <w:rPr>
          <w:rFonts w:hint="eastAsia" w:ascii="微软雅黑" w:hAnsi="微软雅黑" w:eastAsia="微软雅黑" w:cs="微软雅黑"/>
          <w:color w:val="auto"/>
          <w:sz w:val="24"/>
          <w:szCs w:val="24"/>
        </w:rPr>
        <w:t>；</w:t>
      </w:r>
    </w:p>
    <w:p>
      <w:pPr>
        <w:spacing w:line="400" w:lineRule="exact"/>
        <w:ind w:firstLine="480" w:firstLineChars="200"/>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7.投标人须提供在有效期内的注册证，若投标日注册证有效期少于3个月，须提供国家药品监督管理局接受变更注册证的回执及其他能证明正在变更注册证的文件；</w:t>
      </w:r>
    </w:p>
    <w:p>
      <w:pPr>
        <w:spacing w:line="400" w:lineRule="exact"/>
        <w:ind w:firstLine="480" w:firstLineChars="200"/>
        <w:rPr>
          <w:rFonts w:hint="eastAsia" w:ascii="微软雅黑" w:hAnsi="微软雅黑" w:eastAsia="微软雅黑" w:cs="微软雅黑"/>
          <w:color w:val="auto"/>
          <w:sz w:val="24"/>
          <w:szCs w:val="24"/>
          <w:lang w:eastAsia="zh-CN"/>
        </w:rPr>
      </w:pPr>
      <w:r>
        <w:rPr>
          <w:rFonts w:hint="eastAsia" w:ascii="微软雅黑" w:hAnsi="微软雅黑" w:eastAsia="微软雅黑" w:cs="微软雅黑"/>
          <w:color w:val="auto"/>
          <w:sz w:val="24"/>
          <w:szCs w:val="24"/>
          <w:lang w:val="en-US" w:eastAsia="zh-CN"/>
        </w:rPr>
        <w:t>8.投标人须提供投标产品的说明书。</w:t>
      </w:r>
    </w:p>
    <w:bookmarkEnd w:id="23"/>
    <w:bookmarkEnd w:id="31"/>
    <w:bookmarkEnd w:id="32"/>
    <w:bookmarkEnd w:id="33"/>
    <w:p>
      <w:pPr>
        <w:pStyle w:val="4"/>
        <w:adjustRightInd w:val="0"/>
        <w:snapToGrid w:val="0"/>
        <w:spacing w:before="0" w:after="0" w:line="400" w:lineRule="exact"/>
        <w:ind w:firstLine="480" w:firstLineChars="200"/>
        <w:rPr>
          <w:rFonts w:hint="eastAsia" w:ascii="微软雅黑" w:hAnsi="微软雅黑" w:eastAsia="微软雅黑" w:cs="微软雅黑"/>
          <w:color w:val="auto"/>
          <w:sz w:val="24"/>
        </w:rPr>
      </w:pPr>
      <w:bookmarkStart w:id="34" w:name="_Toc19462"/>
      <w:bookmarkStart w:id="35" w:name="_Toc29069"/>
      <w:bookmarkStart w:id="36" w:name="_Toc5052"/>
      <w:r>
        <w:rPr>
          <w:rFonts w:hint="eastAsia" w:ascii="微软雅黑" w:hAnsi="微软雅黑" w:eastAsia="微软雅黑" w:cs="微软雅黑"/>
          <w:color w:val="auto"/>
          <w:sz w:val="24"/>
        </w:rPr>
        <w:t>三、比选有关说明</w:t>
      </w:r>
      <w:bookmarkEnd w:id="34"/>
      <w:bookmarkEnd w:id="35"/>
      <w:bookmarkEnd w:id="36"/>
    </w:p>
    <w:p>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（一）投标人应通过重庆医科大学附属儿童医院电子招投标平台（zbb.chcmu-com.cn）进行注册和报名。</w:t>
      </w:r>
    </w:p>
    <w:p>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（二）凡有意参加</w:t>
      </w:r>
      <w:r>
        <w:rPr>
          <w:rFonts w:hint="eastAsia" w:ascii="微软雅黑" w:hAnsi="微软雅黑" w:eastAsia="微软雅黑" w:cs="微软雅黑"/>
          <w:color w:val="auto"/>
          <w:sz w:val="24"/>
          <w:szCs w:val="24"/>
          <w:lang w:eastAsia="zh-CN"/>
        </w:rPr>
        <w:t>耗材遴选采购</w:t>
      </w:r>
      <w:r>
        <w:rPr>
          <w:rFonts w:hint="eastAsia" w:ascii="微软雅黑" w:hAnsi="微软雅黑" w:eastAsia="微软雅黑" w:cs="微软雅黑"/>
          <w:color w:val="auto"/>
          <w:sz w:val="24"/>
          <w:szCs w:val="24"/>
        </w:rPr>
        <w:t>的投标人，请在重庆医科大学附属儿童医院电子招投标平台下载本项目</w:t>
      </w:r>
      <w:r>
        <w:rPr>
          <w:rFonts w:hint="eastAsia" w:ascii="微软雅黑" w:hAnsi="微软雅黑" w:eastAsia="微软雅黑" w:cs="微软雅黑"/>
          <w:color w:val="auto"/>
          <w:sz w:val="24"/>
          <w:szCs w:val="24"/>
          <w:lang w:eastAsia="zh-CN"/>
        </w:rPr>
        <w:t>耗材遴选采购</w:t>
      </w:r>
      <w:r>
        <w:rPr>
          <w:rFonts w:hint="eastAsia" w:ascii="微软雅黑" w:hAnsi="微软雅黑" w:eastAsia="微软雅黑" w:cs="微软雅黑"/>
          <w:color w:val="auto"/>
          <w:sz w:val="24"/>
          <w:szCs w:val="24"/>
        </w:rPr>
        <w:t>文件以及</w:t>
      </w:r>
      <w:r>
        <w:rPr>
          <w:rFonts w:hint="eastAsia" w:ascii="微软雅黑" w:hAnsi="微软雅黑" w:eastAsia="微软雅黑" w:cs="微软雅黑"/>
          <w:color w:val="auto"/>
          <w:sz w:val="24"/>
          <w:szCs w:val="24"/>
          <w:lang w:eastAsia="zh-CN"/>
        </w:rPr>
        <w:t>其他</w:t>
      </w:r>
      <w:r>
        <w:rPr>
          <w:rFonts w:hint="eastAsia" w:ascii="微软雅黑" w:hAnsi="微软雅黑" w:eastAsia="微软雅黑" w:cs="微软雅黑"/>
          <w:color w:val="auto"/>
          <w:sz w:val="24"/>
          <w:szCs w:val="24"/>
        </w:rPr>
        <w:t>所有项目资料，无论投标人下载与否，均视为已知晓所有</w:t>
      </w:r>
      <w:r>
        <w:rPr>
          <w:rFonts w:hint="eastAsia" w:ascii="微软雅黑" w:hAnsi="微软雅黑" w:eastAsia="微软雅黑" w:cs="微软雅黑"/>
          <w:color w:val="auto"/>
          <w:sz w:val="24"/>
          <w:szCs w:val="24"/>
          <w:lang w:eastAsia="zh-CN"/>
        </w:rPr>
        <w:t>耗材遴选采购</w:t>
      </w:r>
      <w:r>
        <w:rPr>
          <w:rFonts w:hint="eastAsia" w:ascii="微软雅黑" w:hAnsi="微软雅黑" w:eastAsia="微软雅黑" w:cs="微软雅黑"/>
          <w:color w:val="auto"/>
          <w:sz w:val="24"/>
          <w:szCs w:val="24"/>
        </w:rPr>
        <w:t>实质性要求内容。</w:t>
      </w:r>
    </w:p>
    <w:p>
      <w:pPr>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（三）投标人须在重庆医科大学附属儿童医院电子招投标平台按要求上传电子版响应文件后才视为完成项目报名。</w:t>
      </w:r>
    </w:p>
    <w:p>
      <w:pPr>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（四）</w:t>
      </w:r>
      <w:r>
        <w:rPr>
          <w:rFonts w:hint="eastAsia" w:ascii="微软雅黑" w:hAnsi="微软雅黑" w:eastAsia="微软雅黑" w:cs="微软雅黑"/>
          <w:color w:val="auto"/>
          <w:sz w:val="24"/>
          <w:szCs w:val="24"/>
          <w:lang w:eastAsia="zh-CN"/>
        </w:rPr>
        <w:t>耗材遴选采购</w:t>
      </w:r>
      <w:r>
        <w:rPr>
          <w:rFonts w:hint="eastAsia" w:ascii="微软雅黑" w:hAnsi="微软雅黑" w:eastAsia="微软雅黑" w:cs="微软雅黑"/>
          <w:color w:val="auto"/>
          <w:sz w:val="24"/>
          <w:szCs w:val="24"/>
        </w:rPr>
        <w:t>公告期限及报名截止期限：详见电子招投标平台该项目公告内容。</w:t>
      </w:r>
    </w:p>
    <w:p>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（五）比选地点：详见电子招投标平台该项目公告内容。</w:t>
      </w:r>
    </w:p>
    <w:p>
      <w:pPr>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（六）比选开始时间：详见电子招投标平台该项目公告内容。</w:t>
      </w:r>
    </w:p>
    <w:p>
      <w:pPr>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（七）以上内容若在挂网公示后有所变更，投标人注册手机号码将会收到相关短信通知，请及时查收。</w:t>
      </w:r>
    </w:p>
    <w:p>
      <w:pPr>
        <w:pStyle w:val="4"/>
        <w:adjustRightInd w:val="0"/>
        <w:snapToGrid w:val="0"/>
        <w:spacing w:before="0" w:after="0" w:line="400" w:lineRule="exact"/>
        <w:ind w:firstLine="480" w:firstLineChars="200"/>
        <w:rPr>
          <w:rFonts w:hint="eastAsia" w:ascii="微软雅黑" w:hAnsi="微软雅黑" w:eastAsia="微软雅黑" w:cs="微软雅黑"/>
          <w:color w:val="auto"/>
          <w:sz w:val="24"/>
        </w:rPr>
      </w:pPr>
      <w:bookmarkStart w:id="37" w:name="_Toc106034625"/>
      <w:bookmarkStart w:id="38" w:name="_Toc525047161"/>
      <w:bookmarkStart w:id="39" w:name="_Toc12841"/>
      <w:bookmarkStart w:id="40" w:name="_Toc1523"/>
      <w:bookmarkStart w:id="41" w:name="_Toc65660334"/>
      <w:bookmarkStart w:id="42" w:name="_Toc11956"/>
      <w:bookmarkStart w:id="43" w:name="_Toc521053053"/>
      <w:bookmarkStart w:id="44" w:name="_Toc6178"/>
      <w:bookmarkStart w:id="45" w:name="_Toc14339"/>
      <w:r>
        <w:rPr>
          <w:rFonts w:hint="eastAsia" w:ascii="微软雅黑" w:hAnsi="微软雅黑" w:eastAsia="微软雅黑" w:cs="微软雅黑"/>
          <w:color w:val="auto"/>
          <w:sz w:val="24"/>
        </w:rPr>
        <w:t>四、保证金</w:t>
      </w:r>
      <w:bookmarkEnd w:id="37"/>
      <w:bookmarkEnd w:id="38"/>
      <w:bookmarkEnd w:id="39"/>
      <w:bookmarkEnd w:id="40"/>
      <w:bookmarkEnd w:id="41"/>
      <w:bookmarkEnd w:id="42"/>
      <w:bookmarkEnd w:id="43"/>
      <w:bookmarkEnd w:id="44"/>
      <w:bookmarkEnd w:id="45"/>
    </w:p>
    <w:p>
      <w:pPr>
        <w:snapToGrid w:val="0"/>
        <w:spacing w:line="400" w:lineRule="exact"/>
        <w:ind w:firstLine="480" w:firstLineChars="200"/>
        <w:outlineLvl w:val="2"/>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（一）保证金递交</w:t>
      </w:r>
    </w:p>
    <w:p>
      <w:pPr>
        <w:pStyle w:val="34"/>
        <w:spacing w:line="400" w:lineRule="exact"/>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1.投标人应足额交纳保证金（保证金金额详见本篇，一、</w:t>
      </w:r>
      <w:r>
        <w:rPr>
          <w:rFonts w:hint="eastAsia" w:ascii="微软雅黑" w:hAnsi="微软雅黑" w:eastAsia="微软雅黑" w:cs="微软雅黑"/>
          <w:color w:val="auto"/>
          <w:sz w:val="24"/>
          <w:szCs w:val="24"/>
          <w:lang w:eastAsia="zh-CN"/>
        </w:rPr>
        <w:t>耗材遴选</w:t>
      </w:r>
      <w:r>
        <w:rPr>
          <w:rFonts w:hint="eastAsia" w:ascii="微软雅黑" w:hAnsi="微软雅黑" w:eastAsia="微软雅黑" w:cs="微软雅黑"/>
          <w:color w:val="auto"/>
          <w:sz w:val="24"/>
          <w:szCs w:val="24"/>
        </w:rPr>
        <w:t>采购内容），并通过银行转账的方式直接转入重庆医科大学附属儿童医院对公账户（单位：重庆医科大学附属儿童医院，开户行：中国建设银行股份有限公司重庆渝中区观音岩支行，账号：50050101380000000168），并备注项目编号、项目名称（例：YXX220001服务器项目投标保证金），交纳凭据须在重庆医科大学附属儿童医院电子招投标平台报名过程中上传。</w:t>
      </w:r>
    </w:p>
    <w:p>
      <w:pPr>
        <w:pStyle w:val="34"/>
        <w:spacing w:line="400" w:lineRule="exact"/>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2.各投标人在银行转账（电汇）时，须充分考虑银行转账（电汇）的时间差风险，如同城转账、异地转账或汇款、跨行转账或电汇的时间要求。</w:t>
      </w:r>
    </w:p>
    <w:p>
      <w:pPr>
        <w:snapToGrid w:val="0"/>
        <w:spacing w:line="400" w:lineRule="exact"/>
        <w:ind w:firstLine="360" w:firstLineChars="150"/>
        <w:outlineLvl w:val="2"/>
        <w:rPr>
          <w:rFonts w:hint="eastAsia" w:ascii="微软雅黑" w:hAnsi="微软雅黑" w:eastAsia="微软雅黑" w:cs="微软雅黑"/>
          <w:sz w:val="24"/>
          <w:szCs w:val="24"/>
        </w:rPr>
      </w:pPr>
      <w:r>
        <w:rPr>
          <w:rFonts w:hint="eastAsia" w:ascii="微软雅黑" w:hAnsi="微软雅黑" w:eastAsia="微软雅黑" w:cs="微软雅黑"/>
          <w:sz w:val="24"/>
          <w:szCs w:val="24"/>
        </w:rPr>
        <w:t>（二）保证金退还方式</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1.未</w:t>
      </w:r>
      <w:r>
        <w:rPr>
          <w:rFonts w:hint="eastAsia" w:ascii="微软雅黑" w:hAnsi="微软雅黑" w:eastAsia="微软雅黑" w:cs="微软雅黑"/>
          <w:sz w:val="24"/>
          <w:szCs w:val="24"/>
          <w:lang w:eastAsia="zh-CN"/>
        </w:rPr>
        <w:t>中标人</w:t>
      </w:r>
      <w:r>
        <w:rPr>
          <w:rFonts w:hint="eastAsia" w:ascii="微软雅黑" w:hAnsi="微软雅黑" w:eastAsia="微软雅黑" w:cs="微软雅黑"/>
          <w:sz w:val="24"/>
          <w:szCs w:val="24"/>
        </w:rPr>
        <w:t>的保证金，在中标通知书发放后</w:t>
      </w:r>
      <w:r>
        <w:rPr>
          <w:rFonts w:hint="eastAsia" w:ascii="微软雅黑" w:hAnsi="微软雅黑" w:eastAsia="微软雅黑" w:cs="微软雅黑"/>
          <w:sz w:val="24"/>
          <w:szCs w:val="24"/>
          <w:lang w:val="en-US" w:eastAsia="zh-CN"/>
        </w:rPr>
        <w:t>60</w:t>
      </w:r>
      <w:r>
        <w:rPr>
          <w:rFonts w:hint="eastAsia" w:ascii="微软雅黑" w:hAnsi="微软雅黑" w:eastAsia="微软雅黑" w:cs="微软雅黑"/>
          <w:sz w:val="24"/>
          <w:szCs w:val="24"/>
        </w:rPr>
        <w:t>个</w:t>
      </w:r>
      <w:r>
        <w:rPr>
          <w:rFonts w:hint="eastAsia" w:ascii="微软雅黑" w:hAnsi="微软雅黑" w:eastAsia="微软雅黑" w:cs="微软雅黑"/>
          <w:sz w:val="24"/>
          <w:szCs w:val="24"/>
          <w:lang w:val="en-US" w:eastAsia="zh-CN"/>
        </w:rPr>
        <w:t>工作</w:t>
      </w:r>
      <w:r>
        <w:rPr>
          <w:rFonts w:hint="eastAsia" w:ascii="微软雅黑" w:hAnsi="微软雅黑" w:eastAsia="微软雅黑" w:cs="微软雅黑"/>
          <w:sz w:val="24"/>
          <w:szCs w:val="24"/>
        </w:rPr>
        <w:t>日内退还至项目报名时所填写指定的投标单位对公账户。</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2.</w:t>
      </w:r>
      <w:r>
        <w:rPr>
          <w:rFonts w:hint="eastAsia" w:ascii="微软雅黑" w:hAnsi="微软雅黑" w:eastAsia="微软雅黑" w:cs="微软雅黑"/>
          <w:sz w:val="24"/>
          <w:szCs w:val="24"/>
          <w:lang w:eastAsia="zh-CN"/>
        </w:rPr>
        <w:t>中标人</w:t>
      </w:r>
      <w:r>
        <w:rPr>
          <w:rFonts w:hint="eastAsia" w:ascii="微软雅黑" w:hAnsi="微软雅黑" w:eastAsia="微软雅黑" w:cs="微软雅黑"/>
          <w:sz w:val="24"/>
          <w:szCs w:val="24"/>
        </w:rPr>
        <w:t>的保证金，将在与我院完成签订本项目合同并提交</w:t>
      </w:r>
      <w:r>
        <w:rPr>
          <w:rFonts w:hint="eastAsia" w:ascii="微软雅黑" w:hAnsi="微软雅黑" w:eastAsia="微软雅黑" w:cs="微软雅黑"/>
          <w:sz w:val="24"/>
          <w:szCs w:val="24"/>
          <w:lang w:eastAsia="zh-CN"/>
        </w:rPr>
        <w:t>采购管理处办</w:t>
      </w:r>
      <w:r>
        <w:rPr>
          <w:rFonts w:hint="eastAsia" w:ascii="微软雅黑" w:hAnsi="微软雅黑" w:eastAsia="微软雅黑" w:cs="微软雅黑"/>
          <w:sz w:val="24"/>
          <w:szCs w:val="24"/>
        </w:rPr>
        <w:t>公室（将合同扫描文件发送至zbb63632469@qq.com）之后</w:t>
      </w:r>
      <w:r>
        <w:rPr>
          <w:rFonts w:hint="eastAsia" w:ascii="微软雅黑" w:hAnsi="微软雅黑" w:eastAsia="微软雅黑" w:cs="微软雅黑"/>
          <w:sz w:val="24"/>
          <w:szCs w:val="24"/>
          <w:lang w:val="en-US" w:eastAsia="zh-CN"/>
        </w:rPr>
        <w:t>60</w:t>
      </w:r>
      <w:r>
        <w:rPr>
          <w:rFonts w:hint="eastAsia" w:ascii="微软雅黑" w:hAnsi="微软雅黑" w:eastAsia="微软雅黑" w:cs="微软雅黑"/>
          <w:sz w:val="24"/>
          <w:szCs w:val="24"/>
        </w:rPr>
        <w:t>个</w:t>
      </w:r>
      <w:r>
        <w:rPr>
          <w:rFonts w:hint="eastAsia" w:ascii="微软雅黑" w:hAnsi="微软雅黑" w:eastAsia="微软雅黑" w:cs="微软雅黑"/>
          <w:sz w:val="24"/>
          <w:szCs w:val="24"/>
          <w:lang w:val="en-US" w:eastAsia="zh-CN"/>
        </w:rPr>
        <w:t>工作</w:t>
      </w:r>
      <w:r>
        <w:rPr>
          <w:rFonts w:hint="eastAsia" w:ascii="微软雅黑" w:hAnsi="微软雅黑" w:eastAsia="微软雅黑" w:cs="微软雅黑"/>
          <w:sz w:val="24"/>
          <w:szCs w:val="24"/>
        </w:rPr>
        <w:t>日内，无息退还至项目报名时所填写的投标单位对公账户。</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（三）投标人有下列情形之一的，采购人应当不退还投标保证金：</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1.投标人在投标过程中弄虚作假，提供虚假材料的；</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2.中标人无正当理由不与采购人签订合同的；</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3.中标人将中标项目转让给他人或者在响应文件中未说明且未经采购人同意，将中标项目分包给他人的；</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4.中标人拒绝履行合同义务的；</w:t>
      </w:r>
    </w:p>
    <w:p>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sz w:val="24"/>
          <w:szCs w:val="24"/>
        </w:rPr>
        <w:t>5.其他严重扰乱招投标程序的。</w:t>
      </w:r>
    </w:p>
    <w:p>
      <w:pPr>
        <w:pStyle w:val="4"/>
        <w:adjustRightInd w:val="0"/>
        <w:snapToGrid w:val="0"/>
        <w:spacing w:before="0" w:after="0" w:line="400" w:lineRule="exact"/>
        <w:ind w:firstLine="480" w:firstLineChars="200"/>
        <w:rPr>
          <w:rFonts w:hint="eastAsia" w:ascii="微软雅黑" w:hAnsi="微软雅黑" w:eastAsia="微软雅黑" w:cs="微软雅黑"/>
          <w:color w:val="auto"/>
          <w:sz w:val="24"/>
          <w:lang w:eastAsia="zh-CN"/>
        </w:rPr>
      </w:pPr>
      <w:bookmarkStart w:id="46" w:name="_Toc2344"/>
      <w:bookmarkStart w:id="47" w:name="_Toc521053054"/>
      <w:bookmarkStart w:id="48" w:name="_Toc4355"/>
      <w:bookmarkStart w:id="49" w:name="_Toc65660335"/>
      <w:bookmarkStart w:id="50" w:name="_Toc2945"/>
      <w:bookmarkStart w:id="51" w:name="_Toc1546"/>
      <w:bookmarkStart w:id="52" w:name="_Toc106034626"/>
      <w:bookmarkStart w:id="53" w:name="_Toc525047162"/>
      <w:bookmarkStart w:id="54" w:name="_Toc13906"/>
      <w:bookmarkStart w:id="55" w:name="_Toc14933"/>
      <w:r>
        <w:rPr>
          <w:rFonts w:hint="eastAsia" w:ascii="微软雅黑" w:hAnsi="微软雅黑" w:eastAsia="微软雅黑" w:cs="微软雅黑"/>
          <w:color w:val="auto"/>
          <w:sz w:val="24"/>
          <w:lang w:val="en-US" w:eastAsia="zh-CN"/>
        </w:rPr>
        <w:t>五</w:t>
      </w:r>
      <w:r>
        <w:rPr>
          <w:rFonts w:hint="eastAsia" w:ascii="微软雅黑" w:hAnsi="微软雅黑" w:eastAsia="微软雅黑" w:cs="微软雅黑"/>
          <w:color w:val="auto"/>
          <w:sz w:val="24"/>
        </w:rPr>
        <w:t>、</w:t>
      </w:r>
      <w:bookmarkEnd w:id="46"/>
      <w:bookmarkEnd w:id="47"/>
      <w:bookmarkEnd w:id="48"/>
      <w:bookmarkEnd w:id="49"/>
      <w:bookmarkEnd w:id="50"/>
      <w:bookmarkEnd w:id="51"/>
      <w:bookmarkEnd w:id="52"/>
      <w:bookmarkEnd w:id="53"/>
      <w:r>
        <w:rPr>
          <w:rFonts w:hint="eastAsia" w:ascii="微软雅黑" w:hAnsi="微软雅黑" w:eastAsia="微软雅黑" w:cs="微软雅黑"/>
          <w:color w:val="auto"/>
          <w:sz w:val="24"/>
          <w:lang w:eastAsia="zh-CN"/>
        </w:rPr>
        <w:t>其他</w:t>
      </w:r>
      <w:bookmarkEnd w:id="54"/>
      <w:bookmarkEnd w:id="55"/>
    </w:p>
    <w:p>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（一）重庆医科大学附属儿童医院采购管理处所作出的一切书面通知、修改、补充说明、答疑等内容，都是</w:t>
      </w:r>
      <w:r>
        <w:rPr>
          <w:rFonts w:hint="eastAsia" w:ascii="微软雅黑" w:hAnsi="微软雅黑" w:eastAsia="微软雅黑" w:cs="微软雅黑"/>
          <w:color w:val="auto"/>
          <w:sz w:val="24"/>
          <w:szCs w:val="24"/>
          <w:lang w:eastAsia="zh-CN"/>
        </w:rPr>
        <w:t>耗材遴选采购</w:t>
      </w:r>
      <w:r>
        <w:rPr>
          <w:rFonts w:hint="eastAsia" w:ascii="微软雅黑" w:hAnsi="微软雅黑" w:eastAsia="微软雅黑" w:cs="微软雅黑"/>
          <w:color w:val="auto"/>
          <w:sz w:val="24"/>
          <w:szCs w:val="24"/>
        </w:rPr>
        <w:t>文件不可分割的组成部分。</w:t>
      </w:r>
    </w:p>
    <w:p>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（二）投标人如对本</w:t>
      </w:r>
      <w:r>
        <w:rPr>
          <w:rFonts w:hint="eastAsia" w:ascii="微软雅黑" w:hAnsi="微软雅黑" w:eastAsia="微软雅黑" w:cs="微软雅黑"/>
          <w:color w:val="auto"/>
          <w:sz w:val="24"/>
          <w:szCs w:val="24"/>
          <w:lang w:eastAsia="zh-CN"/>
        </w:rPr>
        <w:t>耗材遴选采购</w:t>
      </w:r>
      <w:r>
        <w:rPr>
          <w:rFonts w:hint="eastAsia" w:ascii="微软雅黑" w:hAnsi="微软雅黑" w:eastAsia="微软雅黑" w:cs="微软雅黑"/>
          <w:color w:val="auto"/>
          <w:sz w:val="24"/>
          <w:szCs w:val="24"/>
        </w:rPr>
        <w:t>文件有任何实质性疑问，应当以书面形式向招标方提出质疑，并须将该质疑文件纸质版（须加盖提出质疑单位的公章确认）在投标截止时间前送达重庆医科大学附属儿童医院采购管理处，否则即视为完全放弃对本</w:t>
      </w:r>
      <w:r>
        <w:rPr>
          <w:rFonts w:hint="eastAsia" w:ascii="微软雅黑" w:hAnsi="微软雅黑" w:eastAsia="微软雅黑" w:cs="微软雅黑"/>
          <w:color w:val="auto"/>
          <w:sz w:val="24"/>
          <w:szCs w:val="24"/>
          <w:lang w:eastAsia="zh-CN"/>
        </w:rPr>
        <w:t>耗材遴选采购</w:t>
      </w:r>
      <w:r>
        <w:rPr>
          <w:rFonts w:hint="eastAsia" w:ascii="微软雅黑" w:hAnsi="微软雅黑" w:eastAsia="微软雅黑" w:cs="微软雅黑"/>
          <w:color w:val="auto"/>
          <w:sz w:val="24"/>
          <w:szCs w:val="24"/>
        </w:rPr>
        <w:t>文件的质疑权利。如采购人认为上述质疑有回复必要，将以书面形式将回复内容通知所有投标</w:t>
      </w:r>
      <w:r>
        <w:rPr>
          <w:rFonts w:hint="eastAsia" w:ascii="微软雅黑" w:hAnsi="微软雅黑" w:eastAsia="微软雅黑" w:cs="微软雅黑"/>
          <w:color w:val="auto"/>
          <w:sz w:val="24"/>
          <w:szCs w:val="24"/>
          <w:lang w:eastAsia="zh-CN"/>
        </w:rPr>
        <w:t>人</w:t>
      </w:r>
      <w:r>
        <w:rPr>
          <w:rFonts w:hint="eastAsia" w:ascii="微软雅黑" w:hAnsi="微软雅黑" w:eastAsia="微软雅黑" w:cs="微软雅黑"/>
          <w:color w:val="auto"/>
          <w:sz w:val="24"/>
          <w:szCs w:val="24"/>
        </w:rPr>
        <w:t>。</w:t>
      </w:r>
    </w:p>
    <w:p>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（三）投标人应仔细阅读和检查</w:t>
      </w:r>
      <w:r>
        <w:rPr>
          <w:rFonts w:hint="eastAsia" w:ascii="微软雅黑" w:hAnsi="微软雅黑" w:eastAsia="微软雅黑" w:cs="微软雅黑"/>
          <w:color w:val="auto"/>
          <w:sz w:val="24"/>
          <w:szCs w:val="24"/>
          <w:lang w:eastAsia="zh-CN"/>
        </w:rPr>
        <w:t>耗材遴选采购</w:t>
      </w:r>
      <w:r>
        <w:rPr>
          <w:rFonts w:hint="eastAsia" w:ascii="微软雅黑" w:hAnsi="微软雅黑" w:eastAsia="微软雅黑" w:cs="微软雅黑"/>
          <w:color w:val="auto"/>
          <w:sz w:val="24"/>
          <w:szCs w:val="24"/>
        </w:rPr>
        <w:t>文件的全部内容。如发现缺页或附件不全，应及时提出，以便补齐。如有疑问，请在投标截止日前向招标单位提出，超过此时限规定，招标单位不再受理对于</w:t>
      </w:r>
      <w:r>
        <w:rPr>
          <w:rFonts w:hint="eastAsia" w:ascii="微软雅黑" w:hAnsi="微软雅黑" w:eastAsia="微软雅黑" w:cs="微软雅黑"/>
          <w:color w:val="auto"/>
          <w:sz w:val="24"/>
          <w:szCs w:val="24"/>
          <w:lang w:eastAsia="zh-CN"/>
        </w:rPr>
        <w:t>耗材遴选采购</w:t>
      </w:r>
      <w:r>
        <w:rPr>
          <w:rFonts w:hint="eastAsia" w:ascii="微软雅黑" w:hAnsi="微软雅黑" w:eastAsia="微软雅黑" w:cs="微软雅黑"/>
          <w:color w:val="auto"/>
          <w:sz w:val="24"/>
          <w:szCs w:val="24"/>
        </w:rPr>
        <w:t>文件的疑问。</w:t>
      </w:r>
    </w:p>
    <w:p>
      <w:pPr>
        <w:pStyle w:val="4"/>
        <w:adjustRightInd w:val="0"/>
        <w:snapToGrid w:val="0"/>
        <w:spacing w:before="0" w:after="0" w:line="400" w:lineRule="exact"/>
        <w:ind w:firstLine="480" w:firstLineChars="200"/>
        <w:rPr>
          <w:rFonts w:hint="eastAsia" w:ascii="微软雅黑" w:hAnsi="微软雅黑" w:eastAsia="微软雅黑" w:cs="微软雅黑"/>
          <w:color w:val="auto"/>
          <w:sz w:val="24"/>
        </w:rPr>
      </w:pPr>
      <w:bookmarkStart w:id="56" w:name="_Toc24901"/>
      <w:bookmarkStart w:id="57" w:name="_Toc106034628"/>
      <w:bookmarkStart w:id="58" w:name="_Toc1733"/>
      <w:bookmarkStart w:id="59" w:name="_Toc9165"/>
      <w:bookmarkStart w:id="60" w:name="_Toc521053056"/>
      <w:bookmarkStart w:id="61" w:name="_Toc525047164"/>
      <w:bookmarkStart w:id="62" w:name="_Toc20610"/>
      <w:bookmarkStart w:id="63" w:name="_Toc10415"/>
      <w:bookmarkStart w:id="64" w:name="_Toc65660337"/>
      <w:bookmarkStart w:id="65" w:name="_Toc29391"/>
      <w:r>
        <w:rPr>
          <w:rFonts w:hint="eastAsia" w:ascii="微软雅黑" w:hAnsi="微软雅黑" w:eastAsia="微软雅黑" w:cs="微软雅黑"/>
          <w:color w:val="auto"/>
          <w:sz w:val="24"/>
        </w:rPr>
        <w:t>六、联系方式</w:t>
      </w:r>
      <w:bookmarkEnd w:id="56"/>
      <w:bookmarkEnd w:id="57"/>
      <w:bookmarkEnd w:id="58"/>
      <w:bookmarkEnd w:id="59"/>
      <w:bookmarkEnd w:id="60"/>
      <w:bookmarkEnd w:id="61"/>
      <w:bookmarkEnd w:id="62"/>
      <w:bookmarkEnd w:id="63"/>
      <w:bookmarkEnd w:id="64"/>
      <w:bookmarkEnd w:id="65"/>
    </w:p>
    <w:p>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联系部门：采购管理处</w:t>
      </w:r>
    </w:p>
    <w:p>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电    话：023-63632469</w:t>
      </w:r>
    </w:p>
    <w:p>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邮    箱：zbb63632469@qq.com</w:t>
      </w:r>
    </w:p>
    <w:bookmarkEnd w:id="24"/>
    <w:p>
      <w:pPr>
        <w:snapToGrid w:val="0"/>
        <w:spacing w:line="400" w:lineRule="exact"/>
        <w:ind w:firstLine="480" w:firstLineChars="200"/>
        <w:rPr>
          <w:rFonts w:hint="eastAsia" w:ascii="微软雅黑" w:hAnsi="微软雅黑" w:eastAsia="微软雅黑" w:cs="微软雅黑"/>
          <w:b/>
          <w:color w:val="auto"/>
          <w:sz w:val="24"/>
          <w:szCs w:val="24"/>
        </w:rPr>
        <w:sectPr>
          <w:pgSz w:w="11907" w:h="16840"/>
          <w:pgMar w:top="1134" w:right="1304" w:bottom="1134" w:left="1304" w:header="964" w:footer="992" w:gutter="0"/>
          <w:pgNumType w:fmt="numberInDash"/>
          <w:cols w:space="720" w:num="1"/>
          <w:docGrid w:linePitch="312" w:charSpace="0"/>
        </w:sectPr>
      </w:pPr>
    </w:p>
    <w:p>
      <w:pPr>
        <w:spacing w:line="400" w:lineRule="exact"/>
        <w:rPr>
          <w:rFonts w:hint="eastAsia" w:ascii="微软雅黑" w:hAnsi="微软雅黑" w:eastAsia="微软雅黑" w:cs="微软雅黑"/>
          <w:color w:val="auto"/>
          <w:sz w:val="24"/>
          <w:szCs w:val="24"/>
        </w:rPr>
      </w:pPr>
      <w:bookmarkStart w:id="66" w:name="_Toc12789058"/>
    </w:p>
    <w:p>
      <w:pPr>
        <w:pStyle w:val="3"/>
        <w:tabs>
          <w:tab w:val="left" w:pos="3360"/>
        </w:tabs>
        <w:spacing w:line="360" w:lineRule="auto"/>
        <w:jc w:val="center"/>
        <w:rPr>
          <w:rFonts w:hint="eastAsia" w:ascii="微软雅黑" w:hAnsi="微软雅黑" w:eastAsia="微软雅黑" w:cs="微软雅黑"/>
          <w:b/>
          <w:color w:val="auto"/>
          <w:sz w:val="44"/>
        </w:rPr>
      </w:pPr>
      <w:bookmarkStart w:id="67" w:name="_Toc725"/>
      <w:bookmarkStart w:id="68" w:name="_Toc25639"/>
      <w:bookmarkStart w:id="69" w:name="_Toc1625"/>
      <w:bookmarkStart w:id="70" w:name="_Toc12959"/>
      <w:bookmarkStart w:id="71" w:name="_Toc8649"/>
      <w:bookmarkStart w:id="72" w:name="_Toc2422"/>
      <w:bookmarkStart w:id="73" w:name="_Toc19886"/>
      <w:bookmarkStart w:id="74" w:name="_Toc75793504"/>
      <w:bookmarkStart w:id="75" w:name="_Toc2070"/>
      <w:bookmarkStart w:id="76" w:name="_Toc1492"/>
      <w:bookmarkStart w:id="77" w:name="_Toc23143"/>
      <w:bookmarkStart w:id="78" w:name="_Toc5461"/>
      <w:bookmarkStart w:id="79" w:name="_Toc11017"/>
      <w:bookmarkStart w:id="80" w:name="_Toc26176"/>
      <w:bookmarkStart w:id="81" w:name="_Toc32686"/>
      <w:bookmarkStart w:id="82" w:name="_Toc7292"/>
      <w:bookmarkStart w:id="83" w:name="_Toc28363"/>
      <w:bookmarkStart w:id="84" w:name="_Toc106030380"/>
      <w:r>
        <w:rPr>
          <w:rFonts w:hint="eastAsia" w:ascii="微软雅黑" w:hAnsi="微软雅黑" w:eastAsia="微软雅黑" w:cs="微软雅黑"/>
          <w:b/>
          <w:color w:val="auto"/>
          <w:sz w:val="44"/>
        </w:rPr>
        <w:t xml:space="preserve">第二篇 </w:t>
      </w:r>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r>
        <w:rPr>
          <w:rFonts w:hint="eastAsia" w:ascii="微软雅黑" w:hAnsi="微软雅黑" w:eastAsia="微软雅黑" w:cs="微软雅黑"/>
          <w:b/>
          <w:color w:val="auto"/>
          <w:sz w:val="44"/>
        </w:rPr>
        <w:t>项目技术（质量）需求</w:t>
      </w:r>
      <w:bookmarkEnd w:id="82"/>
      <w:bookmarkEnd w:id="83"/>
      <w:bookmarkEnd w:id="84"/>
    </w:p>
    <w:p>
      <w:pPr>
        <w:ind w:firstLine="480" w:firstLineChars="200"/>
        <w:rPr>
          <w:rFonts w:hint="eastAsia" w:ascii="微软雅黑" w:hAnsi="微软雅黑" w:eastAsia="微软雅黑" w:cs="微软雅黑"/>
          <w:b/>
          <w:bCs/>
          <w:color w:val="auto"/>
          <w:sz w:val="24"/>
          <w:szCs w:val="24"/>
        </w:rPr>
      </w:pPr>
      <w:bookmarkStart w:id="85" w:name="_Toc75793505"/>
      <w:bookmarkStart w:id="86" w:name="_Toc29985"/>
      <w:bookmarkStart w:id="87" w:name="_Toc20979"/>
      <w:bookmarkStart w:id="88" w:name="_Toc11703"/>
      <w:bookmarkStart w:id="89" w:name="_Toc23656"/>
      <w:bookmarkStart w:id="90" w:name="_Toc8370"/>
      <w:bookmarkStart w:id="91" w:name="_Toc9261"/>
      <w:bookmarkStart w:id="92" w:name="_Toc23504"/>
      <w:bookmarkStart w:id="93" w:name="_Toc22910"/>
      <w:bookmarkStart w:id="94" w:name="_Toc19238"/>
      <w:bookmarkStart w:id="95" w:name="_Toc106030381"/>
      <w:bookmarkStart w:id="96" w:name="_Toc7027"/>
      <w:bookmarkStart w:id="97" w:name="_Toc4519"/>
      <w:bookmarkStart w:id="98" w:name="_Toc4531"/>
      <w:bookmarkStart w:id="99" w:name="_Toc4913"/>
      <w:r>
        <w:rPr>
          <w:rFonts w:hint="eastAsia" w:ascii="微软雅黑" w:hAnsi="微软雅黑" w:eastAsia="微软雅黑" w:cs="微软雅黑"/>
          <w:b/>
          <w:bCs/>
          <w:color w:val="auto"/>
          <w:sz w:val="24"/>
          <w:szCs w:val="24"/>
        </w:rPr>
        <w:t>一、项目一览表</w:t>
      </w:r>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p>
    <w:tbl>
      <w:tblPr>
        <w:tblStyle w:val="5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46"/>
        <w:gridCol w:w="4964"/>
        <w:gridCol w:w="1415"/>
        <w:gridCol w:w="127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1" w:hRule="atLeast"/>
          <w:jc w:val="center"/>
        </w:trPr>
        <w:tc>
          <w:tcPr>
            <w:tcW w:w="846" w:type="dxa"/>
            <w:vAlign w:val="center"/>
          </w:tcPr>
          <w:p>
            <w:pPr>
              <w:jc w:val="center"/>
              <w:rPr>
                <w:rFonts w:hint="eastAsia" w:ascii="微软雅黑" w:hAnsi="微软雅黑" w:eastAsia="微软雅黑" w:cs="微软雅黑"/>
                <w:b/>
                <w:color w:val="auto"/>
                <w:sz w:val="24"/>
                <w:szCs w:val="24"/>
              </w:rPr>
            </w:pPr>
            <w:r>
              <w:rPr>
                <w:rFonts w:hint="eastAsia" w:ascii="微软雅黑" w:hAnsi="微软雅黑" w:eastAsia="微软雅黑" w:cs="微软雅黑"/>
                <w:b/>
                <w:color w:val="auto"/>
                <w:sz w:val="24"/>
                <w:szCs w:val="24"/>
              </w:rPr>
              <w:t>序号</w:t>
            </w:r>
          </w:p>
        </w:tc>
        <w:tc>
          <w:tcPr>
            <w:tcW w:w="4964" w:type="dxa"/>
            <w:vAlign w:val="center"/>
          </w:tcPr>
          <w:p>
            <w:pPr>
              <w:jc w:val="center"/>
              <w:rPr>
                <w:rFonts w:hint="eastAsia" w:ascii="微软雅黑" w:hAnsi="微软雅黑" w:eastAsia="微软雅黑" w:cs="微软雅黑"/>
                <w:b/>
                <w:color w:val="auto"/>
                <w:sz w:val="24"/>
                <w:szCs w:val="24"/>
              </w:rPr>
            </w:pPr>
            <w:r>
              <w:rPr>
                <w:rFonts w:hint="eastAsia" w:ascii="微软雅黑" w:hAnsi="微软雅黑" w:eastAsia="微软雅黑" w:cs="微软雅黑"/>
                <w:b/>
                <w:color w:val="auto"/>
                <w:sz w:val="24"/>
                <w:szCs w:val="24"/>
              </w:rPr>
              <w:t>产品名称</w:t>
            </w:r>
          </w:p>
        </w:tc>
        <w:tc>
          <w:tcPr>
            <w:tcW w:w="1415" w:type="dxa"/>
            <w:vAlign w:val="center"/>
          </w:tcPr>
          <w:p>
            <w:pPr>
              <w:jc w:val="center"/>
              <w:rPr>
                <w:rFonts w:hint="eastAsia" w:ascii="微软雅黑" w:hAnsi="微软雅黑" w:eastAsia="微软雅黑" w:cs="微软雅黑"/>
                <w:b/>
                <w:color w:val="auto"/>
                <w:sz w:val="24"/>
                <w:szCs w:val="24"/>
              </w:rPr>
            </w:pPr>
            <w:r>
              <w:rPr>
                <w:rFonts w:hint="eastAsia" w:ascii="微软雅黑" w:hAnsi="微软雅黑" w:eastAsia="微软雅黑" w:cs="微软雅黑"/>
                <w:b/>
                <w:color w:val="auto"/>
                <w:sz w:val="24"/>
                <w:szCs w:val="24"/>
              </w:rPr>
              <w:t>数量</w:t>
            </w:r>
          </w:p>
        </w:tc>
        <w:tc>
          <w:tcPr>
            <w:tcW w:w="1275" w:type="dxa"/>
            <w:vAlign w:val="center"/>
          </w:tcPr>
          <w:p>
            <w:pPr>
              <w:jc w:val="center"/>
              <w:rPr>
                <w:rFonts w:hint="eastAsia" w:ascii="微软雅黑" w:hAnsi="微软雅黑" w:eastAsia="微软雅黑" w:cs="微软雅黑"/>
                <w:b/>
                <w:color w:val="auto"/>
                <w:sz w:val="24"/>
                <w:szCs w:val="24"/>
                <w:lang w:eastAsia="zh-CN"/>
              </w:rPr>
            </w:pPr>
            <w:r>
              <w:rPr>
                <w:rFonts w:hint="eastAsia" w:ascii="微软雅黑" w:hAnsi="微软雅黑" w:eastAsia="微软雅黑" w:cs="微软雅黑"/>
                <w:b/>
                <w:color w:val="auto"/>
                <w:sz w:val="24"/>
                <w:szCs w:val="24"/>
                <w:lang w:val="en-US" w:eastAsia="zh-CN"/>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1" w:hRule="atLeast"/>
          <w:jc w:val="center"/>
        </w:trPr>
        <w:tc>
          <w:tcPr>
            <w:tcW w:w="846" w:type="dxa"/>
            <w:vAlign w:val="center"/>
          </w:tcPr>
          <w:p>
            <w:pPr>
              <w:pStyle w:val="23"/>
              <w:spacing w:line="240" w:lineRule="auto"/>
              <w:ind w:left="0"/>
              <w:jc w:val="center"/>
              <w:outlineLvl w:val="0"/>
              <w:rPr>
                <w:rFonts w:hint="eastAsia" w:ascii="微软雅黑" w:hAnsi="微软雅黑" w:eastAsia="微软雅黑" w:cs="微软雅黑"/>
                <w:color w:val="auto"/>
                <w:sz w:val="24"/>
                <w:szCs w:val="24"/>
              </w:rPr>
            </w:pPr>
            <w:bookmarkStart w:id="100" w:name="_Toc2264"/>
            <w:r>
              <w:rPr>
                <w:rFonts w:hint="eastAsia" w:ascii="微软雅黑" w:hAnsi="微软雅黑" w:eastAsia="微软雅黑" w:cs="微软雅黑"/>
                <w:color w:val="auto"/>
                <w:sz w:val="24"/>
                <w:szCs w:val="24"/>
              </w:rPr>
              <w:t>1</w:t>
            </w:r>
            <w:bookmarkEnd w:id="100"/>
          </w:p>
        </w:tc>
        <w:tc>
          <w:tcPr>
            <w:tcW w:w="4964" w:type="dxa"/>
            <w:vAlign w:val="center"/>
          </w:tcPr>
          <w:p>
            <w:pPr>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骨穿刺活检针</w:t>
            </w:r>
          </w:p>
        </w:tc>
        <w:tc>
          <w:tcPr>
            <w:tcW w:w="1415" w:type="dxa"/>
            <w:vAlign w:val="center"/>
          </w:tcPr>
          <w:p>
            <w:pPr>
              <w:jc w:val="center"/>
              <w:rPr>
                <w:rFonts w:hint="default"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按实结算</w:t>
            </w:r>
          </w:p>
        </w:tc>
        <w:tc>
          <w:tcPr>
            <w:tcW w:w="1275" w:type="dxa"/>
            <w:vAlign w:val="center"/>
          </w:tcPr>
          <w:p>
            <w:pPr>
              <w:jc w:val="center"/>
              <w:rPr>
                <w:rFonts w:hint="eastAsia" w:ascii="微软雅黑" w:hAnsi="微软雅黑" w:eastAsia="微软雅黑" w:cs="微软雅黑"/>
                <w:color w:val="auto"/>
                <w:sz w:val="24"/>
                <w:szCs w:val="24"/>
              </w:rPr>
            </w:pPr>
          </w:p>
        </w:tc>
      </w:tr>
    </w:tbl>
    <w:p>
      <w:pPr>
        <w:ind w:firstLine="480" w:firstLineChars="200"/>
        <w:rPr>
          <w:rFonts w:hint="eastAsia" w:ascii="微软雅黑" w:hAnsi="微软雅黑" w:eastAsia="微软雅黑" w:cs="微软雅黑"/>
          <w:color w:val="auto"/>
          <w:sz w:val="24"/>
          <w:szCs w:val="24"/>
        </w:rPr>
      </w:pPr>
      <w:bookmarkStart w:id="101" w:name="_Toc28205"/>
      <w:bookmarkStart w:id="102" w:name="_Toc27067"/>
      <w:bookmarkStart w:id="103" w:name="_Toc23975"/>
      <w:bookmarkStart w:id="104" w:name="_Toc21817"/>
      <w:bookmarkStart w:id="105" w:name="_Toc15696"/>
      <w:bookmarkStart w:id="106" w:name="_Toc695"/>
      <w:bookmarkStart w:id="107" w:name="_Toc12568"/>
      <w:bookmarkStart w:id="108" w:name="_Toc18903"/>
      <w:bookmarkStart w:id="109" w:name="_Toc106030382"/>
      <w:bookmarkStart w:id="110" w:name="_Toc18800"/>
      <w:bookmarkStart w:id="111" w:name="_Toc75793506"/>
      <w:bookmarkStart w:id="112" w:name="_Toc32262"/>
      <w:bookmarkStart w:id="113" w:name="_Toc5751"/>
      <w:bookmarkStart w:id="114" w:name="_Toc7792"/>
      <w:bookmarkStart w:id="115" w:name="_Toc10143"/>
      <w:bookmarkStart w:id="116" w:name="_Toc26453"/>
      <w:r>
        <w:rPr>
          <w:rFonts w:hint="eastAsia" w:ascii="微软雅黑" w:hAnsi="微软雅黑" w:eastAsia="微软雅黑" w:cs="微软雅黑"/>
          <w:b/>
          <w:bCs/>
          <w:color w:val="auto"/>
          <w:sz w:val="24"/>
          <w:szCs w:val="24"/>
        </w:rPr>
        <w:t>二、项目技术需求</w:t>
      </w:r>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p>
    <w:p>
      <w:pPr>
        <w:snapToGrid w:val="0"/>
        <w:spacing w:line="400" w:lineRule="exact"/>
        <w:ind w:firstLine="480" w:firstLineChars="200"/>
        <w:rPr>
          <w:rFonts w:hint="eastAsia" w:ascii="微软雅黑" w:hAnsi="微软雅黑" w:eastAsia="微软雅黑" w:cs="微软雅黑"/>
          <w:color w:val="auto"/>
          <w:sz w:val="24"/>
          <w:szCs w:val="24"/>
          <w:lang w:val="en-US" w:eastAsia="zh-CN"/>
        </w:rPr>
      </w:pPr>
      <w:bookmarkStart w:id="117" w:name="OLE_LINK2"/>
      <w:r>
        <w:rPr>
          <w:rFonts w:hint="eastAsia" w:ascii="微软雅黑" w:hAnsi="微软雅黑" w:eastAsia="微软雅黑" w:cs="微软雅黑"/>
          <w:color w:val="auto"/>
          <w:sz w:val="24"/>
          <w:szCs w:val="24"/>
          <w:lang w:val="en-US" w:eastAsia="zh-CN"/>
        </w:rPr>
        <w:t>1.用于骨或骨髓穿刺活检；</w:t>
      </w:r>
    </w:p>
    <w:p>
      <w:pPr>
        <w:snapToGrid w:val="0"/>
        <w:spacing w:line="400" w:lineRule="exact"/>
        <w:ind w:firstLine="480" w:firstLineChars="200"/>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2.由穿刺针管、针芯、手柄等组成。穿刺针管和针芯需采用高强度医用级不锈钢制造，具备优异的抗弯折性能和硬度，确保穿刺高密度骨皮质时不变形、不断裂。手柄需采用医用级高分子材料，无生物毒性及致敏性。</w:t>
      </w:r>
    </w:p>
    <w:p>
      <w:pPr>
        <w:snapToGrid w:val="0"/>
        <w:spacing w:line="400" w:lineRule="exact"/>
        <w:ind w:firstLine="480" w:firstLineChars="200"/>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3.针尖设计：针芯与外管的针尖需呈锐角多切面（如三棱形结构），极其锋利，穿透阻力小，骨质切削平滑，减少患者创伤。</w:t>
      </w:r>
    </w:p>
    <w:p>
      <w:pPr>
        <w:snapToGrid w:val="0"/>
        <w:spacing w:line="400" w:lineRule="exact"/>
        <w:ind w:firstLine="480" w:firstLineChars="200"/>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手柄设计：符合人体工程学（如宽大的T型或球型设计），防滑防脱，便于术者在穿刺时稳定施加旋转力和轴向推进力。</w:t>
      </w:r>
    </w:p>
    <w:p>
      <w:pPr>
        <w:snapToGrid w:val="0"/>
        <w:spacing w:line="400" w:lineRule="exact"/>
        <w:ind w:firstLine="480" w:firstLineChars="200"/>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配合度：外管与内芯必须配合紧密，锁定牢靠，穿刺过程中内芯不得出现相对滑动或退让；穿刺到位后，拔插需顺畅无卡顿。</w:t>
      </w:r>
    </w:p>
    <w:p>
      <w:pPr>
        <w:snapToGrid w:val="0"/>
        <w:spacing w:line="400" w:lineRule="exact"/>
        <w:ind w:firstLine="480" w:firstLineChars="200"/>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样本获取（活检必须）：必须具备可靠的活检标本离断/捕获机制（如配套专用的组织脱离器或前端特殊截面设计），确保能完整取出圆柱状骨髓组织样本，不破坏细胞结构。</w:t>
      </w:r>
    </w:p>
    <w:p>
      <w:pPr>
        <w:snapToGrid w:val="0"/>
        <w:spacing w:line="400" w:lineRule="exact"/>
        <w:ind w:firstLine="480" w:firstLineChars="200"/>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刻度标识：针体表面建议带有清晰的厘米/毫米深度刻度线，方便精准控制进针深度（视具体需求可列为加分项或必备项）。</w:t>
      </w:r>
    </w:p>
    <w:p>
      <w:pPr>
        <w:snapToGrid w:val="0"/>
        <w:spacing w:line="400" w:lineRule="exact"/>
        <w:ind w:firstLine="480" w:firstLineChars="200"/>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4.外径尺寸：至少必须包含8G、11G、13G等规格，以满足不同体型及年龄段患者的临床需求。针管长度：必须包含70mm至100mm区间的主流长度规格。</w:t>
      </w:r>
    </w:p>
    <w:p>
      <w:pPr>
        <w:snapToGrid w:val="0"/>
        <w:spacing w:line="400" w:lineRule="exact"/>
        <w:ind w:firstLine="480" w:firstLineChars="200"/>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5.一次性使用，灭菌包装。</w:t>
      </w:r>
    </w:p>
    <w:p>
      <w:pPr>
        <w:snapToGrid w:val="0"/>
        <w:spacing w:line="400" w:lineRule="exact"/>
        <w:ind w:firstLine="480" w:firstLineChars="200"/>
        <w:rPr>
          <w:rFonts w:hint="eastAsia" w:ascii="微软雅黑" w:hAnsi="微软雅黑" w:eastAsia="微软雅黑" w:cs="微软雅黑"/>
          <w:color w:val="auto"/>
          <w:sz w:val="24"/>
          <w:szCs w:val="24"/>
          <w:lang w:val="en-US" w:eastAsia="zh-CN"/>
        </w:rPr>
      </w:pPr>
    </w:p>
    <w:p>
      <w:pPr>
        <w:snapToGrid w:val="0"/>
        <w:spacing w:line="400" w:lineRule="exact"/>
        <w:ind w:firstLine="480" w:firstLineChars="200"/>
        <w:rPr>
          <w:rFonts w:hint="eastAsia" w:ascii="微软雅黑" w:hAnsi="微软雅黑" w:eastAsia="微软雅黑" w:cs="微软雅黑"/>
          <w:color w:val="auto"/>
          <w:sz w:val="24"/>
          <w:szCs w:val="24"/>
          <w:lang w:val="en-US" w:eastAsia="zh-CN"/>
        </w:rPr>
        <w:sectPr>
          <w:footerReference r:id="rId8" w:type="default"/>
          <w:footerReference r:id="rId9" w:type="even"/>
          <w:pgSz w:w="11907" w:h="16840"/>
          <w:pgMar w:top="1134" w:right="1020" w:bottom="1134" w:left="1020" w:header="964" w:footer="992" w:gutter="0"/>
          <w:pgNumType w:fmt="numberInDash"/>
          <w:cols w:space="720" w:num="1"/>
          <w:docGrid w:linePitch="381" w:charSpace="0"/>
        </w:sectPr>
      </w:pPr>
      <w:r>
        <w:rPr>
          <w:rFonts w:hint="eastAsia" w:ascii="微软雅黑" w:hAnsi="微软雅黑" w:eastAsia="微软雅黑" w:cs="微软雅黑"/>
          <w:color w:val="auto"/>
          <w:sz w:val="24"/>
          <w:szCs w:val="24"/>
          <w:lang w:val="en-US" w:eastAsia="zh-CN"/>
        </w:rPr>
        <w:t>注：开标现场必须提供所投产品带包装的样品。</w:t>
      </w:r>
      <w:bookmarkEnd w:id="117"/>
    </w:p>
    <w:p>
      <w:pPr>
        <w:pStyle w:val="4"/>
        <w:spacing w:before="200" w:after="200" w:line="240" w:lineRule="auto"/>
        <w:jc w:val="center"/>
        <w:rPr>
          <w:rFonts w:hint="eastAsia" w:ascii="微软雅黑" w:hAnsi="微软雅黑" w:eastAsia="微软雅黑" w:cs="微软雅黑"/>
          <w:color w:val="auto"/>
          <w:sz w:val="44"/>
        </w:rPr>
      </w:pPr>
      <w:bookmarkStart w:id="118" w:name="_Toc20793"/>
      <w:bookmarkStart w:id="119" w:name="_Toc30810"/>
      <w:bookmarkStart w:id="120" w:name="_Toc76462327"/>
      <w:bookmarkStart w:id="121" w:name="_Toc7791"/>
      <w:bookmarkStart w:id="122" w:name="_Toc106030882"/>
      <w:r>
        <w:rPr>
          <w:rFonts w:hint="eastAsia" w:ascii="微软雅黑" w:hAnsi="微软雅黑" w:eastAsia="微软雅黑" w:cs="微软雅黑"/>
          <w:color w:val="auto"/>
          <w:sz w:val="44"/>
        </w:rPr>
        <w:t xml:space="preserve">第三篇  </w:t>
      </w:r>
      <w:bookmarkEnd w:id="66"/>
      <w:r>
        <w:rPr>
          <w:rFonts w:hint="eastAsia" w:ascii="微软雅黑" w:hAnsi="微软雅黑" w:eastAsia="微软雅黑" w:cs="微软雅黑"/>
          <w:color w:val="auto"/>
          <w:sz w:val="44"/>
        </w:rPr>
        <w:t>项目商务需求</w:t>
      </w:r>
      <w:bookmarkEnd w:id="118"/>
      <w:bookmarkEnd w:id="119"/>
      <w:bookmarkEnd w:id="120"/>
      <w:bookmarkEnd w:id="121"/>
      <w:bookmarkEnd w:id="122"/>
    </w:p>
    <w:tbl>
      <w:tblPr>
        <w:tblStyle w:val="58"/>
        <w:tblW w:w="5181"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441"/>
        <w:gridCol w:w="853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2" w:hRule="atLeast"/>
        </w:trPr>
        <w:tc>
          <w:tcPr>
            <w:tcW w:w="5000" w:type="pct"/>
            <w:gridSpan w:val="2"/>
            <w:vAlign w:val="center"/>
          </w:tcPr>
          <w:p>
            <w:pPr>
              <w:pStyle w:val="144"/>
              <w:widowControl/>
              <w:spacing w:line="400" w:lineRule="exact"/>
              <w:ind w:firstLine="560" w:firstLineChars="200"/>
              <w:jc w:val="center"/>
              <w:rPr>
                <w:rFonts w:hint="eastAsia" w:ascii="微软雅黑" w:hAnsi="微软雅黑" w:eastAsia="微软雅黑" w:cs="微软雅黑"/>
                <w:color w:val="auto"/>
                <w:sz w:val="24"/>
                <w:szCs w:val="24"/>
              </w:rPr>
            </w:pPr>
            <w:r>
              <w:rPr>
                <w:rFonts w:hint="eastAsia" w:ascii="微软雅黑" w:hAnsi="微软雅黑" w:eastAsia="微软雅黑" w:cs="微软雅黑"/>
                <w:b/>
                <w:bCs/>
                <w:color w:val="auto"/>
                <w:sz w:val="28"/>
                <w:szCs w:val="28"/>
              </w:rPr>
              <w:t>商务需求表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7" w:hRule="atLeast"/>
        </w:trPr>
        <w:tc>
          <w:tcPr>
            <w:tcW w:w="722" w:type="pct"/>
            <w:vAlign w:val="center"/>
          </w:tcPr>
          <w:p>
            <w:pPr>
              <w:pStyle w:val="144"/>
              <w:widowControl/>
              <w:adjustRightInd w:val="0"/>
              <w:snapToGrid w:val="0"/>
              <w:spacing w:line="400" w:lineRule="exact"/>
              <w:jc w:val="center"/>
              <w:rPr>
                <w:rFonts w:hint="eastAsia" w:ascii="微软雅黑" w:hAnsi="微软雅黑" w:eastAsia="微软雅黑" w:cs="微软雅黑"/>
                <w:b/>
                <w:bCs/>
                <w:color w:val="auto"/>
                <w:sz w:val="24"/>
                <w:szCs w:val="24"/>
              </w:rPr>
            </w:pPr>
            <w:r>
              <w:rPr>
                <w:rFonts w:hint="eastAsia" w:ascii="微软雅黑" w:hAnsi="微软雅黑" w:eastAsia="微软雅黑" w:cs="微软雅黑"/>
                <w:b/>
                <w:bCs/>
                <w:color w:val="auto"/>
                <w:sz w:val="24"/>
                <w:szCs w:val="24"/>
                <w:lang w:val="en-US" w:eastAsia="zh-CN"/>
              </w:rPr>
              <w:t>合同、</w:t>
            </w:r>
            <w:r>
              <w:rPr>
                <w:rFonts w:hint="eastAsia" w:ascii="微软雅黑" w:hAnsi="微软雅黑" w:eastAsia="微软雅黑" w:cs="微软雅黑"/>
                <w:b/>
                <w:bCs/>
                <w:color w:val="auto"/>
                <w:sz w:val="24"/>
                <w:szCs w:val="24"/>
              </w:rPr>
              <w:t>交货时间、交货地点及验收方式</w:t>
            </w:r>
          </w:p>
        </w:tc>
        <w:tc>
          <w:tcPr>
            <w:tcW w:w="4277" w:type="pct"/>
            <w:vAlign w:val="center"/>
          </w:tcPr>
          <w:p>
            <w:pPr>
              <w:pStyle w:val="144"/>
              <w:widowControl/>
              <w:adjustRightInd w:val="0"/>
              <w:snapToGrid w:val="0"/>
              <w:spacing w:line="400" w:lineRule="exact"/>
              <w:jc w:val="left"/>
              <w:rPr>
                <w:rFonts w:hint="eastAsia" w:ascii="微软雅黑" w:hAnsi="微软雅黑" w:eastAsia="微软雅黑" w:cs="微软雅黑"/>
                <w:color w:val="auto"/>
                <w:kern w:val="0"/>
                <w:sz w:val="24"/>
                <w:szCs w:val="24"/>
                <w:lang w:val="en-US" w:eastAsia="zh-CN"/>
              </w:rPr>
            </w:pPr>
            <w:r>
              <w:rPr>
                <w:rFonts w:hint="eastAsia" w:ascii="微软雅黑" w:hAnsi="微软雅黑" w:eastAsia="微软雅黑" w:cs="微软雅黑"/>
                <w:color w:val="auto"/>
                <w:kern w:val="0"/>
                <w:sz w:val="24"/>
                <w:szCs w:val="24"/>
                <w:lang w:val="en-US" w:eastAsia="zh-CN"/>
              </w:rPr>
              <w:t>合同：合同期3年。</w:t>
            </w:r>
          </w:p>
          <w:p>
            <w:pPr>
              <w:pStyle w:val="144"/>
              <w:widowControl/>
              <w:adjustRightInd w:val="0"/>
              <w:snapToGrid w:val="0"/>
              <w:spacing w:line="400" w:lineRule="exact"/>
              <w:jc w:val="left"/>
              <w:rPr>
                <w:rFonts w:hint="eastAsia" w:ascii="微软雅黑" w:hAnsi="微软雅黑" w:eastAsia="微软雅黑" w:cs="微软雅黑"/>
                <w:color w:val="auto"/>
                <w:kern w:val="0"/>
                <w:sz w:val="24"/>
                <w:szCs w:val="24"/>
                <w:lang w:val="en-US" w:eastAsia="zh-CN"/>
              </w:rPr>
            </w:pPr>
            <w:r>
              <w:rPr>
                <w:rFonts w:hint="eastAsia" w:ascii="微软雅黑" w:hAnsi="微软雅黑" w:eastAsia="微软雅黑" w:cs="微软雅黑"/>
                <w:color w:val="auto"/>
                <w:kern w:val="0"/>
                <w:sz w:val="24"/>
                <w:szCs w:val="24"/>
                <w:lang w:val="en-US" w:eastAsia="zh-CN"/>
              </w:rPr>
              <w:t>交货期：中标人在收到采购人通知后在7个日历日内（或者在采购人临时具体书面指定天数内）将物资运到采购人指定交货地点。</w:t>
            </w:r>
          </w:p>
          <w:p>
            <w:pPr>
              <w:pStyle w:val="144"/>
              <w:widowControl/>
              <w:adjustRightInd w:val="0"/>
              <w:snapToGrid w:val="0"/>
              <w:spacing w:line="400" w:lineRule="exact"/>
              <w:jc w:val="left"/>
              <w:rPr>
                <w:rFonts w:hint="eastAsia" w:ascii="微软雅黑" w:hAnsi="微软雅黑" w:eastAsia="微软雅黑" w:cs="微软雅黑"/>
                <w:color w:val="auto"/>
                <w:kern w:val="0"/>
                <w:sz w:val="24"/>
                <w:szCs w:val="24"/>
                <w:lang w:val="en-US" w:eastAsia="zh-CN"/>
              </w:rPr>
            </w:pPr>
            <w:r>
              <w:rPr>
                <w:rFonts w:hint="eastAsia" w:ascii="微软雅黑" w:hAnsi="微软雅黑" w:eastAsia="微软雅黑" w:cs="微软雅黑"/>
                <w:color w:val="auto"/>
                <w:kern w:val="0"/>
                <w:sz w:val="24"/>
                <w:szCs w:val="24"/>
                <w:lang w:val="en-US" w:eastAsia="zh-CN"/>
              </w:rPr>
              <w:t>交货地点：重庆医科大学附属儿童医院设备处。</w:t>
            </w:r>
          </w:p>
          <w:p>
            <w:pPr>
              <w:pStyle w:val="144"/>
              <w:widowControl/>
              <w:adjustRightInd w:val="0"/>
              <w:snapToGrid w:val="0"/>
              <w:spacing w:line="400" w:lineRule="exact"/>
              <w:jc w:val="left"/>
              <w:rPr>
                <w:rFonts w:hint="eastAsia" w:ascii="微软雅黑" w:hAnsi="微软雅黑" w:eastAsia="微软雅黑" w:cs="微软雅黑"/>
                <w:color w:val="auto"/>
                <w:kern w:val="0"/>
                <w:sz w:val="24"/>
                <w:szCs w:val="24"/>
                <w:lang w:val="en-US" w:eastAsia="zh-CN"/>
              </w:rPr>
            </w:pPr>
            <w:r>
              <w:rPr>
                <w:rFonts w:hint="eastAsia" w:ascii="微软雅黑" w:hAnsi="微软雅黑" w:eastAsia="微软雅黑" w:cs="微软雅黑"/>
                <w:color w:val="auto"/>
                <w:kern w:val="0"/>
                <w:sz w:val="24"/>
                <w:szCs w:val="24"/>
                <w:lang w:val="en-US" w:eastAsia="zh-CN"/>
              </w:rPr>
              <w:t>验收方式：现场抽样开箱验收。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7" w:hRule="atLeast"/>
        </w:trPr>
        <w:tc>
          <w:tcPr>
            <w:tcW w:w="722" w:type="pct"/>
            <w:vAlign w:val="center"/>
          </w:tcPr>
          <w:p>
            <w:pPr>
              <w:pStyle w:val="144"/>
              <w:widowControl/>
              <w:adjustRightInd w:val="0"/>
              <w:snapToGrid w:val="0"/>
              <w:spacing w:line="400" w:lineRule="exact"/>
              <w:jc w:val="center"/>
              <w:rPr>
                <w:rFonts w:hint="eastAsia" w:ascii="微软雅黑" w:hAnsi="微软雅黑" w:eastAsia="微软雅黑" w:cs="微软雅黑"/>
                <w:b/>
                <w:bCs/>
                <w:color w:val="auto"/>
                <w:sz w:val="24"/>
                <w:szCs w:val="24"/>
              </w:rPr>
            </w:pPr>
            <w:r>
              <w:rPr>
                <w:rFonts w:hint="eastAsia" w:ascii="微软雅黑" w:hAnsi="微软雅黑" w:eastAsia="微软雅黑" w:cs="微软雅黑"/>
                <w:b/>
                <w:bCs/>
                <w:color w:val="auto"/>
                <w:sz w:val="24"/>
                <w:szCs w:val="24"/>
              </w:rPr>
              <w:t>质量保证及售后服务</w:t>
            </w:r>
          </w:p>
        </w:tc>
        <w:tc>
          <w:tcPr>
            <w:tcW w:w="4277" w:type="pct"/>
            <w:vAlign w:val="center"/>
          </w:tcPr>
          <w:p>
            <w:pPr>
              <w:pStyle w:val="144"/>
              <w:widowControl/>
              <w:adjustRightInd w:val="0"/>
              <w:snapToGrid w:val="0"/>
              <w:spacing w:line="400" w:lineRule="exact"/>
              <w:jc w:val="left"/>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1.中标后若出现断供或发生Ⅱ级不良事件，自动取消该产品的供货资格；</w:t>
            </w:r>
          </w:p>
          <w:p>
            <w:pPr>
              <w:pStyle w:val="144"/>
              <w:widowControl/>
              <w:adjustRightInd w:val="0"/>
              <w:snapToGrid w:val="0"/>
              <w:spacing w:line="400" w:lineRule="exact"/>
              <w:jc w:val="left"/>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2.售后及时(24小时到现场提供解决方案)，收到供应宝订单须3日之内响应订单。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7" w:hRule="atLeast"/>
        </w:trPr>
        <w:tc>
          <w:tcPr>
            <w:tcW w:w="722" w:type="pct"/>
            <w:vAlign w:val="center"/>
          </w:tcPr>
          <w:p>
            <w:pPr>
              <w:pStyle w:val="144"/>
              <w:widowControl/>
              <w:adjustRightInd w:val="0"/>
              <w:snapToGrid w:val="0"/>
              <w:spacing w:line="400" w:lineRule="exact"/>
              <w:jc w:val="center"/>
              <w:rPr>
                <w:rFonts w:hint="eastAsia" w:ascii="微软雅黑" w:hAnsi="微软雅黑" w:eastAsia="微软雅黑" w:cs="微软雅黑"/>
                <w:b/>
                <w:bCs/>
                <w:color w:val="auto"/>
                <w:sz w:val="24"/>
                <w:szCs w:val="24"/>
              </w:rPr>
            </w:pPr>
            <w:r>
              <w:rPr>
                <w:rFonts w:hint="eastAsia" w:ascii="微软雅黑" w:hAnsi="微软雅黑" w:eastAsia="微软雅黑" w:cs="微软雅黑"/>
                <w:b/>
                <w:bCs/>
                <w:color w:val="auto"/>
                <w:sz w:val="24"/>
                <w:szCs w:val="24"/>
              </w:rPr>
              <w:t>报价要求</w:t>
            </w:r>
          </w:p>
        </w:tc>
        <w:tc>
          <w:tcPr>
            <w:tcW w:w="4277" w:type="pct"/>
            <w:vAlign w:val="center"/>
          </w:tcPr>
          <w:p>
            <w:pPr>
              <w:pStyle w:val="144"/>
              <w:widowControl/>
              <w:adjustRightInd w:val="0"/>
              <w:snapToGrid w:val="0"/>
              <w:spacing w:line="400" w:lineRule="exact"/>
              <w:jc w:val="left"/>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lang w:val="en-US" w:eastAsia="zh-CN"/>
              </w:rPr>
              <w:t>1.</w:t>
            </w:r>
            <w:r>
              <w:rPr>
                <w:rFonts w:hint="eastAsia" w:ascii="微软雅黑" w:hAnsi="微软雅黑" w:eastAsia="微软雅黑" w:cs="微软雅黑"/>
                <w:color w:val="auto"/>
                <w:sz w:val="24"/>
                <w:szCs w:val="24"/>
              </w:rPr>
              <w:t>该项目可在投标现场进行二次报价。</w:t>
            </w:r>
          </w:p>
          <w:p>
            <w:pPr>
              <w:pStyle w:val="144"/>
              <w:widowControl/>
              <w:adjustRightInd w:val="0"/>
              <w:snapToGrid w:val="0"/>
              <w:spacing w:line="400" w:lineRule="exact"/>
              <w:jc w:val="left"/>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lang w:val="en-US" w:eastAsia="zh-CN"/>
              </w:rPr>
              <w:t>2.</w:t>
            </w:r>
            <w:r>
              <w:rPr>
                <w:rFonts w:hint="eastAsia" w:ascii="微软雅黑" w:hAnsi="微软雅黑" w:eastAsia="微软雅黑" w:cs="微软雅黑"/>
                <w:color w:val="auto"/>
                <w:sz w:val="24"/>
                <w:szCs w:val="24"/>
              </w:rPr>
              <w:t>该项目报价须</w:t>
            </w:r>
            <w:r>
              <w:rPr>
                <w:rFonts w:hint="eastAsia" w:ascii="微软雅黑" w:hAnsi="微软雅黑" w:eastAsia="微软雅黑" w:cs="微软雅黑"/>
                <w:color w:val="auto"/>
                <w:sz w:val="24"/>
                <w:szCs w:val="24"/>
                <w:lang w:val="en-US" w:eastAsia="zh-CN"/>
              </w:rPr>
              <w:t>对所投产品的线上价格和备案价格分别进行报价</w:t>
            </w:r>
            <w:r>
              <w:rPr>
                <w:rFonts w:hint="eastAsia" w:ascii="微软雅黑" w:hAnsi="微软雅黑" w:eastAsia="微软雅黑" w:cs="微软雅黑"/>
                <w:color w:val="auto"/>
                <w:sz w:val="24"/>
                <w:szCs w:val="24"/>
              </w:rPr>
              <w:t>，包括完成货物、运输、验收及其他本项目所需的所有费用及各种应纳的税费。因</w:t>
            </w:r>
            <w:r>
              <w:rPr>
                <w:rFonts w:hint="eastAsia" w:ascii="微软雅黑" w:hAnsi="微软雅黑" w:eastAsia="微软雅黑" w:cs="微软雅黑"/>
                <w:color w:val="auto"/>
                <w:sz w:val="24"/>
                <w:szCs w:val="24"/>
                <w:lang w:eastAsia="zh-CN"/>
              </w:rPr>
              <w:t>中标人</w:t>
            </w:r>
            <w:r>
              <w:rPr>
                <w:rFonts w:hint="eastAsia" w:ascii="微软雅黑" w:hAnsi="微软雅黑" w:eastAsia="微软雅黑" w:cs="微软雅黑"/>
                <w:color w:val="auto"/>
                <w:sz w:val="24"/>
                <w:szCs w:val="24"/>
              </w:rPr>
              <w:t>自身原因造成漏报、少报皆由其自行承担责任，采购人不再补偿。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7" w:hRule="atLeast"/>
        </w:trPr>
        <w:tc>
          <w:tcPr>
            <w:tcW w:w="722" w:type="pct"/>
            <w:vAlign w:val="center"/>
          </w:tcPr>
          <w:p>
            <w:pPr>
              <w:pStyle w:val="144"/>
              <w:widowControl/>
              <w:adjustRightInd w:val="0"/>
              <w:snapToGrid w:val="0"/>
              <w:spacing w:line="400" w:lineRule="exact"/>
              <w:jc w:val="center"/>
              <w:rPr>
                <w:rFonts w:hint="eastAsia" w:ascii="微软雅黑" w:hAnsi="微软雅黑" w:eastAsia="微软雅黑" w:cs="微软雅黑"/>
                <w:b/>
                <w:bCs/>
                <w:color w:val="auto"/>
                <w:sz w:val="24"/>
                <w:szCs w:val="24"/>
              </w:rPr>
            </w:pPr>
            <w:r>
              <w:rPr>
                <w:rFonts w:hint="eastAsia" w:ascii="微软雅黑" w:hAnsi="微软雅黑" w:eastAsia="微软雅黑" w:cs="微软雅黑"/>
                <w:b/>
                <w:bCs/>
                <w:color w:val="auto"/>
                <w:sz w:val="24"/>
                <w:szCs w:val="24"/>
              </w:rPr>
              <w:t>付款方式</w:t>
            </w:r>
          </w:p>
        </w:tc>
        <w:tc>
          <w:tcPr>
            <w:tcW w:w="4277" w:type="pct"/>
            <w:vAlign w:val="center"/>
          </w:tcPr>
          <w:p>
            <w:pPr>
              <w:pStyle w:val="144"/>
              <w:widowControl/>
              <w:adjustRightInd w:val="0"/>
              <w:snapToGrid w:val="0"/>
              <w:spacing w:line="400" w:lineRule="exact"/>
              <w:jc w:val="left"/>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lang w:val="en-US" w:eastAsia="zh-CN"/>
              </w:rPr>
              <w:t>每月结算一次，中标人每月向采购人开具上月采购金额发票和经采购人确认的结算凭证，采购人收到发票和结算凭证后2个月内以转账方式向中标人支付。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trPr>
        <w:tc>
          <w:tcPr>
            <w:tcW w:w="722" w:type="pct"/>
            <w:vAlign w:val="center"/>
          </w:tcPr>
          <w:p>
            <w:pPr>
              <w:pStyle w:val="144"/>
              <w:widowControl/>
              <w:adjustRightInd w:val="0"/>
              <w:snapToGrid w:val="0"/>
              <w:spacing w:line="400" w:lineRule="exact"/>
              <w:jc w:val="center"/>
              <w:rPr>
                <w:rFonts w:hint="eastAsia" w:ascii="微软雅黑" w:hAnsi="微软雅黑" w:eastAsia="微软雅黑" w:cs="微软雅黑"/>
                <w:b/>
                <w:bCs/>
                <w:color w:val="auto"/>
                <w:sz w:val="24"/>
                <w:szCs w:val="24"/>
              </w:rPr>
            </w:pPr>
            <w:r>
              <w:rPr>
                <w:rFonts w:hint="eastAsia" w:ascii="微软雅黑" w:hAnsi="微软雅黑" w:eastAsia="微软雅黑" w:cs="微软雅黑"/>
                <w:b/>
                <w:bCs/>
                <w:color w:val="auto"/>
                <w:sz w:val="24"/>
                <w:szCs w:val="24"/>
              </w:rPr>
              <w:t>其他</w:t>
            </w:r>
          </w:p>
        </w:tc>
        <w:tc>
          <w:tcPr>
            <w:tcW w:w="4277" w:type="pct"/>
            <w:vAlign w:val="center"/>
          </w:tcPr>
          <w:p>
            <w:pPr>
              <w:pStyle w:val="144"/>
              <w:widowControl/>
              <w:adjustRightInd w:val="0"/>
              <w:snapToGrid w:val="0"/>
              <w:spacing w:line="400" w:lineRule="exact"/>
              <w:jc w:val="left"/>
              <w:rPr>
                <w:rFonts w:hint="eastAsia" w:ascii="微软雅黑" w:hAnsi="微软雅黑" w:eastAsia="微软雅黑" w:cs="微软雅黑"/>
                <w:color w:val="auto"/>
                <w:sz w:val="24"/>
                <w:szCs w:val="24"/>
              </w:rPr>
            </w:pPr>
            <w:bookmarkStart w:id="123" w:name="OLE_LINK1"/>
            <w:r>
              <w:rPr>
                <w:rFonts w:hint="eastAsia" w:ascii="微软雅黑" w:hAnsi="微软雅黑" w:eastAsia="微软雅黑" w:cs="微软雅黑"/>
                <w:color w:val="auto"/>
                <w:sz w:val="24"/>
                <w:szCs w:val="24"/>
                <w:lang w:val="en-US" w:eastAsia="zh-CN"/>
              </w:rPr>
              <w:t>1.</w:t>
            </w:r>
            <w:r>
              <w:rPr>
                <w:rFonts w:hint="eastAsia" w:ascii="微软雅黑" w:hAnsi="微软雅黑" w:eastAsia="微软雅黑" w:cs="微软雅黑"/>
                <w:color w:val="auto"/>
                <w:sz w:val="24"/>
                <w:szCs w:val="24"/>
              </w:rPr>
              <w:t>投标人必须在响应文件中对以上条款和服务承诺明确列出，承诺内容必须达到本篇及协商文件其他条款的要求。</w:t>
            </w:r>
          </w:p>
          <w:p>
            <w:pPr>
              <w:pStyle w:val="144"/>
              <w:widowControl/>
              <w:adjustRightInd w:val="0"/>
              <w:snapToGrid w:val="0"/>
              <w:spacing w:line="400" w:lineRule="exact"/>
              <w:jc w:val="left"/>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2.</w:t>
            </w:r>
            <w:r>
              <w:rPr>
                <w:rFonts w:hint="eastAsia" w:ascii="微软雅黑" w:hAnsi="微软雅黑" w:eastAsia="微软雅黑" w:cs="微软雅黑"/>
                <w:color w:val="auto"/>
                <w:sz w:val="24"/>
                <w:szCs w:val="24"/>
              </w:rPr>
              <w:t>其他未尽事宜由供需双方在采购合同中详细约定。</w:t>
            </w:r>
            <w:bookmarkEnd w:id="123"/>
          </w:p>
        </w:tc>
      </w:tr>
    </w:tbl>
    <w:p>
      <w:pPr>
        <w:rPr>
          <w:rFonts w:hint="eastAsia" w:ascii="微软雅黑" w:hAnsi="微软雅黑" w:eastAsia="微软雅黑" w:cs="微软雅黑"/>
          <w:b/>
          <w:color w:val="auto"/>
          <w:sz w:val="44"/>
        </w:rPr>
      </w:pPr>
      <w:bookmarkStart w:id="124" w:name="_Toc76462332"/>
      <w:bookmarkStart w:id="125" w:name="_Toc6692"/>
      <w:bookmarkStart w:id="126" w:name="_Toc106030887"/>
      <w:r>
        <w:rPr>
          <w:rFonts w:hint="eastAsia" w:ascii="微软雅黑" w:hAnsi="微软雅黑" w:eastAsia="微软雅黑" w:cs="微软雅黑"/>
          <w:b/>
          <w:color w:val="auto"/>
          <w:sz w:val="44"/>
        </w:rPr>
        <w:br w:type="page"/>
      </w:r>
    </w:p>
    <w:bookmarkEnd w:id="124"/>
    <w:bookmarkEnd w:id="125"/>
    <w:bookmarkEnd w:id="126"/>
    <w:p>
      <w:pPr>
        <w:pStyle w:val="4"/>
        <w:spacing w:before="200" w:after="200" w:line="240" w:lineRule="auto"/>
        <w:jc w:val="center"/>
        <w:rPr>
          <w:rFonts w:hint="eastAsia" w:ascii="微软雅黑" w:hAnsi="微软雅黑" w:eastAsia="微软雅黑" w:cs="微软雅黑"/>
          <w:color w:val="auto"/>
          <w:sz w:val="44"/>
        </w:rPr>
      </w:pPr>
      <w:bookmarkStart w:id="127" w:name="_Toc30488"/>
      <w:bookmarkStart w:id="128" w:name="_Toc30635"/>
      <w:bookmarkStart w:id="129" w:name="_Toc9075"/>
      <w:r>
        <w:rPr>
          <w:rFonts w:hint="eastAsia" w:ascii="微软雅黑" w:hAnsi="微软雅黑" w:eastAsia="微软雅黑" w:cs="微软雅黑"/>
          <w:color w:val="auto"/>
          <w:sz w:val="44"/>
        </w:rPr>
        <w:t>第三篇  耗材遴选采购程序及方法、评审标准、无效响应和采购终止</w:t>
      </w:r>
      <w:bookmarkEnd w:id="127"/>
      <w:bookmarkEnd w:id="128"/>
      <w:bookmarkEnd w:id="129"/>
    </w:p>
    <w:p>
      <w:pPr>
        <w:pStyle w:val="4"/>
        <w:adjustRightInd w:val="0"/>
        <w:snapToGrid w:val="0"/>
        <w:spacing w:before="0" w:after="0" w:line="400" w:lineRule="exact"/>
        <w:ind w:firstLine="480" w:firstLineChars="200"/>
        <w:rPr>
          <w:rFonts w:hint="eastAsia" w:ascii="微软雅黑" w:hAnsi="微软雅黑" w:eastAsia="微软雅黑" w:cs="微软雅黑"/>
          <w:color w:val="auto"/>
          <w:sz w:val="24"/>
        </w:rPr>
      </w:pPr>
      <w:bookmarkStart w:id="130" w:name="_Toc2184"/>
      <w:bookmarkStart w:id="131" w:name="_Toc15203"/>
      <w:bookmarkStart w:id="132" w:name="_Toc76462333"/>
      <w:bookmarkStart w:id="133" w:name="_Toc14958"/>
      <w:bookmarkStart w:id="134" w:name="_Toc29885"/>
      <w:bookmarkStart w:id="135" w:name="_Toc106030888"/>
      <w:r>
        <w:rPr>
          <w:rFonts w:hint="eastAsia" w:ascii="微软雅黑" w:hAnsi="微软雅黑" w:eastAsia="微软雅黑" w:cs="微软雅黑"/>
          <w:color w:val="auto"/>
          <w:sz w:val="24"/>
        </w:rPr>
        <w:t>一、耗材遴选采购程序</w:t>
      </w:r>
      <w:bookmarkEnd w:id="130"/>
      <w:bookmarkEnd w:id="131"/>
      <w:bookmarkEnd w:id="132"/>
      <w:bookmarkEnd w:id="133"/>
      <w:bookmarkEnd w:id="134"/>
      <w:bookmarkEnd w:id="135"/>
    </w:p>
    <w:p>
      <w:pPr>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（一）按耗材遴选采购文件规定的时间和地点进行，投标人须有法定代表人（或其授权代表）或自然人参加。</w:t>
      </w:r>
    </w:p>
    <w:p>
      <w:pPr>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（二）比选小组对各投标人的资格条件进行审查。各投标人只有在完全符合要求的前提下，才能参与正式比选。</w:t>
      </w:r>
    </w:p>
    <w:p>
      <w:pPr>
        <w:snapToGrid w:val="0"/>
        <w:spacing w:line="400" w:lineRule="exact"/>
        <w:ind w:firstLine="480" w:firstLineChars="200"/>
        <w:rPr>
          <w:rFonts w:hint="eastAsia" w:ascii="微软雅黑" w:hAnsi="微软雅黑" w:eastAsia="微软雅黑" w:cs="微软雅黑"/>
          <w:color w:val="auto"/>
          <w:kern w:val="0"/>
          <w:sz w:val="24"/>
          <w:szCs w:val="24"/>
        </w:rPr>
      </w:pPr>
      <w:r>
        <w:rPr>
          <w:rFonts w:hint="eastAsia" w:ascii="微软雅黑" w:hAnsi="微软雅黑" w:eastAsia="微软雅黑" w:cs="微软雅黑"/>
          <w:color w:val="auto"/>
          <w:kern w:val="0"/>
          <w:sz w:val="24"/>
          <w:szCs w:val="24"/>
        </w:rPr>
        <w:t>依据法律法规和耗材遴选采购文件的规定，对响应文件中的资格证明等进行审查，以确定投标人是否具备比选资格。资格性审查资料表如下：</w:t>
      </w:r>
    </w:p>
    <w:tbl>
      <w:tblPr>
        <w:tblStyle w:val="5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7"/>
        <w:gridCol w:w="891"/>
        <w:gridCol w:w="2815"/>
        <w:gridCol w:w="510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tcBorders>
              <w:top w:val="single" w:color="auto" w:sz="4" w:space="0"/>
              <w:left w:val="single" w:color="auto" w:sz="4" w:space="0"/>
              <w:bottom w:val="single" w:color="auto" w:sz="4" w:space="0"/>
              <w:right w:val="single" w:color="auto" w:sz="4" w:space="0"/>
            </w:tcBorders>
            <w:vAlign w:val="center"/>
          </w:tcPr>
          <w:p>
            <w:pPr>
              <w:pStyle w:val="144"/>
              <w:spacing w:line="400" w:lineRule="exact"/>
              <w:rPr>
                <w:rFonts w:hint="eastAsia" w:ascii="微软雅黑" w:hAnsi="微软雅黑" w:eastAsia="微软雅黑" w:cs="微软雅黑"/>
                <w:color w:val="auto"/>
                <w:szCs w:val="21"/>
              </w:rPr>
            </w:pPr>
            <w:r>
              <w:rPr>
                <w:rFonts w:hint="eastAsia" w:ascii="微软雅黑" w:hAnsi="微软雅黑" w:eastAsia="微软雅黑" w:cs="微软雅黑"/>
                <w:color w:val="auto"/>
                <w:szCs w:val="21"/>
              </w:rPr>
              <w:t>序号</w:t>
            </w:r>
          </w:p>
        </w:tc>
        <w:tc>
          <w:tcPr>
            <w:tcW w:w="3706" w:type="dxa"/>
            <w:gridSpan w:val="2"/>
            <w:tcBorders>
              <w:top w:val="single" w:color="auto" w:sz="4" w:space="0"/>
              <w:left w:val="single" w:color="auto" w:sz="4" w:space="0"/>
              <w:bottom w:val="single" w:color="auto" w:sz="4" w:space="0"/>
              <w:right w:val="single" w:color="auto" w:sz="4" w:space="0"/>
            </w:tcBorders>
            <w:vAlign w:val="center"/>
          </w:tcPr>
          <w:p>
            <w:pPr>
              <w:pStyle w:val="144"/>
              <w:spacing w:line="400" w:lineRule="exact"/>
              <w:rPr>
                <w:rFonts w:hint="eastAsia" w:ascii="微软雅黑" w:hAnsi="微软雅黑" w:eastAsia="微软雅黑" w:cs="微软雅黑"/>
                <w:color w:val="auto"/>
                <w:szCs w:val="21"/>
              </w:rPr>
            </w:pPr>
            <w:r>
              <w:rPr>
                <w:rFonts w:hint="eastAsia" w:ascii="微软雅黑" w:hAnsi="微软雅黑" w:eastAsia="微软雅黑" w:cs="微软雅黑"/>
                <w:color w:val="auto"/>
                <w:szCs w:val="21"/>
              </w:rPr>
              <w:t>检查因素</w:t>
            </w:r>
          </w:p>
        </w:tc>
        <w:tc>
          <w:tcPr>
            <w:tcW w:w="5105" w:type="dxa"/>
            <w:tcBorders>
              <w:top w:val="single" w:color="auto" w:sz="4" w:space="0"/>
              <w:left w:val="single" w:color="auto" w:sz="4" w:space="0"/>
              <w:bottom w:val="single" w:color="auto" w:sz="4" w:space="0"/>
              <w:right w:val="single" w:color="auto" w:sz="4" w:space="0"/>
            </w:tcBorders>
            <w:vAlign w:val="center"/>
          </w:tcPr>
          <w:p>
            <w:pPr>
              <w:pStyle w:val="144"/>
              <w:spacing w:line="400" w:lineRule="exact"/>
              <w:rPr>
                <w:rFonts w:hint="eastAsia" w:ascii="微软雅黑" w:hAnsi="微软雅黑" w:eastAsia="微软雅黑" w:cs="微软雅黑"/>
                <w:color w:val="auto"/>
                <w:szCs w:val="21"/>
              </w:rPr>
            </w:pPr>
            <w:r>
              <w:rPr>
                <w:rFonts w:hint="eastAsia" w:ascii="微软雅黑" w:hAnsi="微软雅黑" w:eastAsia="微软雅黑" w:cs="微软雅黑"/>
                <w:color w:val="auto"/>
                <w:szCs w:val="21"/>
              </w:rPr>
              <w:t>检查内容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Merge w:val="restart"/>
            <w:vAlign w:val="center"/>
          </w:tcPr>
          <w:p>
            <w:pPr>
              <w:pStyle w:val="144"/>
              <w:spacing w:line="400" w:lineRule="exact"/>
              <w:rPr>
                <w:rFonts w:hint="eastAsia" w:ascii="微软雅黑" w:hAnsi="微软雅黑" w:eastAsia="微软雅黑" w:cs="微软雅黑"/>
                <w:color w:val="auto"/>
                <w:szCs w:val="21"/>
              </w:rPr>
            </w:pPr>
            <w:r>
              <w:rPr>
                <w:rFonts w:hint="eastAsia" w:ascii="微软雅黑" w:hAnsi="微软雅黑" w:eastAsia="微软雅黑" w:cs="微软雅黑"/>
                <w:color w:val="auto"/>
                <w:szCs w:val="21"/>
              </w:rPr>
              <w:t>（一）</w:t>
            </w:r>
          </w:p>
        </w:tc>
        <w:tc>
          <w:tcPr>
            <w:tcW w:w="891" w:type="dxa"/>
            <w:vMerge w:val="restart"/>
            <w:vAlign w:val="center"/>
          </w:tcPr>
          <w:p>
            <w:pPr>
              <w:pStyle w:val="144"/>
              <w:spacing w:line="400" w:lineRule="exact"/>
              <w:rPr>
                <w:rFonts w:hint="eastAsia" w:ascii="微软雅黑" w:hAnsi="微软雅黑" w:eastAsia="微软雅黑" w:cs="微软雅黑"/>
                <w:color w:val="auto"/>
                <w:szCs w:val="21"/>
                <w:lang w:val="zh-CN"/>
              </w:rPr>
            </w:pPr>
            <w:r>
              <w:rPr>
                <w:rFonts w:hint="eastAsia" w:ascii="微软雅黑" w:hAnsi="微软雅黑" w:eastAsia="微软雅黑" w:cs="微软雅黑"/>
                <w:color w:val="auto"/>
                <w:szCs w:val="21"/>
                <w:lang w:val="zh-CN"/>
              </w:rPr>
              <w:t>《中华人民共和国政府采购法》第二十二条规定</w:t>
            </w:r>
          </w:p>
        </w:tc>
        <w:tc>
          <w:tcPr>
            <w:tcW w:w="2815" w:type="dxa"/>
            <w:vAlign w:val="center"/>
          </w:tcPr>
          <w:p>
            <w:pPr>
              <w:pStyle w:val="144"/>
              <w:spacing w:line="400" w:lineRule="exact"/>
              <w:rPr>
                <w:rFonts w:hint="eastAsia" w:ascii="微软雅黑" w:hAnsi="微软雅黑" w:eastAsia="微软雅黑" w:cs="微软雅黑"/>
                <w:color w:val="auto"/>
                <w:szCs w:val="21"/>
              </w:rPr>
            </w:pPr>
            <w:r>
              <w:rPr>
                <w:rFonts w:hint="eastAsia" w:ascii="微软雅黑" w:hAnsi="微软雅黑" w:eastAsia="微软雅黑" w:cs="微软雅黑"/>
                <w:color w:val="auto"/>
                <w:szCs w:val="21"/>
              </w:rPr>
              <w:t>1.具有独立承担民事责任的能力</w:t>
            </w:r>
          </w:p>
        </w:tc>
        <w:tc>
          <w:tcPr>
            <w:tcW w:w="5105" w:type="dxa"/>
            <w:vAlign w:val="center"/>
          </w:tcPr>
          <w:p>
            <w:pPr>
              <w:pStyle w:val="144"/>
              <w:spacing w:line="400" w:lineRule="exact"/>
              <w:rPr>
                <w:rFonts w:hint="eastAsia" w:ascii="微软雅黑" w:hAnsi="微软雅黑" w:eastAsia="微软雅黑" w:cs="微软雅黑"/>
                <w:color w:val="auto"/>
                <w:szCs w:val="21"/>
              </w:rPr>
            </w:pPr>
            <w:r>
              <w:rPr>
                <w:rFonts w:hint="eastAsia" w:ascii="微软雅黑" w:hAnsi="微软雅黑" w:eastAsia="微软雅黑" w:cs="微软雅黑"/>
                <w:color w:val="auto"/>
                <w:szCs w:val="21"/>
              </w:rPr>
              <w:t xml:space="preserve">1.投标人法人营业执照（副本）或事业单位法人证书（副本）或个体工商户营业执照或有效的自然人身份证明或社会团体法人登记证书（提供复印件）。 </w:t>
            </w:r>
          </w:p>
          <w:p>
            <w:pPr>
              <w:pStyle w:val="144"/>
              <w:spacing w:line="400" w:lineRule="exact"/>
              <w:rPr>
                <w:rFonts w:hint="eastAsia" w:ascii="微软雅黑" w:hAnsi="微软雅黑" w:eastAsia="微软雅黑" w:cs="微软雅黑"/>
                <w:color w:val="auto"/>
                <w:szCs w:val="21"/>
              </w:rPr>
            </w:pPr>
            <w:r>
              <w:rPr>
                <w:rFonts w:hint="eastAsia" w:ascii="微软雅黑" w:hAnsi="微软雅黑" w:eastAsia="微软雅黑" w:cs="微软雅黑"/>
                <w:color w:val="auto"/>
                <w:szCs w:val="21"/>
              </w:rPr>
              <w:t>2.投标人法定代表人身份证明和法定代表人授权代表委托书。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Merge w:val="continue"/>
            <w:vAlign w:val="center"/>
          </w:tcPr>
          <w:p>
            <w:pPr>
              <w:pStyle w:val="144"/>
              <w:spacing w:line="400" w:lineRule="exact"/>
              <w:ind w:firstLine="420" w:firstLineChars="200"/>
              <w:rPr>
                <w:rFonts w:hint="eastAsia" w:ascii="微软雅黑" w:hAnsi="微软雅黑" w:eastAsia="微软雅黑" w:cs="微软雅黑"/>
                <w:color w:val="auto"/>
                <w:szCs w:val="21"/>
              </w:rPr>
            </w:pPr>
          </w:p>
        </w:tc>
        <w:tc>
          <w:tcPr>
            <w:tcW w:w="891" w:type="dxa"/>
            <w:vMerge w:val="continue"/>
            <w:vAlign w:val="center"/>
          </w:tcPr>
          <w:p>
            <w:pPr>
              <w:pStyle w:val="144"/>
              <w:spacing w:line="400" w:lineRule="exact"/>
              <w:ind w:firstLine="420" w:firstLineChars="200"/>
              <w:rPr>
                <w:rFonts w:hint="eastAsia" w:ascii="微软雅黑" w:hAnsi="微软雅黑" w:eastAsia="微软雅黑" w:cs="微软雅黑"/>
                <w:color w:val="auto"/>
                <w:szCs w:val="21"/>
                <w:lang w:val="zh-CN"/>
              </w:rPr>
            </w:pPr>
          </w:p>
        </w:tc>
        <w:tc>
          <w:tcPr>
            <w:tcW w:w="2815" w:type="dxa"/>
            <w:vAlign w:val="center"/>
          </w:tcPr>
          <w:p>
            <w:pPr>
              <w:pStyle w:val="144"/>
              <w:spacing w:line="400" w:lineRule="exact"/>
              <w:rPr>
                <w:rFonts w:hint="eastAsia" w:ascii="微软雅黑" w:hAnsi="微软雅黑" w:eastAsia="微软雅黑" w:cs="微软雅黑"/>
                <w:color w:val="auto"/>
                <w:szCs w:val="21"/>
              </w:rPr>
            </w:pPr>
            <w:r>
              <w:rPr>
                <w:rFonts w:hint="eastAsia" w:ascii="微软雅黑" w:hAnsi="微软雅黑" w:eastAsia="微软雅黑" w:cs="微软雅黑"/>
                <w:color w:val="auto"/>
                <w:szCs w:val="21"/>
                <w:lang w:val="zh-CN"/>
              </w:rPr>
              <w:t>2.</w:t>
            </w:r>
            <w:r>
              <w:rPr>
                <w:rFonts w:hint="eastAsia" w:ascii="微软雅黑" w:hAnsi="微软雅黑" w:eastAsia="微软雅黑" w:cs="微软雅黑"/>
                <w:color w:val="auto"/>
                <w:szCs w:val="21"/>
              </w:rPr>
              <w:t>具有良好的商业信誉和健全的财务会计制度</w:t>
            </w:r>
          </w:p>
        </w:tc>
        <w:tc>
          <w:tcPr>
            <w:tcW w:w="5105" w:type="dxa"/>
            <w:vMerge w:val="restart"/>
            <w:vAlign w:val="center"/>
          </w:tcPr>
          <w:p>
            <w:pPr>
              <w:pStyle w:val="144"/>
              <w:spacing w:line="400" w:lineRule="exact"/>
              <w:rPr>
                <w:rFonts w:hint="eastAsia" w:ascii="微软雅黑" w:hAnsi="微软雅黑" w:eastAsia="微软雅黑" w:cs="微软雅黑"/>
                <w:color w:val="auto"/>
                <w:szCs w:val="21"/>
              </w:rPr>
            </w:pPr>
            <w:r>
              <w:rPr>
                <w:rFonts w:hint="eastAsia" w:ascii="微软雅黑" w:hAnsi="微软雅黑" w:eastAsia="微软雅黑" w:cs="微软雅黑"/>
                <w:color w:val="auto"/>
                <w:szCs w:val="21"/>
              </w:rPr>
              <w:t>投标人提供“基本资格条件</w:t>
            </w:r>
            <w:r>
              <w:rPr>
                <w:rFonts w:hint="eastAsia" w:ascii="微软雅黑" w:hAnsi="微软雅黑" w:eastAsia="微软雅黑" w:cs="微软雅黑"/>
                <w:color w:val="auto"/>
                <w:szCs w:val="21"/>
                <w:lang w:val="en-US" w:eastAsia="zh-CN"/>
              </w:rPr>
              <w:t>承诺函</w:t>
            </w:r>
            <w:r>
              <w:rPr>
                <w:rFonts w:hint="eastAsia" w:ascii="微软雅黑" w:hAnsi="微软雅黑" w:eastAsia="微软雅黑" w:cs="微软雅黑"/>
                <w:color w:val="auto"/>
                <w:szCs w:val="21"/>
              </w:rPr>
              <w:t>”（格式详见第</w:t>
            </w:r>
            <w:r>
              <w:rPr>
                <w:rFonts w:hint="eastAsia" w:ascii="微软雅黑" w:hAnsi="微软雅黑" w:eastAsia="微软雅黑" w:cs="微软雅黑"/>
                <w:color w:val="auto"/>
                <w:szCs w:val="21"/>
                <w:lang w:val="en-US" w:eastAsia="zh-CN"/>
              </w:rPr>
              <w:t>五</w:t>
            </w:r>
            <w:r>
              <w:rPr>
                <w:rFonts w:hint="eastAsia" w:ascii="微软雅黑" w:hAnsi="微软雅黑" w:eastAsia="微软雅黑" w:cs="微软雅黑"/>
                <w:color w:val="auto"/>
                <w:szCs w:val="21"/>
              </w:rPr>
              <w:t>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Merge w:val="continue"/>
            <w:vAlign w:val="center"/>
          </w:tcPr>
          <w:p>
            <w:pPr>
              <w:pStyle w:val="144"/>
              <w:spacing w:line="400" w:lineRule="exact"/>
              <w:ind w:firstLine="420" w:firstLineChars="200"/>
              <w:rPr>
                <w:rFonts w:hint="eastAsia" w:ascii="微软雅黑" w:hAnsi="微软雅黑" w:eastAsia="微软雅黑" w:cs="微软雅黑"/>
                <w:color w:val="auto"/>
                <w:szCs w:val="21"/>
              </w:rPr>
            </w:pPr>
          </w:p>
        </w:tc>
        <w:tc>
          <w:tcPr>
            <w:tcW w:w="891" w:type="dxa"/>
            <w:vMerge w:val="continue"/>
            <w:vAlign w:val="center"/>
          </w:tcPr>
          <w:p>
            <w:pPr>
              <w:pStyle w:val="144"/>
              <w:spacing w:line="400" w:lineRule="exact"/>
              <w:ind w:firstLine="420" w:firstLineChars="200"/>
              <w:rPr>
                <w:rFonts w:hint="eastAsia" w:ascii="微软雅黑" w:hAnsi="微软雅黑" w:eastAsia="微软雅黑" w:cs="微软雅黑"/>
                <w:color w:val="auto"/>
                <w:szCs w:val="21"/>
                <w:lang w:val="zh-CN"/>
              </w:rPr>
            </w:pPr>
          </w:p>
        </w:tc>
        <w:tc>
          <w:tcPr>
            <w:tcW w:w="2815" w:type="dxa"/>
            <w:vAlign w:val="center"/>
          </w:tcPr>
          <w:p>
            <w:pPr>
              <w:pStyle w:val="144"/>
              <w:spacing w:line="400" w:lineRule="exact"/>
              <w:rPr>
                <w:rFonts w:hint="eastAsia" w:ascii="微软雅黑" w:hAnsi="微软雅黑" w:eastAsia="微软雅黑" w:cs="微软雅黑"/>
                <w:color w:val="auto"/>
                <w:szCs w:val="21"/>
                <w:lang w:val="zh-CN"/>
              </w:rPr>
            </w:pPr>
            <w:r>
              <w:rPr>
                <w:rFonts w:hint="eastAsia" w:ascii="微软雅黑" w:hAnsi="微软雅黑" w:eastAsia="微软雅黑" w:cs="微软雅黑"/>
                <w:color w:val="auto"/>
                <w:szCs w:val="21"/>
                <w:lang w:val="zh-CN"/>
              </w:rPr>
              <w:t>3.具有履行合同所必需的设备和专业技术能力</w:t>
            </w:r>
          </w:p>
        </w:tc>
        <w:tc>
          <w:tcPr>
            <w:tcW w:w="5105" w:type="dxa"/>
            <w:vMerge w:val="continue"/>
            <w:vAlign w:val="center"/>
          </w:tcPr>
          <w:p>
            <w:pPr>
              <w:pStyle w:val="144"/>
              <w:spacing w:line="400" w:lineRule="exact"/>
              <w:ind w:firstLine="420" w:firstLineChars="200"/>
              <w:rPr>
                <w:rFonts w:hint="eastAsia" w:ascii="微软雅黑" w:hAnsi="微软雅黑" w:eastAsia="微软雅黑" w:cs="微软雅黑"/>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Merge w:val="continue"/>
            <w:vAlign w:val="center"/>
          </w:tcPr>
          <w:p>
            <w:pPr>
              <w:pStyle w:val="144"/>
              <w:spacing w:line="400" w:lineRule="exact"/>
              <w:ind w:firstLine="420" w:firstLineChars="200"/>
              <w:rPr>
                <w:rFonts w:hint="eastAsia" w:ascii="微软雅黑" w:hAnsi="微软雅黑" w:eastAsia="微软雅黑" w:cs="微软雅黑"/>
                <w:color w:val="auto"/>
                <w:szCs w:val="21"/>
              </w:rPr>
            </w:pPr>
          </w:p>
        </w:tc>
        <w:tc>
          <w:tcPr>
            <w:tcW w:w="891" w:type="dxa"/>
            <w:vMerge w:val="continue"/>
            <w:vAlign w:val="center"/>
          </w:tcPr>
          <w:p>
            <w:pPr>
              <w:pStyle w:val="144"/>
              <w:spacing w:line="400" w:lineRule="exact"/>
              <w:ind w:firstLine="420" w:firstLineChars="200"/>
              <w:rPr>
                <w:rFonts w:hint="eastAsia" w:ascii="微软雅黑" w:hAnsi="微软雅黑" w:eastAsia="微软雅黑" w:cs="微软雅黑"/>
                <w:color w:val="auto"/>
                <w:szCs w:val="21"/>
                <w:lang w:val="zh-CN"/>
              </w:rPr>
            </w:pPr>
          </w:p>
        </w:tc>
        <w:tc>
          <w:tcPr>
            <w:tcW w:w="2815" w:type="dxa"/>
            <w:vAlign w:val="center"/>
          </w:tcPr>
          <w:p>
            <w:pPr>
              <w:pStyle w:val="144"/>
              <w:spacing w:line="400" w:lineRule="exact"/>
              <w:rPr>
                <w:rFonts w:hint="eastAsia" w:ascii="微软雅黑" w:hAnsi="微软雅黑" w:eastAsia="微软雅黑" w:cs="微软雅黑"/>
                <w:color w:val="auto"/>
                <w:szCs w:val="21"/>
                <w:lang w:val="zh-CN"/>
              </w:rPr>
            </w:pPr>
            <w:r>
              <w:rPr>
                <w:rFonts w:hint="eastAsia" w:ascii="微软雅黑" w:hAnsi="微软雅黑" w:eastAsia="微软雅黑" w:cs="微软雅黑"/>
                <w:color w:val="auto"/>
                <w:szCs w:val="21"/>
                <w:lang w:val="zh-CN"/>
              </w:rPr>
              <w:t>4.有依法缴纳税收和社会保障金的良好记录</w:t>
            </w:r>
          </w:p>
        </w:tc>
        <w:tc>
          <w:tcPr>
            <w:tcW w:w="5105" w:type="dxa"/>
            <w:vMerge w:val="continue"/>
            <w:vAlign w:val="center"/>
          </w:tcPr>
          <w:p>
            <w:pPr>
              <w:pStyle w:val="144"/>
              <w:spacing w:line="400" w:lineRule="exact"/>
              <w:ind w:firstLine="420" w:firstLineChars="200"/>
              <w:rPr>
                <w:rFonts w:hint="eastAsia" w:ascii="微软雅黑" w:hAnsi="微软雅黑" w:eastAsia="微软雅黑" w:cs="微软雅黑"/>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Merge w:val="continue"/>
            <w:vAlign w:val="center"/>
          </w:tcPr>
          <w:p>
            <w:pPr>
              <w:pStyle w:val="144"/>
              <w:spacing w:line="400" w:lineRule="exact"/>
              <w:ind w:firstLine="420" w:firstLineChars="200"/>
              <w:rPr>
                <w:rFonts w:hint="eastAsia" w:ascii="微软雅黑" w:hAnsi="微软雅黑" w:eastAsia="微软雅黑" w:cs="微软雅黑"/>
                <w:color w:val="auto"/>
                <w:szCs w:val="21"/>
              </w:rPr>
            </w:pPr>
          </w:p>
        </w:tc>
        <w:tc>
          <w:tcPr>
            <w:tcW w:w="891" w:type="dxa"/>
            <w:vMerge w:val="continue"/>
            <w:vAlign w:val="center"/>
          </w:tcPr>
          <w:p>
            <w:pPr>
              <w:pStyle w:val="144"/>
              <w:spacing w:line="400" w:lineRule="exact"/>
              <w:ind w:firstLine="420" w:firstLineChars="200"/>
              <w:rPr>
                <w:rFonts w:hint="eastAsia" w:ascii="微软雅黑" w:hAnsi="微软雅黑" w:eastAsia="微软雅黑" w:cs="微软雅黑"/>
                <w:color w:val="auto"/>
                <w:szCs w:val="21"/>
                <w:lang w:val="zh-CN"/>
              </w:rPr>
            </w:pPr>
          </w:p>
        </w:tc>
        <w:tc>
          <w:tcPr>
            <w:tcW w:w="2815" w:type="dxa"/>
            <w:vAlign w:val="center"/>
          </w:tcPr>
          <w:p>
            <w:pPr>
              <w:pStyle w:val="144"/>
              <w:spacing w:line="400" w:lineRule="exact"/>
              <w:rPr>
                <w:rFonts w:hint="eastAsia" w:ascii="微软雅黑" w:hAnsi="微软雅黑" w:eastAsia="微软雅黑" w:cs="微软雅黑"/>
                <w:color w:val="auto"/>
                <w:szCs w:val="21"/>
                <w:lang w:val="zh-CN"/>
              </w:rPr>
            </w:pPr>
            <w:r>
              <w:rPr>
                <w:rFonts w:hint="eastAsia" w:ascii="微软雅黑" w:hAnsi="微软雅黑" w:eastAsia="微软雅黑" w:cs="微软雅黑"/>
                <w:color w:val="auto"/>
                <w:szCs w:val="21"/>
              </w:rPr>
              <w:t>5.参加政府采购活动前三年内，在经营活动中没有重大违法记录</w:t>
            </w:r>
          </w:p>
        </w:tc>
        <w:tc>
          <w:tcPr>
            <w:tcW w:w="5105" w:type="dxa"/>
            <w:vMerge w:val="continue"/>
            <w:vAlign w:val="center"/>
          </w:tcPr>
          <w:p>
            <w:pPr>
              <w:pStyle w:val="144"/>
              <w:spacing w:line="400" w:lineRule="exact"/>
              <w:ind w:firstLine="420" w:firstLineChars="200"/>
              <w:rPr>
                <w:rFonts w:hint="eastAsia" w:ascii="微软雅黑" w:hAnsi="微软雅黑" w:eastAsia="微软雅黑" w:cs="微软雅黑"/>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5" w:hRule="atLeast"/>
        </w:trPr>
        <w:tc>
          <w:tcPr>
            <w:tcW w:w="817" w:type="dxa"/>
            <w:vMerge w:val="continue"/>
            <w:vAlign w:val="center"/>
          </w:tcPr>
          <w:p>
            <w:pPr>
              <w:pStyle w:val="144"/>
              <w:spacing w:line="400" w:lineRule="exact"/>
              <w:ind w:firstLine="420" w:firstLineChars="200"/>
              <w:rPr>
                <w:rFonts w:hint="eastAsia" w:ascii="微软雅黑" w:hAnsi="微软雅黑" w:eastAsia="微软雅黑" w:cs="微软雅黑"/>
                <w:color w:val="auto"/>
                <w:szCs w:val="21"/>
              </w:rPr>
            </w:pPr>
          </w:p>
        </w:tc>
        <w:tc>
          <w:tcPr>
            <w:tcW w:w="891" w:type="dxa"/>
            <w:vMerge w:val="continue"/>
            <w:vAlign w:val="center"/>
          </w:tcPr>
          <w:p>
            <w:pPr>
              <w:pStyle w:val="144"/>
              <w:spacing w:line="400" w:lineRule="exact"/>
              <w:ind w:firstLine="420" w:firstLineChars="200"/>
              <w:rPr>
                <w:rFonts w:hint="eastAsia" w:ascii="微软雅黑" w:hAnsi="微软雅黑" w:eastAsia="微软雅黑" w:cs="微软雅黑"/>
                <w:color w:val="auto"/>
                <w:szCs w:val="21"/>
              </w:rPr>
            </w:pPr>
          </w:p>
        </w:tc>
        <w:tc>
          <w:tcPr>
            <w:tcW w:w="2815" w:type="dxa"/>
            <w:vAlign w:val="center"/>
          </w:tcPr>
          <w:p>
            <w:pPr>
              <w:pStyle w:val="144"/>
              <w:spacing w:line="400" w:lineRule="exact"/>
              <w:rPr>
                <w:rFonts w:hint="eastAsia" w:ascii="微软雅黑" w:hAnsi="微软雅黑" w:eastAsia="微软雅黑" w:cs="微软雅黑"/>
                <w:color w:val="auto"/>
                <w:szCs w:val="21"/>
              </w:rPr>
            </w:pPr>
            <w:r>
              <w:rPr>
                <w:rFonts w:hint="eastAsia" w:ascii="微软雅黑" w:hAnsi="微软雅黑" w:eastAsia="微软雅黑" w:cs="微软雅黑"/>
                <w:color w:val="auto"/>
                <w:szCs w:val="21"/>
              </w:rPr>
              <w:t>6.法律、行政法规规定的</w:t>
            </w:r>
            <w:r>
              <w:rPr>
                <w:rFonts w:hint="eastAsia" w:ascii="微软雅黑" w:hAnsi="微软雅黑" w:eastAsia="微软雅黑" w:cs="微软雅黑"/>
                <w:color w:val="auto"/>
                <w:szCs w:val="21"/>
                <w:lang w:eastAsia="zh-CN"/>
              </w:rPr>
              <w:t>其他</w:t>
            </w:r>
            <w:r>
              <w:rPr>
                <w:rFonts w:hint="eastAsia" w:ascii="微软雅黑" w:hAnsi="微软雅黑" w:eastAsia="微软雅黑" w:cs="微软雅黑"/>
                <w:color w:val="auto"/>
                <w:szCs w:val="21"/>
              </w:rPr>
              <w:t>条件</w:t>
            </w:r>
          </w:p>
        </w:tc>
        <w:tc>
          <w:tcPr>
            <w:tcW w:w="5105" w:type="dxa"/>
            <w:vAlign w:val="center"/>
          </w:tcPr>
          <w:p>
            <w:pPr>
              <w:pStyle w:val="144"/>
              <w:spacing w:line="400" w:lineRule="exact"/>
              <w:ind w:firstLine="420" w:firstLineChars="200"/>
              <w:rPr>
                <w:rFonts w:hint="eastAsia" w:ascii="微软雅黑" w:hAnsi="微软雅黑" w:eastAsia="微软雅黑" w:cs="微软雅黑"/>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5" w:hRule="atLeast"/>
        </w:trPr>
        <w:tc>
          <w:tcPr>
            <w:tcW w:w="817" w:type="dxa"/>
            <w:vMerge w:val="continue"/>
            <w:vAlign w:val="center"/>
          </w:tcPr>
          <w:p>
            <w:pPr>
              <w:pStyle w:val="144"/>
              <w:spacing w:line="400" w:lineRule="exact"/>
              <w:ind w:firstLine="420" w:firstLineChars="200"/>
              <w:rPr>
                <w:rFonts w:hint="eastAsia" w:ascii="微软雅黑" w:hAnsi="微软雅黑" w:eastAsia="微软雅黑" w:cs="微软雅黑"/>
                <w:color w:val="auto"/>
                <w:szCs w:val="21"/>
              </w:rPr>
            </w:pPr>
          </w:p>
        </w:tc>
        <w:tc>
          <w:tcPr>
            <w:tcW w:w="891" w:type="dxa"/>
            <w:vMerge w:val="continue"/>
            <w:vAlign w:val="center"/>
          </w:tcPr>
          <w:p>
            <w:pPr>
              <w:pStyle w:val="144"/>
              <w:spacing w:line="400" w:lineRule="exact"/>
              <w:ind w:firstLine="420" w:firstLineChars="200"/>
              <w:rPr>
                <w:rFonts w:hint="eastAsia" w:ascii="微软雅黑" w:hAnsi="微软雅黑" w:eastAsia="微软雅黑" w:cs="微软雅黑"/>
                <w:color w:val="auto"/>
                <w:szCs w:val="21"/>
              </w:rPr>
            </w:pPr>
          </w:p>
        </w:tc>
        <w:tc>
          <w:tcPr>
            <w:tcW w:w="2815" w:type="dxa"/>
            <w:vAlign w:val="center"/>
          </w:tcPr>
          <w:p>
            <w:pPr>
              <w:pStyle w:val="144"/>
              <w:spacing w:line="400" w:lineRule="exact"/>
              <w:rPr>
                <w:rFonts w:hint="eastAsia" w:ascii="微软雅黑" w:hAnsi="微软雅黑" w:eastAsia="微软雅黑" w:cs="微软雅黑"/>
                <w:color w:val="auto"/>
                <w:szCs w:val="21"/>
              </w:rPr>
            </w:pPr>
            <w:r>
              <w:rPr>
                <w:rFonts w:hint="eastAsia" w:ascii="微软雅黑" w:hAnsi="微软雅黑" w:eastAsia="微软雅黑" w:cs="微软雅黑"/>
                <w:color w:val="auto"/>
                <w:szCs w:val="21"/>
              </w:rPr>
              <w:t>7.本项目的特定资格要求</w:t>
            </w:r>
          </w:p>
        </w:tc>
        <w:tc>
          <w:tcPr>
            <w:tcW w:w="5105" w:type="dxa"/>
            <w:vAlign w:val="center"/>
          </w:tcPr>
          <w:p>
            <w:pPr>
              <w:pStyle w:val="144"/>
              <w:spacing w:line="400" w:lineRule="exact"/>
              <w:rPr>
                <w:rFonts w:hint="eastAsia" w:ascii="微软雅黑" w:hAnsi="微软雅黑" w:eastAsia="微软雅黑" w:cs="微软雅黑"/>
                <w:color w:val="auto"/>
                <w:szCs w:val="21"/>
              </w:rPr>
            </w:pPr>
            <w:r>
              <w:rPr>
                <w:rFonts w:hint="eastAsia" w:ascii="微软雅黑" w:hAnsi="微软雅黑" w:eastAsia="微软雅黑" w:cs="微软雅黑"/>
                <w:color w:val="auto"/>
                <w:szCs w:val="21"/>
              </w:rPr>
              <w:t>按“第一篇二、投标人资格要求（二）本项目的特定资格要求”的要求提交（如果有）。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5" w:hRule="atLeast"/>
        </w:trPr>
        <w:tc>
          <w:tcPr>
            <w:tcW w:w="817" w:type="dxa"/>
          </w:tcPr>
          <w:p>
            <w:pPr>
              <w:pStyle w:val="144"/>
              <w:spacing w:line="400" w:lineRule="exact"/>
              <w:rPr>
                <w:rFonts w:hint="eastAsia" w:ascii="微软雅黑" w:hAnsi="微软雅黑" w:eastAsia="微软雅黑" w:cs="微软雅黑"/>
                <w:color w:val="auto"/>
                <w:szCs w:val="21"/>
              </w:rPr>
            </w:pPr>
            <w:r>
              <w:rPr>
                <w:rFonts w:hint="eastAsia" w:ascii="微软雅黑" w:hAnsi="微软雅黑" w:eastAsia="微软雅黑" w:cs="微软雅黑"/>
                <w:color w:val="auto"/>
                <w:szCs w:val="21"/>
              </w:rPr>
              <w:t>（</w:t>
            </w:r>
            <w:r>
              <w:rPr>
                <w:rFonts w:hint="eastAsia" w:ascii="微软雅黑" w:hAnsi="微软雅黑" w:eastAsia="微软雅黑" w:cs="微软雅黑"/>
                <w:color w:val="auto"/>
                <w:szCs w:val="21"/>
                <w:lang w:val="en-US" w:eastAsia="zh-CN"/>
              </w:rPr>
              <w:t>二</w:t>
            </w:r>
            <w:r>
              <w:rPr>
                <w:rFonts w:hint="eastAsia" w:ascii="微软雅黑" w:hAnsi="微软雅黑" w:eastAsia="微软雅黑" w:cs="微软雅黑"/>
                <w:color w:val="auto"/>
                <w:szCs w:val="21"/>
              </w:rPr>
              <w:t>）</w:t>
            </w:r>
          </w:p>
        </w:tc>
        <w:tc>
          <w:tcPr>
            <w:tcW w:w="891" w:type="dxa"/>
          </w:tcPr>
          <w:p>
            <w:pPr>
              <w:pStyle w:val="144"/>
              <w:spacing w:line="400" w:lineRule="exact"/>
              <w:rPr>
                <w:rFonts w:hint="eastAsia" w:ascii="微软雅黑" w:hAnsi="微软雅黑" w:eastAsia="微软雅黑" w:cs="微软雅黑"/>
                <w:color w:val="auto"/>
                <w:szCs w:val="21"/>
              </w:rPr>
            </w:pPr>
            <w:r>
              <w:rPr>
                <w:rFonts w:hint="eastAsia" w:ascii="微软雅黑" w:hAnsi="微软雅黑" w:eastAsia="微软雅黑" w:cs="微软雅黑"/>
                <w:color w:val="auto"/>
                <w:szCs w:val="21"/>
              </w:rPr>
              <w:t>IP地址</w:t>
            </w:r>
          </w:p>
        </w:tc>
        <w:tc>
          <w:tcPr>
            <w:tcW w:w="2815" w:type="dxa"/>
          </w:tcPr>
          <w:p>
            <w:pPr>
              <w:pStyle w:val="144"/>
              <w:spacing w:line="400" w:lineRule="exact"/>
              <w:ind w:firstLine="420" w:firstLineChars="200"/>
              <w:rPr>
                <w:rFonts w:hint="eastAsia" w:ascii="微软雅黑" w:hAnsi="微软雅黑" w:eastAsia="微软雅黑" w:cs="微软雅黑"/>
                <w:color w:val="auto"/>
                <w:szCs w:val="21"/>
              </w:rPr>
            </w:pPr>
          </w:p>
        </w:tc>
        <w:tc>
          <w:tcPr>
            <w:tcW w:w="5105" w:type="dxa"/>
          </w:tcPr>
          <w:p>
            <w:pPr>
              <w:pStyle w:val="144"/>
              <w:spacing w:line="400" w:lineRule="exact"/>
              <w:rPr>
                <w:rFonts w:hint="eastAsia" w:ascii="微软雅黑" w:hAnsi="微软雅黑" w:eastAsia="微软雅黑" w:cs="微软雅黑"/>
                <w:color w:val="auto"/>
                <w:szCs w:val="21"/>
              </w:rPr>
            </w:pPr>
            <w:r>
              <w:rPr>
                <w:rFonts w:hint="eastAsia" w:ascii="微软雅黑" w:hAnsi="微软雅黑" w:eastAsia="微软雅黑" w:cs="微软雅黑"/>
                <w:color w:val="auto"/>
                <w:szCs w:val="21"/>
              </w:rPr>
              <w:t>投标人在采购人指定招标平台进行报名或提交响应文件时，是否出现与</w:t>
            </w:r>
            <w:r>
              <w:rPr>
                <w:rFonts w:hint="eastAsia" w:ascii="微软雅黑" w:hAnsi="微软雅黑" w:eastAsia="微软雅黑" w:cs="微软雅黑"/>
                <w:color w:val="auto"/>
                <w:szCs w:val="21"/>
                <w:lang w:eastAsia="zh-CN"/>
              </w:rPr>
              <w:t>其他</w:t>
            </w:r>
            <w:r>
              <w:rPr>
                <w:rFonts w:hint="eastAsia" w:ascii="微软雅黑" w:hAnsi="微软雅黑" w:eastAsia="微软雅黑" w:cs="微软雅黑"/>
                <w:color w:val="auto"/>
                <w:szCs w:val="21"/>
              </w:rPr>
              <w:t>投标人IP地址重复的情况。如果有则视为存在围标和串标风险，取消所有IP地址重复的投标人的投标资格。</w:t>
            </w:r>
          </w:p>
        </w:tc>
      </w:tr>
    </w:tbl>
    <w:p>
      <w:pPr>
        <w:snapToGrid w:val="0"/>
        <w:spacing w:line="400" w:lineRule="exact"/>
        <w:ind w:firstLine="480" w:firstLineChars="200"/>
        <w:rPr>
          <w:rFonts w:hint="eastAsia" w:ascii="微软雅黑" w:hAnsi="微软雅黑" w:eastAsia="微软雅黑" w:cs="微软雅黑"/>
          <w:color w:val="auto"/>
          <w:kern w:val="0"/>
          <w:sz w:val="24"/>
          <w:szCs w:val="24"/>
        </w:rPr>
      </w:pPr>
      <w:r>
        <w:rPr>
          <w:rFonts w:hint="eastAsia" w:ascii="微软雅黑" w:hAnsi="微软雅黑" w:eastAsia="微软雅黑" w:cs="微软雅黑"/>
          <w:color w:val="auto"/>
          <w:kern w:val="0"/>
          <w:sz w:val="24"/>
          <w:szCs w:val="24"/>
        </w:rPr>
        <w:t>注：根据《中华人民共和国政府采购法实施条例》第十九条“参加政府采购活动前三年内，在经营活动中没有重大违法记录”中“重大违法记录”，是指投标人因违法经营受到刑事处罚或者责令停产停业、吊销许可证或者执照、较大数额罚款等行政处罚。行政处罚中“较大数额”的认定标准，按照“财政部关于《中华人民共和国政府采购法实施条例》第十九条第一款“较大数额罚款”具体适用问题的意见（财库〔2022〕3 号）”执行。投标人可于响应文件递交截止时间前通过 “信用中国”网站(www.creditchina.gov.cn)、"中国政府采购网"(www.ccgp.gov.cn)等渠道查询信用记录。</w:t>
      </w:r>
    </w:p>
    <w:p>
      <w:pPr>
        <w:pStyle w:val="4"/>
        <w:adjustRightInd w:val="0"/>
        <w:snapToGrid w:val="0"/>
        <w:spacing w:before="0" w:after="0" w:line="400" w:lineRule="exact"/>
        <w:ind w:firstLine="480" w:firstLineChars="200"/>
        <w:rPr>
          <w:rFonts w:hint="eastAsia" w:ascii="微软雅黑" w:hAnsi="微软雅黑" w:eastAsia="微软雅黑" w:cs="微软雅黑"/>
          <w:color w:val="auto"/>
          <w:sz w:val="24"/>
        </w:rPr>
      </w:pPr>
      <w:bookmarkStart w:id="136" w:name="_Toc4742"/>
      <w:bookmarkStart w:id="137" w:name="_Toc31352"/>
      <w:bookmarkStart w:id="138" w:name="_Toc8130"/>
      <w:r>
        <w:rPr>
          <w:rFonts w:hint="eastAsia" w:ascii="微软雅黑" w:hAnsi="微软雅黑" w:eastAsia="微软雅黑" w:cs="微软雅黑"/>
          <w:color w:val="auto"/>
          <w:sz w:val="24"/>
        </w:rPr>
        <w:t>二、评标方法</w:t>
      </w:r>
      <w:bookmarkEnd w:id="136"/>
      <w:bookmarkEnd w:id="137"/>
      <w:bookmarkEnd w:id="138"/>
    </w:p>
    <w:p>
      <w:pPr>
        <w:snapToGrid w:val="0"/>
        <w:spacing w:line="400" w:lineRule="exact"/>
        <w:ind w:firstLine="480" w:firstLineChars="200"/>
        <w:rPr>
          <w:rFonts w:hint="eastAsia" w:ascii="微软雅黑" w:hAnsi="微软雅黑" w:eastAsia="微软雅黑" w:cs="微软雅黑"/>
          <w:color w:val="auto"/>
          <w:sz w:val="24"/>
          <w:szCs w:val="24"/>
          <w:lang w:val="en-US" w:eastAsia="zh-CN"/>
        </w:rPr>
      </w:pPr>
      <w:bookmarkStart w:id="139" w:name="_Toc30944"/>
      <w:bookmarkStart w:id="140" w:name="_Toc106030889"/>
      <w:bookmarkStart w:id="141" w:name="_Toc76462334"/>
      <w:bookmarkStart w:id="142" w:name="_Toc102227320"/>
      <w:bookmarkStart w:id="143" w:name="_Toc342913394"/>
      <w:r>
        <w:rPr>
          <w:rFonts w:hint="eastAsia" w:ascii="微软雅黑" w:hAnsi="微软雅黑" w:eastAsia="微软雅黑" w:cs="微软雅黑"/>
          <w:color w:val="auto"/>
          <w:sz w:val="24"/>
          <w:szCs w:val="24"/>
          <w:lang w:val="en-US" w:eastAsia="zh-CN"/>
        </w:rPr>
        <w:t>1.评标小组通过资质审核、技术评估、临床需求匹配等遴选入围品牌。</w:t>
      </w:r>
    </w:p>
    <w:p>
      <w:pPr>
        <w:snapToGrid w:val="0"/>
        <w:spacing w:line="400" w:lineRule="exact"/>
        <w:ind w:firstLine="480" w:firstLineChars="200"/>
        <w:rPr>
          <w:rFonts w:hint="default" w:ascii="微软雅黑" w:hAnsi="微软雅黑" w:eastAsia="微软雅黑" w:cs="微软雅黑"/>
          <w:sz w:val="24"/>
          <w:lang w:val="en-US" w:eastAsia="zh-CN"/>
        </w:rPr>
      </w:pPr>
      <w:r>
        <w:rPr>
          <w:rFonts w:hint="eastAsia" w:ascii="微软雅黑" w:hAnsi="微软雅黑" w:eastAsia="微软雅黑" w:cs="微软雅黑"/>
          <w:color w:val="auto"/>
          <w:sz w:val="24"/>
          <w:szCs w:val="24"/>
          <w:lang w:val="en-US" w:eastAsia="zh-CN"/>
        </w:rPr>
        <w:t>2.对入围品牌进行价格谈判和排序，同等条件下，低价中标。</w:t>
      </w:r>
      <w:bookmarkStart w:id="144" w:name="_Toc27049"/>
      <w:bookmarkStart w:id="145" w:name="_Toc27003"/>
      <w:bookmarkStart w:id="146" w:name="_Toc9727"/>
    </w:p>
    <w:p>
      <w:pPr>
        <w:pStyle w:val="4"/>
        <w:adjustRightInd w:val="0"/>
        <w:snapToGrid w:val="0"/>
        <w:spacing w:before="0" w:after="0" w:line="4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三、</w:t>
      </w:r>
      <w:bookmarkEnd w:id="144"/>
      <w:bookmarkEnd w:id="145"/>
      <w:bookmarkStart w:id="147" w:name="_Toc17873"/>
      <w:bookmarkStart w:id="148" w:name="_Toc14503"/>
      <w:r>
        <w:rPr>
          <w:rFonts w:hint="eastAsia" w:ascii="微软雅黑" w:hAnsi="微软雅黑" w:eastAsia="微软雅黑" w:cs="微软雅黑"/>
          <w:sz w:val="24"/>
        </w:rPr>
        <w:t>评审标准</w:t>
      </w:r>
      <w:bookmarkEnd w:id="139"/>
      <w:bookmarkEnd w:id="140"/>
      <w:bookmarkEnd w:id="141"/>
      <w:bookmarkEnd w:id="146"/>
      <w:bookmarkEnd w:id="147"/>
      <w:bookmarkEnd w:id="148"/>
    </w:p>
    <w:p>
      <w:pPr>
        <w:snapToGrid w:val="0"/>
        <w:spacing w:line="400" w:lineRule="exact"/>
        <w:ind w:firstLine="480" w:firstLineChars="200"/>
        <w:rPr>
          <w:rFonts w:hint="eastAsia" w:ascii="微软雅黑" w:hAnsi="微软雅黑" w:eastAsia="微软雅黑" w:cs="微软雅黑"/>
          <w:sz w:val="24"/>
          <w:szCs w:val="24"/>
        </w:rPr>
      </w:pPr>
      <w:bookmarkStart w:id="149" w:name="_Toc106030890"/>
      <w:bookmarkStart w:id="150" w:name="_Toc76462335"/>
      <w:bookmarkStart w:id="151" w:name="_Toc31497"/>
      <w:r>
        <w:rPr>
          <w:rFonts w:hint="eastAsia" w:ascii="微软雅黑" w:hAnsi="微软雅黑" w:eastAsia="微软雅黑" w:cs="微软雅黑"/>
          <w:sz w:val="24"/>
          <w:szCs w:val="24"/>
        </w:rPr>
        <w:t>（一）关于技术（质量）、商务偏离</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1.响应文件投标应答有一条及以上不满足</w:t>
      </w:r>
      <w:r>
        <w:rPr>
          <w:rFonts w:hint="eastAsia" w:ascii="微软雅黑" w:hAnsi="微软雅黑" w:eastAsia="微软雅黑" w:cs="微软雅黑"/>
          <w:sz w:val="24"/>
          <w:szCs w:val="24"/>
          <w:lang w:eastAsia="zh-CN"/>
        </w:rPr>
        <w:t>遴选</w:t>
      </w:r>
      <w:r>
        <w:rPr>
          <w:rFonts w:hint="eastAsia" w:ascii="微软雅黑" w:hAnsi="微软雅黑" w:eastAsia="微软雅黑" w:cs="微软雅黑"/>
          <w:sz w:val="24"/>
          <w:szCs w:val="24"/>
        </w:rPr>
        <w:t>采购文件“第二篇 项目技术（质量）需求”要求的，投标人将失去成为中标候选人的资格；</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2.响应文件投标应答有一条及以上不满足</w:t>
      </w:r>
      <w:r>
        <w:rPr>
          <w:rFonts w:hint="eastAsia" w:ascii="微软雅黑" w:hAnsi="微软雅黑" w:eastAsia="微软雅黑" w:cs="微软雅黑"/>
          <w:sz w:val="24"/>
          <w:szCs w:val="24"/>
          <w:lang w:eastAsia="zh-CN"/>
        </w:rPr>
        <w:t>遴选</w:t>
      </w:r>
      <w:r>
        <w:rPr>
          <w:rFonts w:hint="eastAsia" w:ascii="微软雅黑" w:hAnsi="微软雅黑" w:eastAsia="微软雅黑" w:cs="微软雅黑"/>
          <w:sz w:val="24"/>
          <w:szCs w:val="24"/>
        </w:rPr>
        <w:t>采购文件“第三篇 项目商务需求”要求的，投标人将失去成为合格投标人的资格；</w:t>
      </w:r>
    </w:p>
    <w:p>
      <w:pPr>
        <w:snapToGrid w:val="0"/>
        <w:spacing w:line="4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szCs w:val="24"/>
        </w:rPr>
        <w:t>3.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bookmarkEnd w:id="142"/>
    <w:bookmarkEnd w:id="143"/>
    <w:bookmarkEnd w:id="149"/>
    <w:bookmarkEnd w:id="150"/>
    <w:bookmarkEnd w:id="151"/>
    <w:p>
      <w:pPr>
        <w:pStyle w:val="4"/>
        <w:adjustRightInd w:val="0"/>
        <w:snapToGrid w:val="0"/>
        <w:spacing w:before="0" w:after="0" w:line="400" w:lineRule="exact"/>
        <w:ind w:firstLine="480" w:firstLineChars="200"/>
        <w:rPr>
          <w:rFonts w:hint="eastAsia" w:ascii="微软雅黑" w:hAnsi="微软雅黑" w:eastAsia="微软雅黑" w:cs="微软雅黑"/>
          <w:sz w:val="24"/>
        </w:rPr>
      </w:pPr>
      <w:bookmarkStart w:id="152" w:name="_Toc30365"/>
      <w:bookmarkStart w:id="153" w:name="_Toc8094"/>
      <w:bookmarkStart w:id="154" w:name="_Toc3878"/>
      <w:bookmarkStart w:id="155" w:name="_Toc29549"/>
      <w:r>
        <w:rPr>
          <w:rFonts w:hint="eastAsia" w:ascii="微软雅黑" w:hAnsi="微软雅黑" w:eastAsia="微软雅黑" w:cs="微软雅黑"/>
          <w:sz w:val="24"/>
          <w:lang w:val="en-US" w:eastAsia="zh-CN"/>
        </w:rPr>
        <w:t>四</w:t>
      </w:r>
      <w:r>
        <w:rPr>
          <w:rFonts w:hint="eastAsia" w:ascii="微软雅黑" w:hAnsi="微软雅黑" w:eastAsia="微软雅黑" w:cs="微软雅黑"/>
          <w:sz w:val="24"/>
        </w:rPr>
        <w:t>、无效响应</w:t>
      </w:r>
      <w:bookmarkEnd w:id="152"/>
      <w:bookmarkEnd w:id="153"/>
      <w:bookmarkEnd w:id="154"/>
      <w:bookmarkEnd w:id="155"/>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rPr>
        <w:t>投标人发生以下条款情况之一者，视为无效响应，其响应文件将被拒绝：</w:t>
      </w:r>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rPr>
        <w:t>（一）投标人不符合规定的资格条件的；</w:t>
      </w:r>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rPr>
        <w:t>（二）投标人的法定代表人（或其授权代表）或自然人未在采购人规定时间内到达开标现场进行签到及提交纸质响应文件的；</w:t>
      </w:r>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rPr>
        <w:t>（三）投标人所提交的响应文件不按“第六篇响应文件编制要求”要求签署或盖章；</w:t>
      </w:r>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rPr>
        <w:t>（四）投标人的最后报价超过采购预算或最高限价的；</w:t>
      </w:r>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rPr>
        <w:t>（五）法定代表人为同一个人的两个及两个以上法人，母公司、全资子公司及其控股公司，在同一包采购中同时参与比选；</w:t>
      </w:r>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rPr>
        <w:t>（六）单位负责人为同一人或者存在直接控股、管理关系的不同投标人，参加同一合同项下的采购活动的；</w:t>
      </w:r>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rPr>
        <w:t>（七）为采购项目提供整体设计、规范编制或者项目管理、监理、检测等服务的投标人，再参加该采购项目的其他采购活动；</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（八）投标人磋商有效期不满足</w:t>
      </w:r>
      <w:r>
        <w:rPr>
          <w:rFonts w:hint="eastAsia" w:ascii="微软雅黑" w:hAnsi="微软雅黑" w:eastAsia="微软雅黑" w:cs="微软雅黑"/>
          <w:sz w:val="24"/>
          <w:szCs w:val="24"/>
          <w:lang w:eastAsia="zh-CN"/>
        </w:rPr>
        <w:t>遴选</w:t>
      </w:r>
      <w:r>
        <w:rPr>
          <w:rFonts w:hint="eastAsia" w:ascii="微软雅黑" w:hAnsi="微软雅黑" w:eastAsia="微软雅黑" w:cs="微软雅黑"/>
          <w:sz w:val="24"/>
          <w:szCs w:val="24"/>
        </w:rPr>
        <w:t>采购文件要求的；</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（九）投标人响应文件内容有与国家现行法律法规相违背的内容，或附有采购人无法接受的条件；</w:t>
      </w:r>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rPr>
        <w:t>（十）法律、法规和遴选文件规定的其他无效情形。</w:t>
      </w:r>
    </w:p>
    <w:p>
      <w:pPr>
        <w:pStyle w:val="4"/>
        <w:adjustRightInd w:val="0"/>
        <w:snapToGrid w:val="0"/>
        <w:spacing w:before="0" w:after="0" w:line="400" w:lineRule="exact"/>
        <w:ind w:firstLine="480" w:firstLineChars="200"/>
        <w:rPr>
          <w:rFonts w:hint="eastAsia" w:ascii="微软雅黑" w:hAnsi="微软雅黑" w:eastAsia="微软雅黑" w:cs="微软雅黑"/>
          <w:sz w:val="24"/>
        </w:rPr>
      </w:pPr>
      <w:bookmarkStart w:id="156" w:name="_Toc10687"/>
      <w:bookmarkStart w:id="157" w:name="_Toc76462336"/>
      <w:bookmarkStart w:id="158" w:name="_Toc106030891"/>
      <w:bookmarkStart w:id="159" w:name="_Toc15394"/>
      <w:bookmarkStart w:id="160" w:name="_Toc22602"/>
      <w:bookmarkStart w:id="161" w:name="_Toc18225"/>
      <w:bookmarkStart w:id="162" w:name="_Toc26449"/>
      <w:r>
        <w:rPr>
          <w:rFonts w:hint="eastAsia" w:ascii="微软雅黑" w:hAnsi="微软雅黑" w:eastAsia="微软雅黑" w:cs="微软雅黑"/>
          <w:sz w:val="24"/>
          <w:lang w:val="en-US" w:eastAsia="zh-CN"/>
        </w:rPr>
        <w:t>五</w:t>
      </w:r>
      <w:r>
        <w:rPr>
          <w:rFonts w:hint="eastAsia" w:ascii="微软雅黑" w:hAnsi="微软雅黑" w:eastAsia="微软雅黑" w:cs="微软雅黑"/>
          <w:sz w:val="24"/>
        </w:rPr>
        <w:t>、</w:t>
      </w:r>
      <w:bookmarkEnd w:id="156"/>
      <w:bookmarkEnd w:id="157"/>
      <w:bookmarkEnd w:id="158"/>
      <w:r>
        <w:rPr>
          <w:rFonts w:hint="eastAsia" w:ascii="微软雅黑" w:hAnsi="微软雅黑" w:eastAsia="微软雅黑" w:cs="微软雅黑"/>
          <w:sz w:val="24"/>
        </w:rPr>
        <w:t>废标条款</w:t>
      </w:r>
      <w:bookmarkEnd w:id="159"/>
      <w:bookmarkEnd w:id="160"/>
      <w:bookmarkEnd w:id="161"/>
      <w:bookmarkEnd w:id="162"/>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rPr>
        <w:t>在采购中，出现下列情形之一的，项目应予作废处理：</w:t>
      </w:r>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rPr>
        <w:t>（一）因情况变化，不再符合规定的</w:t>
      </w:r>
      <w:r>
        <w:rPr>
          <w:rFonts w:hint="eastAsia" w:ascii="微软雅黑" w:hAnsi="微软雅黑" w:eastAsia="微软雅黑" w:cs="微软雅黑"/>
          <w:sz w:val="24"/>
          <w:szCs w:val="24"/>
          <w:lang w:eastAsia="zh-CN"/>
        </w:rPr>
        <w:t>遴选</w:t>
      </w:r>
      <w:r>
        <w:rPr>
          <w:rFonts w:hint="eastAsia" w:ascii="微软雅黑" w:hAnsi="微软雅黑" w:eastAsia="微软雅黑" w:cs="微软雅黑"/>
          <w:sz w:val="24"/>
          <w:szCs w:val="24"/>
        </w:rPr>
        <w:t>采购方式适用情形的；</w:t>
      </w:r>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rPr>
        <w:t>（二）出现影响采购公正的违法、违规行为的；</w:t>
      </w:r>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rPr>
        <w:t>（三）</w:t>
      </w:r>
      <w:r>
        <w:rPr>
          <w:rFonts w:hint="eastAsia" w:ascii="微软雅黑" w:hAnsi="微软雅黑" w:eastAsia="微软雅黑" w:cs="微软雅黑"/>
          <w:color w:val="auto"/>
          <w:sz w:val="24"/>
          <w:szCs w:val="24"/>
        </w:rPr>
        <w:t>符合</w:t>
      </w:r>
      <w:r>
        <w:rPr>
          <w:rFonts w:hint="eastAsia" w:ascii="微软雅黑" w:hAnsi="微软雅黑" w:eastAsia="微软雅黑" w:cs="微软雅黑"/>
          <w:color w:val="auto"/>
          <w:sz w:val="24"/>
          <w:szCs w:val="24"/>
          <w:lang w:val="en-US" w:eastAsia="zh-CN"/>
        </w:rPr>
        <w:t>遴选入围</w:t>
      </w:r>
      <w:r>
        <w:rPr>
          <w:rFonts w:hint="eastAsia" w:ascii="微软雅黑" w:hAnsi="微软雅黑" w:eastAsia="微软雅黑" w:cs="微软雅黑"/>
          <w:color w:val="auto"/>
          <w:sz w:val="24"/>
          <w:szCs w:val="24"/>
        </w:rPr>
        <w:t>要求</w:t>
      </w:r>
      <w:r>
        <w:rPr>
          <w:rFonts w:hint="eastAsia" w:ascii="微软雅黑" w:hAnsi="微软雅黑" w:eastAsia="微软雅黑" w:cs="微软雅黑"/>
          <w:color w:val="auto"/>
          <w:sz w:val="24"/>
          <w:szCs w:val="24"/>
          <w:lang w:val="en-US" w:eastAsia="zh-CN"/>
        </w:rPr>
        <w:t>的投标人不足两家的</w:t>
      </w:r>
      <w:r>
        <w:rPr>
          <w:rFonts w:hint="eastAsia" w:ascii="微软雅黑" w:hAnsi="微软雅黑" w:eastAsia="微软雅黑" w:cs="微软雅黑"/>
          <w:color w:val="auto"/>
          <w:sz w:val="24"/>
          <w:szCs w:val="24"/>
        </w:rPr>
        <w:t>（挂网公示</w:t>
      </w:r>
      <w:r>
        <w:rPr>
          <w:rFonts w:hint="eastAsia" w:ascii="微软雅黑" w:hAnsi="微软雅黑" w:eastAsia="微软雅黑" w:cs="微软雅黑"/>
          <w:color w:val="auto"/>
          <w:sz w:val="24"/>
          <w:szCs w:val="24"/>
          <w:lang w:val="en-US" w:eastAsia="zh-CN"/>
        </w:rPr>
        <w:t>次数</w:t>
      </w:r>
      <w:r>
        <w:rPr>
          <w:rFonts w:hint="eastAsia" w:ascii="微软雅黑" w:hAnsi="微软雅黑" w:eastAsia="微软雅黑" w:cs="微软雅黑"/>
          <w:color w:val="auto"/>
          <w:sz w:val="24"/>
          <w:szCs w:val="24"/>
        </w:rPr>
        <w:t>大于等于</w:t>
      </w:r>
      <w:r>
        <w:rPr>
          <w:rFonts w:hint="eastAsia" w:ascii="微软雅黑" w:hAnsi="微软雅黑" w:eastAsia="微软雅黑" w:cs="微软雅黑"/>
          <w:color w:val="auto"/>
          <w:sz w:val="24"/>
          <w:szCs w:val="24"/>
          <w:lang w:val="en-US" w:eastAsia="zh-CN"/>
        </w:rPr>
        <w:t>三</w:t>
      </w:r>
      <w:r>
        <w:rPr>
          <w:rFonts w:hint="eastAsia" w:ascii="微软雅黑" w:hAnsi="微软雅黑" w:eastAsia="微软雅黑" w:cs="微软雅黑"/>
          <w:color w:val="auto"/>
          <w:sz w:val="24"/>
          <w:szCs w:val="24"/>
        </w:rPr>
        <w:t>次的除外）</w:t>
      </w:r>
      <w:r>
        <w:rPr>
          <w:rFonts w:hint="eastAsia" w:ascii="微软雅黑" w:hAnsi="微软雅黑" w:eastAsia="微软雅黑" w:cs="微软雅黑"/>
          <w:sz w:val="24"/>
          <w:szCs w:val="24"/>
        </w:rPr>
        <w:t>；</w:t>
      </w:r>
    </w:p>
    <w:p>
      <w:pPr>
        <w:snapToGrid w:val="0"/>
        <w:spacing w:line="400" w:lineRule="exact"/>
        <w:ind w:firstLine="465"/>
        <w:rPr>
          <w:rFonts w:hint="eastAsia" w:ascii="微软雅黑" w:hAnsi="微软雅黑" w:eastAsia="微软雅黑" w:cs="微软雅黑"/>
          <w:color w:val="auto"/>
          <w:sz w:val="24"/>
          <w:szCs w:val="24"/>
        </w:rPr>
      </w:pPr>
      <w:r>
        <w:rPr>
          <w:rFonts w:hint="eastAsia" w:ascii="微软雅黑" w:hAnsi="微软雅黑" w:eastAsia="微软雅黑" w:cs="微软雅黑"/>
          <w:sz w:val="24"/>
          <w:szCs w:val="24"/>
        </w:rPr>
        <w:t>（四）采购任务变更或取消的。</w:t>
      </w:r>
    </w:p>
    <w:p>
      <w:pPr>
        <w:spacing w:line="400" w:lineRule="exact"/>
        <w:ind w:firstLine="480" w:firstLineChars="200"/>
        <w:rPr>
          <w:rFonts w:hint="eastAsia" w:ascii="微软雅黑" w:hAnsi="微软雅黑" w:eastAsia="微软雅黑" w:cs="微软雅黑"/>
          <w:color w:val="auto"/>
          <w:sz w:val="24"/>
          <w:szCs w:val="24"/>
        </w:rPr>
        <w:sectPr>
          <w:footerReference r:id="rId10" w:type="default"/>
          <w:pgSz w:w="11907" w:h="16840"/>
          <w:pgMar w:top="1134" w:right="1191" w:bottom="1134" w:left="1304" w:header="964" w:footer="992" w:gutter="0"/>
          <w:pgNumType w:fmt="numberInDash"/>
          <w:cols w:space="720" w:num="1"/>
          <w:docGrid w:linePitch="312" w:charSpace="0"/>
        </w:sectPr>
      </w:pPr>
    </w:p>
    <w:p>
      <w:pPr>
        <w:pStyle w:val="4"/>
        <w:spacing w:before="200" w:after="200" w:line="240" w:lineRule="auto"/>
        <w:jc w:val="center"/>
        <w:rPr>
          <w:rFonts w:hint="eastAsia" w:ascii="微软雅黑" w:hAnsi="微软雅黑" w:eastAsia="微软雅黑" w:cs="微软雅黑"/>
          <w:color w:val="auto"/>
          <w:sz w:val="44"/>
        </w:rPr>
      </w:pPr>
      <w:bookmarkStart w:id="163" w:name="_Toc2424"/>
      <w:bookmarkStart w:id="164" w:name="_Toc76462337"/>
      <w:bookmarkStart w:id="165" w:name="_Toc106030892"/>
      <w:bookmarkStart w:id="166" w:name="_Toc29948"/>
      <w:bookmarkStart w:id="167" w:name="_Toc6837"/>
      <w:bookmarkStart w:id="168" w:name="_Toc26030"/>
      <w:bookmarkStart w:id="169" w:name="_Toc102227313"/>
      <w:r>
        <w:rPr>
          <w:rFonts w:hint="eastAsia" w:ascii="微软雅黑" w:hAnsi="微软雅黑" w:eastAsia="微软雅黑" w:cs="微软雅黑"/>
          <w:color w:val="auto"/>
          <w:sz w:val="44"/>
        </w:rPr>
        <w:t>第四篇  投标人须知</w:t>
      </w:r>
      <w:bookmarkEnd w:id="163"/>
      <w:bookmarkEnd w:id="164"/>
      <w:bookmarkEnd w:id="165"/>
      <w:bookmarkEnd w:id="166"/>
      <w:bookmarkEnd w:id="167"/>
      <w:bookmarkEnd w:id="168"/>
      <w:bookmarkEnd w:id="169"/>
    </w:p>
    <w:p>
      <w:pPr>
        <w:pStyle w:val="4"/>
        <w:adjustRightInd w:val="0"/>
        <w:snapToGrid w:val="0"/>
        <w:spacing w:before="0" w:after="0" w:line="400" w:lineRule="exact"/>
        <w:ind w:firstLine="480" w:firstLineChars="200"/>
        <w:rPr>
          <w:rFonts w:hint="eastAsia" w:ascii="微软雅黑" w:hAnsi="微软雅黑" w:eastAsia="微软雅黑" w:cs="微软雅黑"/>
          <w:color w:val="auto"/>
          <w:sz w:val="24"/>
        </w:rPr>
      </w:pPr>
      <w:bookmarkStart w:id="170" w:name="_Toc76462338"/>
      <w:bookmarkStart w:id="171" w:name="_Toc106030893"/>
      <w:bookmarkStart w:id="172" w:name="_Toc9299"/>
      <w:bookmarkStart w:id="173" w:name="_Toc342913389"/>
      <w:bookmarkStart w:id="174" w:name="_Toc4805"/>
      <w:bookmarkStart w:id="175" w:name="_Toc26717"/>
      <w:bookmarkStart w:id="176" w:name="_Toc12757"/>
      <w:r>
        <w:rPr>
          <w:rFonts w:hint="eastAsia" w:ascii="微软雅黑" w:hAnsi="微软雅黑" w:eastAsia="微软雅黑" w:cs="微软雅黑"/>
          <w:color w:val="auto"/>
          <w:sz w:val="24"/>
        </w:rPr>
        <w:t>一、耗材遴选费用</w:t>
      </w:r>
      <w:bookmarkEnd w:id="170"/>
      <w:bookmarkEnd w:id="171"/>
      <w:bookmarkEnd w:id="172"/>
      <w:bookmarkEnd w:id="173"/>
      <w:bookmarkEnd w:id="174"/>
      <w:bookmarkEnd w:id="175"/>
      <w:bookmarkEnd w:id="176"/>
    </w:p>
    <w:p>
      <w:pPr>
        <w:pStyle w:val="144"/>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参与比选的投标人应承担其编制响应文件与递交响应文件所涉及的一切费用，不论比选结果如何，采购人在任何情况下无义务也无责任承担这些费用。</w:t>
      </w:r>
    </w:p>
    <w:p>
      <w:pPr>
        <w:pStyle w:val="4"/>
        <w:adjustRightInd w:val="0"/>
        <w:snapToGrid w:val="0"/>
        <w:spacing w:before="0" w:after="0" w:line="400" w:lineRule="exact"/>
        <w:ind w:firstLine="480" w:firstLineChars="200"/>
        <w:rPr>
          <w:rFonts w:hint="eastAsia" w:ascii="微软雅黑" w:hAnsi="微软雅黑" w:eastAsia="微软雅黑" w:cs="微软雅黑"/>
          <w:color w:val="auto"/>
          <w:sz w:val="24"/>
        </w:rPr>
      </w:pPr>
      <w:bookmarkStart w:id="177" w:name="_Toc19008"/>
      <w:bookmarkStart w:id="178" w:name="_Toc342913391"/>
      <w:bookmarkStart w:id="179" w:name="_Toc15712"/>
      <w:bookmarkStart w:id="180" w:name="_Toc32028"/>
      <w:bookmarkStart w:id="181" w:name="_Toc76462339"/>
      <w:bookmarkStart w:id="182" w:name="_Toc106030894"/>
      <w:bookmarkStart w:id="183" w:name="_Toc21022"/>
      <w:r>
        <w:rPr>
          <w:rFonts w:hint="eastAsia" w:ascii="微软雅黑" w:hAnsi="微软雅黑" w:eastAsia="微软雅黑" w:cs="微软雅黑"/>
          <w:color w:val="auto"/>
          <w:sz w:val="24"/>
        </w:rPr>
        <w:t>二、</w:t>
      </w:r>
      <w:r>
        <w:rPr>
          <w:rFonts w:hint="eastAsia" w:ascii="微软雅黑" w:hAnsi="微软雅黑" w:eastAsia="微软雅黑" w:cs="微软雅黑"/>
          <w:color w:val="auto"/>
          <w:sz w:val="24"/>
          <w:lang w:eastAsia="zh-CN"/>
        </w:rPr>
        <w:t>耗材遴选采购</w:t>
      </w:r>
      <w:r>
        <w:rPr>
          <w:rFonts w:hint="eastAsia" w:ascii="微软雅黑" w:hAnsi="微软雅黑" w:eastAsia="微软雅黑" w:cs="微软雅黑"/>
          <w:color w:val="auto"/>
          <w:sz w:val="24"/>
        </w:rPr>
        <w:t>文件</w:t>
      </w:r>
      <w:bookmarkEnd w:id="177"/>
      <w:bookmarkEnd w:id="178"/>
      <w:bookmarkEnd w:id="179"/>
      <w:bookmarkEnd w:id="180"/>
      <w:bookmarkEnd w:id="181"/>
      <w:bookmarkEnd w:id="182"/>
      <w:bookmarkEnd w:id="183"/>
    </w:p>
    <w:p>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（一）</w:t>
      </w:r>
      <w:r>
        <w:rPr>
          <w:rFonts w:hint="eastAsia" w:ascii="微软雅黑" w:hAnsi="微软雅黑" w:eastAsia="微软雅黑" w:cs="微软雅黑"/>
          <w:color w:val="auto"/>
          <w:sz w:val="24"/>
          <w:szCs w:val="24"/>
          <w:lang w:eastAsia="zh-CN"/>
        </w:rPr>
        <w:t>耗材遴选采购</w:t>
      </w:r>
      <w:r>
        <w:rPr>
          <w:rFonts w:hint="eastAsia" w:ascii="微软雅黑" w:hAnsi="微软雅黑" w:eastAsia="微软雅黑" w:cs="微软雅黑"/>
          <w:color w:val="auto"/>
          <w:sz w:val="24"/>
          <w:szCs w:val="24"/>
        </w:rPr>
        <w:t>文件由采购邀请书、项目</w:t>
      </w:r>
      <w:r>
        <w:rPr>
          <w:rFonts w:hint="eastAsia" w:ascii="微软雅黑" w:hAnsi="微软雅黑" w:eastAsia="微软雅黑" w:cs="微软雅黑"/>
          <w:color w:val="auto"/>
          <w:sz w:val="24"/>
          <w:szCs w:val="24"/>
          <w:lang w:val="en-US" w:eastAsia="zh-CN"/>
        </w:rPr>
        <w:t>技术（质量）及商务需求</w:t>
      </w:r>
      <w:r>
        <w:rPr>
          <w:rFonts w:hint="eastAsia" w:ascii="微软雅黑" w:hAnsi="微软雅黑" w:eastAsia="微软雅黑" w:cs="微软雅黑"/>
          <w:color w:val="auto"/>
          <w:sz w:val="24"/>
          <w:szCs w:val="24"/>
        </w:rPr>
        <w:t>、</w:t>
      </w:r>
      <w:r>
        <w:rPr>
          <w:rFonts w:hint="eastAsia" w:ascii="微软雅黑" w:hAnsi="微软雅黑" w:eastAsia="微软雅黑" w:cs="微软雅黑"/>
          <w:color w:val="auto"/>
          <w:sz w:val="24"/>
          <w:szCs w:val="24"/>
          <w:lang w:val="en-US" w:eastAsia="zh-CN"/>
        </w:rPr>
        <w:t>采购</w:t>
      </w:r>
      <w:r>
        <w:rPr>
          <w:rFonts w:hint="eastAsia" w:ascii="微软雅黑" w:hAnsi="微软雅黑" w:eastAsia="微软雅黑" w:cs="微软雅黑"/>
          <w:color w:val="auto"/>
          <w:sz w:val="24"/>
          <w:szCs w:val="24"/>
        </w:rPr>
        <w:t>程序及方法、评审标准、无效响应和采购终止、投标人须知、响应文件编制要求</w:t>
      </w:r>
      <w:r>
        <w:rPr>
          <w:rFonts w:hint="eastAsia" w:ascii="微软雅黑" w:hAnsi="微软雅黑" w:eastAsia="微软雅黑" w:cs="微软雅黑"/>
          <w:color w:val="auto"/>
          <w:sz w:val="24"/>
          <w:szCs w:val="24"/>
          <w:lang w:val="en-US" w:eastAsia="zh-CN"/>
        </w:rPr>
        <w:t>五</w:t>
      </w:r>
      <w:r>
        <w:rPr>
          <w:rFonts w:hint="eastAsia" w:ascii="微软雅黑" w:hAnsi="微软雅黑" w:eastAsia="微软雅黑" w:cs="微软雅黑"/>
          <w:color w:val="auto"/>
          <w:sz w:val="24"/>
          <w:szCs w:val="24"/>
        </w:rPr>
        <w:t>部分组成。</w:t>
      </w:r>
    </w:p>
    <w:p>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（二）采购人所作的一切有效的书面通知、修改及补充，都是</w:t>
      </w:r>
      <w:r>
        <w:rPr>
          <w:rFonts w:hint="eastAsia" w:ascii="微软雅黑" w:hAnsi="微软雅黑" w:eastAsia="微软雅黑" w:cs="微软雅黑"/>
          <w:color w:val="auto"/>
          <w:sz w:val="24"/>
          <w:szCs w:val="24"/>
          <w:lang w:eastAsia="zh-CN"/>
        </w:rPr>
        <w:t>耗材遴选采购</w:t>
      </w:r>
      <w:r>
        <w:rPr>
          <w:rFonts w:hint="eastAsia" w:ascii="微软雅黑" w:hAnsi="微软雅黑" w:eastAsia="微软雅黑" w:cs="微软雅黑"/>
          <w:color w:val="auto"/>
          <w:sz w:val="24"/>
          <w:szCs w:val="24"/>
        </w:rPr>
        <w:t>文件不可分割的部分。</w:t>
      </w:r>
    </w:p>
    <w:p>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（三）</w:t>
      </w:r>
      <w:r>
        <w:rPr>
          <w:rFonts w:hint="eastAsia" w:ascii="微软雅黑" w:hAnsi="微软雅黑" w:eastAsia="微软雅黑" w:cs="微软雅黑"/>
          <w:color w:val="auto"/>
          <w:sz w:val="24"/>
          <w:szCs w:val="24"/>
          <w:lang w:eastAsia="zh-CN"/>
        </w:rPr>
        <w:t>耗材遴选采购</w:t>
      </w:r>
      <w:r>
        <w:rPr>
          <w:rFonts w:hint="eastAsia" w:ascii="微软雅黑" w:hAnsi="微软雅黑" w:eastAsia="微软雅黑" w:cs="微软雅黑"/>
          <w:color w:val="auto"/>
          <w:sz w:val="24"/>
          <w:szCs w:val="24"/>
        </w:rPr>
        <w:t>文件的解释</w:t>
      </w:r>
    </w:p>
    <w:p>
      <w:pPr>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投标人如对</w:t>
      </w:r>
      <w:r>
        <w:rPr>
          <w:rFonts w:hint="eastAsia" w:ascii="微软雅黑" w:hAnsi="微软雅黑" w:eastAsia="微软雅黑" w:cs="微软雅黑"/>
          <w:color w:val="auto"/>
          <w:sz w:val="24"/>
          <w:szCs w:val="24"/>
          <w:lang w:eastAsia="zh-CN"/>
        </w:rPr>
        <w:t>耗材遴选采购</w:t>
      </w:r>
      <w:r>
        <w:rPr>
          <w:rFonts w:hint="eastAsia" w:ascii="微软雅黑" w:hAnsi="微软雅黑" w:eastAsia="微软雅黑" w:cs="微软雅黑"/>
          <w:color w:val="auto"/>
          <w:sz w:val="24"/>
          <w:szCs w:val="24"/>
        </w:rPr>
        <w:t>文件有疑问，必须以书面形式在提交响应文件截止时间2个工作日前向采购人要求澄清，采购人可视具体情况做出处理或答复。如投标人未提出疑问，视为完全理解并同意本</w:t>
      </w:r>
      <w:r>
        <w:rPr>
          <w:rFonts w:hint="eastAsia" w:ascii="微软雅黑" w:hAnsi="微软雅黑" w:eastAsia="微软雅黑" w:cs="微软雅黑"/>
          <w:color w:val="auto"/>
          <w:sz w:val="24"/>
          <w:szCs w:val="24"/>
          <w:lang w:eastAsia="zh-CN"/>
        </w:rPr>
        <w:t>耗材遴选采购</w:t>
      </w:r>
      <w:r>
        <w:rPr>
          <w:rFonts w:hint="eastAsia" w:ascii="微软雅黑" w:hAnsi="微软雅黑" w:eastAsia="微软雅黑" w:cs="微软雅黑"/>
          <w:color w:val="auto"/>
          <w:sz w:val="24"/>
          <w:szCs w:val="24"/>
        </w:rPr>
        <w:t>文件。一经进入比选程序，即视为投标人已详细阅读全部文件资料，完全理解</w:t>
      </w:r>
      <w:r>
        <w:rPr>
          <w:rFonts w:hint="eastAsia" w:ascii="微软雅黑" w:hAnsi="微软雅黑" w:eastAsia="微软雅黑" w:cs="微软雅黑"/>
          <w:color w:val="auto"/>
          <w:sz w:val="24"/>
          <w:szCs w:val="24"/>
          <w:lang w:eastAsia="zh-CN"/>
        </w:rPr>
        <w:t>耗材遴选采购</w:t>
      </w:r>
      <w:r>
        <w:rPr>
          <w:rFonts w:hint="eastAsia" w:ascii="微软雅黑" w:hAnsi="微软雅黑" w:eastAsia="微软雅黑" w:cs="微软雅黑"/>
          <w:color w:val="auto"/>
          <w:sz w:val="24"/>
          <w:szCs w:val="24"/>
        </w:rPr>
        <w:t>文件所有条款内容并同意放弃对这方面有不明白及误解的权利。</w:t>
      </w:r>
      <w:bookmarkStart w:id="184" w:name="_Toc318159349"/>
      <w:bookmarkStart w:id="185" w:name="_Toc318159160"/>
      <w:bookmarkStart w:id="186" w:name="_Toc318166429"/>
      <w:bookmarkStart w:id="187" w:name="_Toc318159780"/>
    </w:p>
    <w:bookmarkEnd w:id="184"/>
    <w:bookmarkEnd w:id="185"/>
    <w:bookmarkEnd w:id="186"/>
    <w:bookmarkEnd w:id="187"/>
    <w:p>
      <w:pPr>
        <w:pStyle w:val="4"/>
        <w:adjustRightInd w:val="0"/>
        <w:snapToGrid w:val="0"/>
        <w:spacing w:before="0" w:after="0" w:line="400" w:lineRule="exact"/>
        <w:ind w:firstLine="480" w:firstLineChars="200"/>
        <w:rPr>
          <w:rFonts w:hint="eastAsia" w:ascii="微软雅黑" w:hAnsi="微软雅黑" w:eastAsia="微软雅黑" w:cs="微软雅黑"/>
          <w:color w:val="auto"/>
          <w:sz w:val="24"/>
        </w:rPr>
      </w:pPr>
      <w:bookmarkStart w:id="188" w:name="_Toc102227318"/>
      <w:bookmarkStart w:id="189" w:name="_Toc18631"/>
      <w:bookmarkStart w:id="190" w:name="_Toc11716"/>
      <w:bookmarkStart w:id="191" w:name="_Toc76462340"/>
      <w:bookmarkStart w:id="192" w:name="_Toc179714297"/>
      <w:bookmarkStart w:id="193" w:name="_Toc26007"/>
      <w:bookmarkStart w:id="194" w:name="_Toc106030895"/>
      <w:bookmarkStart w:id="195" w:name="_Toc12263"/>
      <w:bookmarkStart w:id="196" w:name="_Toc342913392"/>
      <w:r>
        <w:rPr>
          <w:rFonts w:hint="eastAsia" w:ascii="微软雅黑" w:hAnsi="微软雅黑" w:eastAsia="微软雅黑" w:cs="微软雅黑"/>
          <w:color w:val="auto"/>
          <w:sz w:val="24"/>
        </w:rPr>
        <w:t>三、</w:t>
      </w:r>
      <w:r>
        <w:rPr>
          <w:rFonts w:hint="eastAsia" w:ascii="微软雅黑" w:hAnsi="微软雅黑" w:eastAsia="微软雅黑" w:cs="微软雅黑"/>
          <w:color w:val="auto"/>
          <w:sz w:val="24"/>
          <w:lang w:val="en-US" w:eastAsia="zh-CN"/>
        </w:rPr>
        <w:t>遴选</w:t>
      </w:r>
      <w:r>
        <w:rPr>
          <w:rFonts w:hint="eastAsia" w:ascii="微软雅黑" w:hAnsi="微软雅黑" w:eastAsia="微软雅黑" w:cs="微软雅黑"/>
          <w:color w:val="auto"/>
          <w:sz w:val="24"/>
        </w:rPr>
        <w:t>要求</w:t>
      </w:r>
      <w:bookmarkEnd w:id="188"/>
      <w:bookmarkEnd w:id="189"/>
      <w:bookmarkEnd w:id="190"/>
      <w:bookmarkEnd w:id="191"/>
      <w:bookmarkEnd w:id="192"/>
      <w:bookmarkEnd w:id="193"/>
      <w:bookmarkEnd w:id="194"/>
      <w:bookmarkEnd w:id="195"/>
      <w:bookmarkEnd w:id="196"/>
    </w:p>
    <w:p>
      <w:pPr>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（一）响应文件</w:t>
      </w:r>
    </w:p>
    <w:p>
      <w:pPr>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1.投标人应当按照</w:t>
      </w:r>
      <w:r>
        <w:rPr>
          <w:rFonts w:hint="eastAsia" w:ascii="微软雅黑" w:hAnsi="微软雅黑" w:eastAsia="微软雅黑" w:cs="微软雅黑"/>
          <w:color w:val="auto"/>
          <w:sz w:val="24"/>
          <w:szCs w:val="24"/>
          <w:lang w:eastAsia="zh-CN"/>
        </w:rPr>
        <w:t>耗材遴选采购</w:t>
      </w:r>
      <w:r>
        <w:rPr>
          <w:rFonts w:hint="eastAsia" w:ascii="微软雅黑" w:hAnsi="微软雅黑" w:eastAsia="微软雅黑" w:cs="微软雅黑"/>
          <w:color w:val="auto"/>
          <w:sz w:val="24"/>
          <w:szCs w:val="24"/>
        </w:rPr>
        <w:t>文件的要求编制响应文件，并对</w:t>
      </w:r>
      <w:r>
        <w:rPr>
          <w:rFonts w:hint="eastAsia" w:ascii="微软雅黑" w:hAnsi="微软雅黑" w:eastAsia="微软雅黑" w:cs="微软雅黑"/>
          <w:color w:val="auto"/>
          <w:sz w:val="24"/>
          <w:szCs w:val="24"/>
          <w:lang w:eastAsia="zh-CN"/>
        </w:rPr>
        <w:t>耗材遴选采购</w:t>
      </w:r>
      <w:r>
        <w:rPr>
          <w:rFonts w:hint="eastAsia" w:ascii="微软雅黑" w:hAnsi="微软雅黑" w:eastAsia="微软雅黑" w:cs="微软雅黑"/>
          <w:color w:val="auto"/>
          <w:sz w:val="24"/>
          <w:szCs w:val="24"/>
        </w:rPr>
        <w:t>文件提出的要求和条件作出实质性响应，响应文件原则上采用软面订本，同时应编制完整的页码、目录。</w:t>
      </w:r>
    </w:p>
    <w:p>
      <w:pPr>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2.响应文件组成</w:t>
      </w:r>
    </w:p>
    <w:p>
      <w:pPr>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响应文件由“第五篇 响应文件编制要求”规定的部分和投标人所作的一切有效补充、修改和承诺等文件组成，投标人应按照“第五篇 响应文件编制要求”规定的目录顺序组织编写和装订，也可在基本格式基础上对表格进行扩展，未规定格式的由投标人自定格式。</w:t>
      </w:r>
    </w:p>
    <w:p>
      <w:pPr>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（二）比选有效期：响应文件及有关承诺文件有效期为提交响应文件截止时间起90天。</w:t>
      </w:r>
    </w:p>
    <w:p>
      <w:pPr>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（三）修正错误</w:t>
      </w:r>
    </w:p>
    <w:p>
      <w:pPr>
        <w:pStyle w:val="51"/>
        <w:widowControl w:val="0"/>
        <w:adjustRightInd w:val="0"/>
        <w:snapToGrid w:val="0"/>
        <w:spacing w:before="0" w:beforeAutospacing="0" w:after="0" w:afterAutospacing="0" w:line="400" w:lineRule="exact"/>
        <w:ind w:firstLine="480" w:firstLineChars="200"/>
        <w:jc w:val="both"/>
        <w:rPr>
          <w:rFonts w:hint="eastAsia" w:ascii="微软雅黑" w:hAnsi="微软雅黑" w:eastAsia="微软雅黑" w:cs="微软雅黑"/>
          <w:color w:val="auto"/>
        </w:rPr>
      </w:pPr>
      <w:r>
        <w:rPr>
          <w:rFonts w:hint="eastAsia" w:ascii="微软雅黑" w:hAnsi="微软雅黑" w:eastAsia="微软雅黑" w:cs="微软雅黑"/>
          <w:color w:val="auto"/>
          <w:kern w:val="2"/>
          <w:lang w:bidi="ar"/>
        </w:rPr>
        <w:t>若响应文件出现计算或表达上的错误，修正错误的原则如下：</w:t>
      </w:r>
    </w:p>
    <w:p>
      <w:pPr>
        <w:pStyle w:val="51"/>
        <w:widowControl w:val="0"/>
        <w:adjustRightInd w:val="0"/>
        <w:snapToGrid w:val="0"/>
        <w:spacing w:before="0" w:beforeAutospacing="0" w:after="0" w:afterAutospacing="0" w:line="400" w:lineRule="exact"/>
        <w:ind w:firstLine="480" w:firstLineChars="200"/>
        <w:jc w:val="both"/>
        <w:rPr>
          <w:rFonts w:hint="eastAsia" w:ascii="微软雅黑" w:hAnsi="微软雅黑" w:eastAsia="微软雅黑" w:cs="微软雅黑"/>
          <w:color w:val="auto"/>
        </w:rPr>
      </w:pPr>
      <w:r>
        <w:rPr>
          <w:rFonts w:hint="eastAsia" w:ascii="微软雅黑" w:hAnsi="微软雅黑" w:eastAsia="微软雅黑" w:cs="微软雅黑"/>
          <w:color w:val="auto"/>
          <w:kern w:val="2"/>
          <w:lang w:bidi="ar"/>
        </w:rPr>
        <w:t>1.响应文件中</w:t>
      </w:r>
      <w:r>
        <w:rPr>
          <w:rFonts w:hint="eastAsia" w:ascii="微软雅黑" w:hAnsi="微软雅黑" w:eastAsia="微软雅黑" w:cs="微软雅黑"/>
          <w:color w:val="auto"/>
          <w:kern w:val="2"/>
          <w:lang w:val="en-US" w:eastAsia="zh-CN" w:bidi="ar"/>
        </w:rPr>
        <w:t>“耗材专用报价表”</w:t>
      </w:r>
      <w:r>
        <w:rPr>
          <w:rFonts w:hint="eastAsia" w:ascii="微软雅黑" w:hAnsi="微软雅黑" w:eastAsia="微软雅黑" w:cs="微软雅黑"/>
          <w:color w:val="auto"/>
          <w:kern w:val="2"/>
          <w:lang w:bidi="ar"/>
        </w:rPr>
        <w:t>内容与响应文件中</w:t>
      </w:r>
      <w:r>
        <w:rPr>
          <w:rFonts w:hint="eastAsia" w:ascii="微软雅黑" w:hAnsi="微软雅黑" w:eastAsia="微软雅黑" w:cs="微软雅黑"/>
          <w:color w:val="auto"/>
          <w:kern w:val="2"/>
          <w:lang w:val="en-US" w:eastAsia="zh-CN" w:bidi="ar"/>
        </w:rPr>
        <w:t>其他</w:t>
      </w:r>
      <w:r>
        <w:rPr>
          <w:rFonts w:hint="eastAsia" w:ascii="微软雅黑" w:hAnsi="微软雅黑" w:eastAsia="微软雅黑" w:cs="微软雅黑"/>
          <w:color w:val="auto"/>
          <w:kern w:val="2"/>
          <w:lang w:bidi="ar"/>
        </w:rPr>
        <w:t>相应内容不一致的，以</w:t>
      </w:r>
      <w:r>
        <w:rPr>
          <w:rFonts w:hint="eastAsia" w:ascii="微软雅黑" w:hAnsi="微软雅黑" w:eastAsia="微软雅黑" w:cs="微软雅黑"/>
          <w:color w:val="auto"/>
          <w:kern w:val="2"/>
          <w:lang w:val="en-US" w:eastAsia="zh-CN" w:bidi="ar"/>
        </w:rPr>
        <w:t>“耗材专用报价表”</w:t>
      </w:r>
      <w:r>
        <w:rPr>
          <w:rFonts w:hint="eastAsia" w:ascii="微软雅黑" w:hAnsi="微软雅黑" w:eastAsia="微软雅黑" w:cs="微软雅黑"/>
          <w:color w:val="auto"/>
          <w:kern w:val="2"/>
          <w:lang w:bidi="ar"/>
        </w:rPr>
        <w:t>为准；</w:t>
      </w:r>
    </w:p>
    <w:p>
      <w:pPr>
        <w:pStyle w:val="51"/>
        <w:widowControl w:val="0"/>
        <w:adjustRightInd w:val="0"/>
        <w:snapToGrid w:val="0"/>
        <w:spacing w:before="0" w:beforeAutospacing="0" w:after="0" w:afterAutospacing="0" w:line="400" w:lineRule="exact"/>
        <w:ind w:firstLine="480" w:firstLineChars="200"/>
        <w:jc w:val="both"/>
        <w:rPr>
          <w:rFonts w:hint="eastAsia" w:ascii="微软雅黑" w:hAnsi="微软雅黑" w:eastAsia="微软雅黑" w:cs="微软雅黑"/>
          <w:color w:val="auto"/>
        </w:rPr>
      </w:pPr>
      <w:r>
        <w:rPr>
          <w:rFonts w:hint="eastAsia" w:ascii="微软雅黑" w:hAnsi="微软雅黑" w:eastAsia="微软雅黑" w:cs="微软雅黑"/>
          <w:color w:val="auto"/>
          <w:kern w:val="2"/>
          <w:lang w:bidi="ar"/>
        </w:rPr>
        <w:t>2.大写金额和小写金额不一致的，以大写金额为准；</w:t>
      </w:r>
    </w:p>
    <w:p>
      <w:pPr>
        <w:pStyle w:val="51"/>
        <w:widowControl w:val="0"/>
        <w:adjustRightInd w:val="0"/>
        <w:snapToGrid w:val="0"/>
        <w:spacing w:before="0" w:beforeAutospacing="0" w:after="0" w:afterAutospacing="0" w:line="400" w:lineRule="exact"/>
        <w:ind w:firstLine="480" w:firstLineChars="200"/>
        <w:jc w:val="both"/>
        <w:rPr>
          <w:rFonts w:hint="eastAsia" w:ascii="微软雅黑" w:hAnsi="微软雅黑" w:eastAsia="微软雅黑" w:cs="微软雅黑"/>
          <w:color w:val="auto"/>
        </w:rPr>
      </w:pPr>
      <w:r>
        <w:rPr>
          <w:rFonts w:hint="eastAsia" w:ascii="微软雅黑" w:hAnsi="微软雅黑" w:eastAsia="微软雅黑" w:cs="微软雅黑"/>
          <w:color w:val="auto"/>
          <w:kern w:val="2"/>
          <w:lang w:bidi="ar"/>
        </w:rPr>
        <w:t>3.单价金额小数点或者百分比有明显错位的，以总价为准，并修改单价；</w:t>
      </w:r>
    </w:p>
    <w:p>
      <w:pPr>
        <w:pStyle w:val="51"/>
        <w:widowControl w:val="0"/>
        <w:adjustRightInd w:val="0"/>
        <w:snapToGrid w:val="0"/>
        <w:spacing w:before="0" w:beforeAutospacing="0" w:after="0" w:afterAutospacing="0" w:line="400" w:lineRule="exact"/>
        <w:ind w:firstLine="480" w:firstLineChars="200"/>
        <w:jc w:val="both"/>
        <w:rPr>
          <w:rFonts w:hint="eastAsia" w:ascii="微软雅黑" w:hAnsi="微软雅黑" w:eastAsia="微软雅黑" w:cs="微软雅黑"/>
          <w:color w:val="auto"/>
        </w:rPr>
      </w:pPr>
      <w:r>
        <w:rPr>
          <w:rFonts w:hint="eastAsia" w:ascii="微软雅黑" w:hAnsi="微软雅黑" w:eastAsia="微软雅黑" w:cs="微软雅黑"/>
          <w:color w:val="auto"/>
          <w:kern w:val="2"/>
          <w:lang w:bidi="ar"/>
        </w:rPr>
        <w:t>4.总价金额与按单价汇总金额不一致的，以单价金额计算结果为准。</w:t>
      </w:r>
    </w:p>
    <w:p>
      <w:pPr>
        <w:widowControl/>
        <w:ind w:firstLine="480" w:firstLineChars="200"/>
        <w:jc w:val="left"/>
        <w:rPr>
          <w:rFonts w:hint="eastAsia" w:ascii="微软雅黑" w:hAnsi="微软雅黑" w:eastAsia="微软雅黑" w:cs="微软雅黑"/>
          <w:color w:val="auto"/>
        </w:rPr>
      </w:pPr>
      <w:r>
        <w:rPr>
          <w:rFonts w:hint="eastAsia" w:ascii="微软雅黑" w:hAnsi="微软雅黑" w:eastAsia="微软雅黑" w:cs="微软雅黑"/>
          <w:color w:val="auto"/>
          <w:sz w:val="24"/>
          <w:szCs w:val="24"/>
          <w:lang w:val="en-US" w:eastAsia="zh-CN"/>
        </w:rPr>
        <w:t>遴选</w:t>
      </w:r>
      <w:r>
        <w:rPr>
          <w:rFonts w:hint="eastAsia" w:ascii="微软雅黑" w:hAnsi="微软雅黑" w:eastAsia="微软雅黑" w:cs="微软雅黑"/>
          <w:color w:val="auto"/>
          <w:sz w:val="24"/>
          <w:szCs w:val="24"/>
        </w:rPr>
        <w:t>小组</w:t>
      </w:r>
      <w:r>
        <w:rPr>
          <w:rFonts w:hint="eastAsia" w:ascii="微软雅黑" w:hAnsi="微软雅黑" w:eastAsia="微软雅黑" w:cs="微软雅黑"/>
          <w:color w:val="auto"/>
          <w:sz w:val="24"/>
          <w:lang w:bidi="ar"/>
        </w:rPr>
        <w:t>按上述修正错误的原则及方法调整或修正投标人投标报价，若同时出现两种以上不一致的，按照前款规定的顺序修正，投标人同意并签字确认后，调整后的投标报价对投标人具有约束作用。如果投标人不接受修正后的报价，则其投标将作为无效投标处理。</w:t>
      </w:r>
    </w:p>
    <w:p>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（四）提交响应文件的份数和签署</w:t>
      </w:r>
    </w:p>
    <w:p>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b/>
          <w:bCs/>
          <w:color w:val="auto"/>
          <w:sz w:val="24"/>
          <w:szCs w:val="24"/>
          <w:u w:val="single"/>
        </w:rPr>
        <w:t>1.响应文件一式</w:t>
      </w:r>
      <w:r>
        <w:rPr>
          <w:rFonts w:hint="eastAsia" w:ascii="微软雅黑" w:hAnsi="微软雅黑" w:eastAsia="微软雅黑" w:cs="微软雅黑"/>
          <w:b/>
          <w:bCs/>
          <w:color w:val="auto"/>
          <w:sz w:val="24"/>
          <w:szCs w:val="24"/>
          <w:u w:val="single"/>
          <w:lang w:val="en-US" w:eastAsia="zh-CN"/>
        </w:rPr>
        <w:t>七</w:t>
      </w:r>
      <w:r>
        <w:rPr>
          <w:rFonts w:hint="eastAsia" w:ascii="微软雅黑" w:hAnsi="微软雅黑" w:eastAsia="微软雅黑" w:cs="微软雅黑"/>
          <w:b/>
          <w:bCs/>
          <w:color w:val="auto"/>
          <w:sz w:val="24"/>
          <w:szCs w:val="24"/>
          <w:u w:val="single"/>
        </w:rPr>
        <w:t>份，其中正本一份，副本</w:t>
      </w:r>
      <w:r>
        <w:rPr>
          <w:rFonts w:hint="eastAsia" w:ascii="微软雅黑" w:hAnsi="微软雅黑" w:eastAsia="微软雅黑" w:cs="微软雅黑"/>
          <w:b/>
          <w:bCs/>
          <w:color w:val="auto"/>
          <w:sz w:val="24"/>
          <w:szCs w:val="24"/>
          <w:u w:val="single"/>
          <w:lang w:val="en-US" w:eastAsia="zh-CN"/>
        </w:rPr>
        <w:t>六</w:t>
      </w:r>
      <w:r>
        <w:rPr>
          <w:rFonts w:hint="eastAsia" w:ascii="微软雅黑" w:hAnsi="微软雅黑" w:eastAsia="微软雅黑" w:cs="微软雅黑"/>
          <w:b/>
          <w:bCs/>
          <w:color w:val="auto"/>
          <w:sz w:val="24"/>
          <w:szCs w:val="24"/>
          <w:u w:val="single"/>
        </w:rPr>
        <w:t>份，副本可为正本的复印件，应与正本一致，如出现不一致情况以正本为准</w:t>
      </w:r>
      <w:r>
        <w:rPr>
          <w:rFonts w:hint="eastAsia" w:ascii="微软雅黑" w:hAnsi="微软雅黑" w:eastAsia="微软雅黑" w:cs="微软雅黑"/>
          <w:b/>
          <w:bCs/>
          <w:color w:val="auto"/>
          <w:sz w:val="24"/>
          <w:szCs w:val="24"/>
          <w:u w:val="single"/>
          <w:lang w:eastAsia="zh-CN"/>
        </w:rPr>
        <w:t>；</w:t>
      </w:r>
      <w:r>
        <w:rPr>
          <w:rFonts w:hint="eastAsia" w:ascii="微软雅黑" w:hAnsi="微软雅黑" w:eastAsia="微软雅黑" w:cs="微软雅黑"/>
          <w:b/>
          <w:bCs/>
          <w:color w:val="auto"/>
          <w:sz w:val="24"/>
          <w:szCs w:val="24"/>
          <w:u w:val="single"/>
        </w:rPr>
        <w:t>电子文档（电子文档须将完整的响应文件正本PDF版上传到电子招投标平台，如电子文档与纸质响应文件的实质性内容出现差异，则视为未报名成功）一份。</w:t>
      </w:r>
    </w:p>
    <w:p>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2.</w:t>
      </w:r>
      <w:r>
        <w:rPr>
          <w:rFonts w:hint="eastAsia" w:ascii="微软雅黑" w:hAnsi="微软雅黑" w:eastAsia="微软雅黑" w:cs="微软雅黑"/>
          <w:color w:val="auto"/>
          <w:sz w:val="24"/>
        </w:rPr>
        <w:t>响应文件按</w:t>
      </w:r>
      <w:r>
        <w:rPr>
          <w:rFonts w:hint="eastAsia" w:ascii="微软雅黑" w:hAnsi="微软雅黑" w:eastAsia="微软雅黑" w:cs="微软雅黑"/>
          <w:color w:val="auto"/>
          <w:sz w:val="24"/>
          <w:lang w:eastAsia="zh-CN"/>
        </w:rPr>
        <w:t>耗材遴选采购</w:t>
      </w:r>
      <w:r>
        <w:rPr>
          <w:rFonts w:hint="eastAsia" w:ascii="微软雅黑" w:hAnsi="微软雅黑" w:eastAsia="微软雅黑" w:cs="微软雅黑"/>
          <w:color w:val="auto"/>
          <w:sz w:val="24"/>
        </w:rPr>
        <w:t>文件“第五篇</w:t>
      </w:r>
      <w:r>
        <w:rPr>
          <w:rFonts w:hint="eastAsia" w:ascii="微软雅黑" w:hAnsi="微软雅黑" w:eastAsia="微软雅黑" w:cs="微软雅黑"/>
          <w:color w:val="auto"/>
          <w:sz w:val="24"/>
          <w:lang w:val="en-US" w:eastAsia="zh-CN"/>
        </w:rPr>
        <w:t xml:space="preserve"> </w:t>
      </w:r>
      <w:r>
        <w:rPr>
          <w:rFonts w:hint="eastAsia" w:ascii="微软雅黑" w:hAnsi="微软雅黑" w:eastAsia="微软雅黑" w:cs="微软雅黑"/>
          <w:color w:val="auto"/>
          <w:sz w:val="24"/>
        </w:rPr>
        <w:t>响应文件编制要求”要求签署或盖章。</w:t>
      </w:r>
    </w:p>
    <w:p>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（五）响应文件的递交</w:t>
      </w:r>
    </w:p>
    <w:p>
      <w:pPr>
        <w:pStyle w:val="31"/>
        <w:spacing w:line="400" w:lineRule="exact"/>
        <w:ind w:firstLine="480" w:firstLineChars="20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响应文件的正本、副本均应密封送达</w:t>
      </w:r>
      <w:r>
        <w:rPr>
          <w:rFonts w:hint="eastAsia" w:ascii="微软雅黑" w:hAnsi="微软雅黑" w:eastAsia="微软雅黑" w:cs="微软雅黑"/>
          <w:color w:val="auto"/>
          <w:sz w:val="24"/>
          <w:szCs w:val="24"/>
        </w:rPr>
        <w:t>比选</w:t>
      </w:r>
      <w:r>
        <w:rPr>
          <w:rFonts w:hint="eastAsia" w:ascii="微软雅黑" w:hAnsi="微软雅黑" w:eastAsia="微软雅黑" w:cs="微软雅黑"/>
          <w:color w:val="auto"/>
          <w:sz w:val="24"/>
        </w:rPr>
        <w:t>地点，应在封套上注明</w:t>
      </w:r>
      <w:r>
        <w:rPr>
          <w:rFonts w:hint="eastAsia" w:ascii="微软雅黑" w:hAnsi="微软雅黑" w:eastAsia="微软雅黑" w:cs="微软雅黑"/>
          <w:color w:val="auto"/>
          <w:sz w:val="24"/>
          <w:szCs w:val="24"/>
        </w:rPr>
        <w:t>比选</w:t>
      </w:r>
      <w:r>
        <w:rPr>
          <w:rFonts w:hint="eastAsia" w:ascii="微软雅黑" w:hAnsi="微软雅黑" w:eastAsia="微软雅黑" w:cs="微软雅黑"/>
          <w:color w:val="auto"/>
          <w:sz w:val="24"/>
        </w:rPr>
        <w:t>项目名称、投标人名称。若正本、副本分别进行密封的，还应在封套上注明“正本”、“副本”字样；电子文档应在报名截止之前上传至电子招投标平台。</w:t>
      </w:r>
    </w:p>
    <w:p>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（六）投标人参与人员</w:t>
      </w:r>
    </w:p>
    <w:p>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各个投标人应当派1-2名代表参与比选，至少1人应为法定代表人（或其授权代表）或自然人（投标人为自然人）。</w:t>
      </w:r>
    </w:p>
    <w:p>
      <w:pPr>
        <w:pStyle w:val="4"/>
        <w:adjustRightInd w:val="0"/>
        <w:snapToGrid w:val="0"/>
        <w:spacing w:before="0" w:after="0" w:line="400" w:lineRule="exact"/>
        <w:ind w:firstLine="480" w:firstLineChars="200"/>
        <w:rPr>
          <w:rFonts w:hint="eastAsia" w:ascii="微软雅黑" w:hAnsi="微软雅黑" w:eastAsia="微软雅黑" w:cs="微软雅黑"/>
          <w:color w:val="auto"/>
          <w:sz w:val="24"/>
        </w:rPr>
      </w:pPr>
      <w:bookmarkStart w:id="197" w:name="_Toc22276"/>
      <w:bookmarkStart w:id="198" w:name="_Toc76462341"/>
      <w:bookmarkStart w:id="199" w:name="_Toc106030896"/>
      <w:bookmarkStart w:id="200" w:name="_Toc13425"/>
      <w:bookmarkStart w:id="201" w:name="_Toc13154"/>
      <w:bookmarkStart w:id="202" w:name="_Toc6435"/>
      <w:r>
        <w:rPr>
          <w:rFonts w:hint="eastAsia" w:ascii="微软雅黑" w:hAnsi="微软雅黑" w:eastAsia="微软雅黑" w:cs="微软雅黑"/>
          <w:color w:val="auto"/>
          <w:sz w:val="24"/>
        </w:rPr>
        <w:t>四、中标人的确认和变更</w:t>
      </w:r>
      <w:bookmarkEnd w:id="197"/>
      <w:bookmarkEnd w:id="198"/>
      <w:bookmarkEnd w:id="199"/>
      <w:bookmarkEnd w:id="200"/>
      <w:bookmarkEnd w:id="201"/>
      <w:bookmarkEnd w:id="202"/>
    </w:p>
    <w:p>
      <w:pPr>
        <w:snapToGrid w:val="0"/>
        <w:spacing w:line="400" w:lineRule="exact"/>
        <w:ind w:firstLine="480" w:firstLineChars="200"/>
        <w:outlineLvl w:val="2"/>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（一）中标人的确认</w:t>
      </w:r>
    </w:p>
    <w:p>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采购人从评审报告提出的</w:t>
      </w:r>
      <w:r>
        <w:rPr>
          <w:rFonts w:hint="eastAsia" w:ascii="微软雅黑" w:hAnsi="微软雅黑" w:eastAsia="微软雅黑" w:cs="微软雅黑"/>
          <w:color w:val="auto"/>
          <w:sz w:val="24"/>
          <w:szCs w:val="24"/>
          <w:lang w:val="en-US" w:eastAsia="zh-CN"/>
        </w:rPr>
        <w:t>中标</w:t>
      </w:r>
      <w:r>
        <w:rPr>
          <w:rFonts w:hint="eastAsia" w:ascii="微软雅黑" w:hAnsi="微软雅黑" w:eastAsia="微软雅黑" w:cs="微软雅黑"/>
          <w:color w:val="auto"/>
          <w:sz w:val="24"/>
          <w:szCs w:val="24"/>
        </w:rPr>
        <w:t>候选投标人中，按照排序由高到低的原则确定中标人。</w:t>
      </w:r>
    </w:p>
    <w:p>
      <w:pPr>
        <w:snapToGrid w:val="0"/>
        <w:spacing w:line="400" w:lineRule="exact"/>
        <w:ind w:firstLine="480" w:firstLineChars="200"/>
        <w:outlineLvl w:val="2"/>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（二）中标人的变更</w:t>
      </w:r>
    </w:p>
    <w:p>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rPr>
        <w:t>中标人拒绝与采购人签订合同的，采购人可以按照评标报告推荐的</w:t>
      </w:r>
      <w:r>
        <w:rPr>
          <w:rFonts w:hint="eastAsia" w:ascii="微软雅黑" w:hAnsi="微软雅黑" w:eastAsia="微软雅黑" w:cs="微软雅黑"/>
          <w:color w:val="auto"/>
          <w:sz w:val="24"/>
          <w:lang w:val="en-US" w:eastAsia="zh-CN"/>
        </w:rPr>
        <w:t>中标</w:t>
      </w:r>
      <w:r>
        <w:rPr>
          <w:rFonts w:hint="eastAsia" w:ascii="微软雅黑" w:hAnsi="微软雅黑" w:eastAsia="微软雅黑" w:cs="微软雅黑"/>
          <w:color w:val="auto"/>
          <w:sz w:val="24"/>
        </w:rPr>
        <w:t>候选投标人顺序，顺延下一</w:t>
      </w:r>
      <w:r>
        <w:rPr>
          <w:rFonts w:hint="eastAsia" w:ascii="微软雅黑" w:hAnsi="微软雅黑" w:eastAsia="微软雅黑" w:cs="微软雅黑"/>
          <w:color w:val="auto"/>
          <w:sz w:val="24"/>
          <w:lang w:val="en-US" w:eastAsia="zh-CN"/>
        </w:rPr>
        <w:t>顺</w:t>
      </w:r>
      <w:r>
        <w:rPr>
          <w:rFonts w:hint="eastAsia" w:ascii="微软雅黑" w:hAnsi="微软雅黑" w:eastAsia="微软雅黑" w:cs="微软雅黑"/>
          <w:color w:val="auto"/>
          <w:sz w:val="24"/>
        </w:rPr>
        <w:t>位候选人为中标人，也可以重新开展采购活动。</w:t>
      </w:r>
    </w:p>
    <w:p>
      <w:pPr>
        <w:pStyle w:val="4"/>
        <w:adjustRightInd w:val="0"/>
        <w:snapToGrid w:val="0"/>
        <w:spacing w:before="0" w:after="0" w:line="400" w:lineRule="exact"/>
        <w:ind w:firstLine="480" w:firstLineChars="200"/>
        <w:rPr>
          <w:rFonts w:hint="eastAsia" w:ascii="微软雅黑" w:hAnsi="微软雅黑" w:eastAsia="微软雅黑" w:cs="微软雅黑"/>
          <w:color w:val="auto"/>
          <w:sz w:val="24"/>
        </w:rPr>
      </w:pPr>
      <w:bookmarkStart w:id="203" w:name="_Toc4490"/>
      <w:bookmarkStart w:id="204" w:name="_Toc106030897"/>
      <w:bookmarkStart w:id="205" w:name="_Toc21532"/>
      <w:bookmarkStart w:id="206" w:name="_Toc27713"/>
      <w:bookmarkStart w:id="207" w:name="_Toc76462342"/>
      <w:bookmarkStart w:id="208" w:name="_Toc102227321"/>
      <w:bookmarkStart w:id="209" w:name="_Toc342913395"/>
      <w:bookmarkStart w:id="210" w:name="_Toc447"/>
      <w:r>
        <w:rPr>
          <w:rFonts w:hint="eastAsia" w:ascii="微软雅黑" w:hAnsi="微软雅黑" w:eastAsia="微软雅黑" w:cs="微软雅黑"/>
          <w:color w:val="auto"/>
          <w:sz w:val="24"/>
        </w:rPr>
        <w:t>五、成交通知</w:t>
      </w:r>
      <w:bookmarkEnd w:id="203"/>
      <w:bookmarkEnd w:id="204"/>
      <w:bookmarkEnd w:id="205"/>
      <w:bookmarkEnd w:id="206"/>
      <w:bookmarkEnd w:id="207"/>
      <w:bookmarkEnd w:id="208"/>
      <w:bookmarkEnd w:id="209"/>
      <w:bookmarkEnd w:id="210"/>
    </w:p>
    <w:p>
      <w:pPr>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（一）中标人确定后，采购管理处将在重庆医科大学附属儿童医院电子招投标平台（zbb.chcmu-com.cn）上发布成交结果公告，公告内容包括项目名称及</w:t>
      </w:r>
      <w:r>
        <w:rPr>
          <w:rFonts w:hint="eastAsia" w:ascii="微软雅黑" w:hAnsi="微软雅黑" w:eastAsia="微软雅黑" w:cs="微软雅黑"/>
          <w:color w:val="auto"/>
          <w:sz w:val="24"/>
          <w:szCs w:val="24"/>
          <w:lang w:val="en-US" w:eastAsia="zh-CN"/>
        </w:rPr>
        <w:t>中标人</w:t>
      </w:r>
      <w:r>
        <w:rPr>
          <w:rFonts w:hint="eastAsia" w:ascii="微软雅黑" w:hAnsi="微软雅黑" w:eastAsia="微软雅黑" w:cs="微软雅黑"/>
          <w:color w:val="auto"/>
          <w:sz w:val="24"/>
          <w:szCs w:val="24"/>
        </w:rPr>
        <w:t>名称。结果公告发出同时，采购管理处将平台内发出《中标通知书》。</w:t>
      </w:r>
    </w:p>
    <w:p>
      <w:pPr>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（二）《中标通知书》将作为签订合同的依据。</w:t>
      </w:r>
    </w:p>
    <w:p>
      <w:pPr>
        <w:pStyle w:val="4"/>
        <w:adjustRightInd w:val="0"/>
        <w:snapToGrid w:val="0"/>
        <w:spacing w:before="0" w:after="0" w:line="400" w:lineRule="exact"/>
        <w:ind w:firstLine="480" w:firstLineChars="200"/>
        <w:rPr>
          <w:rFonts w:hint="eastAsia" w:ascii="微软雅黑" w:hAnsi="微软雅黑" w:eastAsia="微软雅黑" w:cs="微软雅黑"/>
          <w:color w:val="auto"/>
          <w:sz w:val="24"/>
        </w:rPr>
      </w:pPr>
      <w:bookmarkStart w:id="211" w:name="_Toc696"/>
      <w:bookmarkStart w:id="212" w:name="_Toc106030898"/>
      <w:bookmarkStart w:id="213" w:name="_Toc76462343"/>
      <w:bookmarkStart w:id="214" w:name="_Toc15948"/>
      <w:bookmarkStart w:id="215" w:name="_Toc21448"/>
      <w:bookmarkStart w:id="216" w:name="_Toc18266"/>
      <w:r>
        <w:rPr>
          <w:rFonts w:hint="eastAsia" w:ascii="微软雅黑" w:hAnsi="微软雅黑" w:eastAsia="微软雅黑" w:cs="微软雅黑"/>
          <w:color w:val="auto"/>
          <w:sz w:val="24"/>
        </w:rPr>
        <w:t>六、质疑处理</w:t>
      </w:r>
      <w:bookmarkEnd w:id="211"/>
      <w:bookmarkEnd w:id="212"/>
      <w:bookmarkEnd w:id="213"/>
      <w:bookmarkEnd w:id="214"/>
      <w:bookmarkEnd w:id="215"/>
      <w:bookmarkEnd w:id="216"/>
    </w:p>
    <w:p>
      <w:pPr>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投标人认为采购文件、采购过程和成交结果使自己的权益收到伤害的，可向采购人以书面形式提出质疑。</w:t>
      </w:r>
    </w:p>
    <w:p>
      <w:pPr>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 xml:space="preserve">提出质疑的应当是参与所质疑项目采购活动的投标人。 </w:t>
      </w:r>
    </w:p>
    <w:p>
      <w:pPr>
        <w:spacing w:line="400" w:lineRule="exact"/>
        <w:ind w:right="12" w:firstLine="480"/>
        <w:outlineLvl w:val="2"/>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（一）质疑时限、内容</w:t>
      </w:r>
    </w:p>
    <w:p>
      <w:pPr>
        <w:snapToGrid w:val="0"/>
        <w:spacing w:line="400" w:lineRule="exact"/>
        <w:ind w:firstLine="480" w:firstLineChars="20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1.质疑时限</w:t>
      </w:r>
    </w:p>
    <w:p>
      <w:pPr>
        <w:snapToGrid w:val="0"/>
        <w:spacing w:line="400" w:lineRule="exact"/>
        <w:ind w:firstLine="480" w:firstLineChars="20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1.1对采购文件的质疑。</w:t>
      </w:r>
      <w:r>
        <w:rPr>
          <w:rFonts w:hint="eastAsia" w:ascii="微软雅黑" w:hAnsi="微软雅黑" w:eastAsia="微软雅黑" w:cs="微软雅黑"/>
          <w:color w:val="auto"/>
          <w:sz w:val="24"/>
          <w:szCs w:val="24"/>
        </w:rPr>
        <w:t>投标人如对本比选文件有任何实质性疑问，应当以书面形式向采购人提出质疑，并须将该质疑文件纸质版（须加盖提出质疑单位的公章确认）在投标截止时间之前送达采购人。</w:t>
      </w:r>
    </w:p>
    <w:p>
      <w:pPr>
        <w:spacing w:line="400" w:lineRule="exact"/>
        <w:ind w:right="12" w:firstLine="48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1.2投标人认为采购过程、成交结果使自己的权益受到损害的，可以在知道</w:t>
      </w:r>
      <w:r>
        <w:rPr>
          <w:rFonts w:hint="eastAsia" w:ascii="微软雅黑" w:hAnsi="微软雅黑" w:eastAsia="微软雅黑" w:cs="微软雅黑"/>
          <w:color w:val="auto"/>
          <w:sz w:val="24"/>
          <w:lang w:val="en-US" w:eastAsia="zh-CN"/>
        </w:rPr>
        <w:t>或应当知道</w:t>
      </w:r>
      <w:r>
        <w:rPr>
          <w:rFonts w:hint="eastAsia" w:ascii="微软雅黑" w:hAnsi="微软雅黑" w:eastAsia="微软雅黑" w:cs="微软雅黑"/>
          <w:color w:val="auto"/>
          <w:sz w:val="24"/>
        </w:rPr>
        <w:t>其权益受到损害之日起5个工作日内，以</w:t>
      </w:r>
      <w:r>
        <w:rPr>
          <w:rFonts w:hint="eastAsia" w:ascii="微软雅黑" w:hAnsi="微软雅黑" w:eastAsia="微软雅黑" w:cs="微软雅黑"/>
          <w:color w:val="auto"/>
          <w:sz w:val="24"/>
          <w:lang w:val="en-US" w:eastAsia="zh-CN"/>
        </w:rPr>
        <w:t>提交</w:t>
      </w:r>
      <w:r>
        <w:rPr>
          <w:rFonts w:hint="eastAsia" w:ascii="微软雅黑" w:hAnsi="微软雅黑" w:eastAsia="微软雅黑" w:cs="微软雅黑"/>
          <w:color w:val="auto"/>
          <w:sz w:val="24"/>
          <w:szCs w:val="24"/>
        </w:rPr>
        <w:t>质疑文件纸质版（须加盖提出质疑单位的公章确认）</w:t>
      </w:r>
      <w:r>
        <w:rPr>
          <w:rFonts w:hint="eastAsia" w:ascii="微软雅黑" w:hAnsi="微软雅黑" w:eastAsia="微软雅黑" w:cs="微软雅黑"/>
          <w:color w:val="auto"/>
          <w:sz w:val="24"/>
          <w:szCs w:val="24"/>
          <w:lang w:eastAsia="zh-CN"/>
        </w:rPr>
        <w:t>的</w:t>
      </w:r>
      <w:r>
        <w:rPr>
          <w:rFonts w:hint="eastAsia" w:ascii="微软雅黑" w:hAnsi="微软雅黑" w:eastAsia="微软雅黑" w:cs="微软雅黑"/>
          <w:color w:val="auto"/>
          <w:sz w:val="24"/>
          <w:szCs w:val="24"/>
          <w:lang w:val="en-US" w:eastAsia="zh-CN"/>
        </w:rPr>
        <w:t>形式</w:t>
      </w:r>
      <w:r>
        <w:rPr>
          <w:rFonts w:hint="eastAsia" w:ascii="微软雅黑" w:hAnsi="微软雅黑" w:eastAsia="微软雅黑" w:cs="微软雅黑"/>
          <w:color w:val="auto"/>
          <w:sz w:val="24"/>
        </w:rPr>
        <w:t>向采购人提出质疑。</w:t>
      </w:r>
    </w:p>
    <w:p>
      <w:pPr>
        <w:spacing w:line="400" w:lineRule="exact"/>
        <w:ind w:right="12" w:firstLine="48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2.投标人提出质疑应当提交质疑函和必要的证明材料，质疑函应当包括下列内容：</w:t>
      </w:r>
    </w:p>
    <w:p>
      <w:pPr>
        <w:spacing w:line="400" w:lineRule="exact"/>
        <w:ind w:right="12" w:firstLine="48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2.1投标人的姓名或者名称、地址、邮编、联系人及联系电话；</w:t>
      </w:r>
    </w:p>
    <w:p>
      <w:pPr>
        <w:spacing w:line="400" w:lineRule="exact"/>
        <w:ind w:right="12" w:firstLine="48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2.2质疑项目的名称、项目号以及采购执行编号；</w:t>
      </w:r>
    </w:p>
    <w:p>
      <w:pPr>
        <w:spacing w:line="400" w:lineRule="exact"/>
        <w:ind w:right="12" w:firstLine="48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2.3具体、明确的质疑事项和与质疑事项相关的请求；</w:t>
      </w:r>
    </w:p>
    <w:p>
      <w:pPr>
        <w:spacing w:line="400" w:lineRule="exact"/>
        <w:ind w:right="12" w:firstLine="48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2.4事实依据；</w:t>
      </w:r>
    </w:p>
    <w:p>
      <w:pPr>
        <w:spacing w:line="400" w:lineRule="exact"/>
        <w:ind w:right="12" w:firstLine="48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2.5必要的法律依据；</w:t>
      </w:r>
    </w:p>
    <w:p>
      <w:pPr>
        <w:spacing w:line="400" w:lineRule="exact"/>
        <w:ind w:right="12" w:firstLine="48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2.6提出质疑的日期；</w:t>
      </w:r>
    </w:p>
    <w:p>
      <w:pPr>
        <w:spacing w:line="400" w:lineRule="exact"/>
        <w:ind w:right="12" w:firstLine="48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2.7营业执照（或事业单位法人证书，或个体工商户营业执照或有效的自然人身份证明）复印件；</w:t>
      </w:r>
    </w:p>
    <w:p>
      <w:pPr>
        <w:spacing w:line="400" w:lineRule="exact"/>
        <w:ind w:right="12" w:firstLine="48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2.8法定代表人授权委托书原件、法定代表人身份证复印件和其授权代表的身份证复印件（投标人为自然人的提供自然人身份证复印件）；</w:t>
      </w:r>
    </w:p>
    <w:p>
      <w:pPr>
        <w:spacing w:line="400" w:lineRule="exact"/>
        <w:ind w:right="12" w:firstLine="48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3.投标人为自然人的，质疑函应当由本人签字；投标人为法人或者</w:t>
      </w:r>
      <w:r>
        <w:rPr>
          <w:rFonts w:hint="eastAsia" w:ascii="微软雅黑" w:hAnsi="微软雅黑" w:eastAsia="微软雅黑" w:cs="微软雅黑"/>
          <w:color w:val="auto"/>
          <w:sz w:val="24"/>
          <w:lang w:eastAsia="zh-CN"/>
        </w:rPr>
        <w:t>其他</w:t>
      </w:r>
      <w:r>
        <w:rPr>
          <w:rFonts w:hint="eastAsia" w:ascii="微软雅黑" w:hAnsi="微软雅黑" w:eastAsia="微软雅黑" w:cs="微软雅黑"/>
          <w:color w:val="auto"/>
          <w:sz w:val="24"/>
        </w:rPr>
        <w:t>组织的，质疑函应当由法定代表人、主要负责人，或者其授权代表签字或者盖章，并加盖公章。</w:t>
      </w:r>
    </w:p>
    <w:p>
      <w:pPr>
        <w:spacing w:line="400" w:lineRule="exact"/>
        <w:ind w:right="12" w:firstLine="480"/>
        <w:outlineLvl w:val="2"/>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（二）质疑答复</w:t>
      </w:r>
    </w:p>
    <w:p>
      <w:pPr>
        <w:spacing w:line="400" w:lineRule="exact"/>
        <w:ind w:right="12" w:firstLine="48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采购人应当在收到投标人的书面质疑后7个工作日内作出答复，并以书面形式通知质疑投标人和</w:t>
      </w:r>
      <w:r>
        <w:rPr>
          <w:rFonts w:hint="eastAsia" w:ascii="微软雅黑" w:hAnsi="微软雅黑" w:eastAsia="微软雅黑" w:cs="微软雅黑"/>
          <w:color w:val="auto"/>
          <w:sz w:val="24"/>
          <w:lang w:eastAsia="zh-CN"/>
        </w:rPr>
        <w:t>其他</w:t>
      </w:r>
      <w:r>
        <w:rPr>
          <w:rFonts w:hint="eastAsia" w:ascii="微软雅黑" w:hAnsi="微软雅黑" w:eastAsia="微软雅黑" w:cs="微软雅黑"/>
          <w:color w:val="auto"/>
          <w:sz w:val="24"/>
        </w:rPr>
        <w:t>有关投标人。</w:t>
      </w:r>
    </w:p>
    <w:p>
      <w:pPr>
        <w:spacing w:line="400" w:lineRule="exact"/>
        <w:ind w:right="12" w:firstLine="48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（三）投标人应在质疑期内一次性提出针对同一采购程序环节的质疑。</w:t>
      </w:r>
      <w:bookmarkStart w:id="217" w:name="_Toc76462344"/>
      <w:bookmarkStart w:id="218" w:name="_Toc28334"/>
      <w:bookmarkStart w:id="219" w:name="_Toc106030899"/>
    </w:p>
    <w:p>
      <w:pPr>
        <w:pStyle w:val="4"/>
        <w:numPr>
          <w:ilvl w:val="255"/>
          <w:numId w:val="0"/>
        </w:numPr>
        <w:adjustRightInd w:val="0"/>
        <w:snapToGrid w:val="0"/>
        <w:spacing w:before="0" w:after="0" w:line="400" w:lineRule="exact"/>
        <w:ind w:firstLine="480" w:firstLineChars="200"/>
        <w:rPr>
          <w:rFonts w:hint="eastAsia" w:ascii="微软雅黑" w:hAnsi="微软雅黑" w:eastAsia="微软雅黑" w:cs="微软雅黑"/>
          <w:color w:val="auto"/>
          <w:sz w:val="24"/>
        </w:rPr>
      </w:pPr>
      <w:bookmarkStart w:id="220" w:name="_Toc23339"/>
      <w:bookmarkStart w:id="221" w:name="_Toc6926"/>
      <w:bookmarkStart w:id="222" w:name="_Toc7473"/>
      <w:r>
        <w:rPr>
          <w:rFonts w:hint="eastAsia" w:ascii="微软雅黑" w:hAnsi="微软雅黑" w:eastAsia="微软雅黑" w:cs="微软雅黑"/>
          <w:color w:val="auto"/>
          <w:sz w:val="24"/>
        </w:rPr>
        <w:t>七、</w:t>
      </w:r>
      <w:bookmarkEnd w:id="217"/>
      <w:bookmarkEnd w:id="218"/>
      <w:bookmarkEnd w:id="219"/>
      <w:bookmarkStart w:id="223" w:name="_Toc102227322"/>
      <w:bookmarkStart w:id="224" w:name="_Toc76462346"/>
      <w:bookmarkStart w:id="225" w:name="_Toc342913396"/>
      <w:bookmarkStart w:id="226" w:name="_Toc106030901"/>
      <w:bookmarkStart w:id="227" w:name="_Toc3372"/>
      <w:bookmarkStart w:id="228" w:name="_Toc11641055"/>
      <w:bookmarkStart w:id="229" w:name="_Toc12789059"/>
      <w:r>
        <w:rPr>
          <w:rFonts w:hint="eastAsia" w:ascii="微软雅黑" w:hAnsi="微软雅黑" w:eastAsia="微软雅黑" w:cs="微软雅黑"/>
          <w:color w:val="auto"/>
          <w:sz w:val="24"/>
        </w:rPr>
        <w:t>签订</w:t>
      </w:r>
      <w:bookmarkEnd w:id="223"/>
      <w:r>
        <w:rPr>
          <w:rFonts w:hint="eastAsia" w:ascii="微软雅黑" w:hAnsi="微软雅黑" w:eastAsia="微软雅黑" w:cs="微软雅黑"/>
          <w:color w:val="auto"/>
          <w:sz w:val="24"/>
        </w:rPr>
        <w:t>合同</w:t>
      </w:r>
      <w:bookmarkEnd w:id="220"/>
      <w:bookmarkEnd w:id="221"/>
      <w:bookmarkEnd w:id="222"/>
      <w:bookmarkEnd w:id="224"/>
      <w:bookmarkEnd w:id="225"/>
      <w:bookmarkEnd w:id="226"/>
      <w:bookmarkEnd w:id="227"/>
    </w:p>
    <w:p>
      <w:pPr>
        <w:spacing w:line="400" w:lineRule="exact"/>
        <w:ind w:firstLine="480" w:firstLineChars="20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（一）中标人应于收到中标通知书之日起5个工作日内，按照中标项目的</w:t>
      </w:r>
      <w:r>
        <w:rPr>
          <w:rFonts w:hint="eastAsia" w:ascii="微软雅黑" w:hAnsi="微软雅黑" w:eastAsia="微软雅黑" w:cs="微软雅黑"/>
          <w:color w:val="auto"/>
          <w:sz w:val="24"/>
          <w:lang w:eastAsia="zh-CN"/>
        </w:rPr>
        <w:t>耗材遴选采购</w:t>
      </w:r>
      <w:r>
        <w:rPr>
          <w:rFonts w:hint="eastAsia" w:ascii="微软雅黑" w:hAnsi="微软雅黑" w:eastAsia="微软雅黑" w:cs="微软雅黑"/>
          <w:color w:val="auto"/>
          <w:sz w:val="24"/>
        </w:rPr>
        <w:t>文件与响应文件递交采购合同。</w:t>
      </w:r>
    </w:p>
    <w:p>
      <w:pPr>
        <w:spacing w:line="400" w:lineRule="exact"/>
        <w:ind w:firstLine="360" w:firstLineChars="15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 xml:space="preserve"> （二）中标人未在规定时间内递交合同或放弃中标资格，则采购人将有充分的理由废除授标，将中标人纳入采购人失信投标人名单并扣除</w:t>
      </w:r>
      <w:r>
        <w:rPr>
          <w:rFonts w:hint="eastAsia" w:ascii="微软雅黑" w:hAnsi="微软雅黑" w:eastAsia="微软雅黑" w:cs="微软雅黑"/>
          <w:color w:val="auto"/>
          <w:sz w:val="24"/>
          <w:lang w:val="en-US" w:eastAsia="zh-CN"/>
        </w:rPr>
        <w:t>中标人</w:t>
      </w:r>
      <w:r>
        <w:rPr>
          <w:rFonts w:hint="eastAsia" w:ascii="微软雅黑" w:hAnsi="微软雅黑" w:eastAsia="微软雅黑" w:cs="微软雅黑"/>
          <w:color w:val="auto"/>
          <w:sz w:val="24"/>
        </w:rPr>
        <w:t>项目的履约保证金（如果有），两年之内不得参与采购人任何级别的招标项目。</w:t>
      </w:r>
    </w:p>
    <w:p>
      <w:pPr>
        <w:spacing w:line="400" w:lineRule="exact"/>
        <w:ind w:firstLine="480" w:firstLineChars="20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（三）如采购人因中标人未按时递交合同或放弃中标资格而造成损失，中标人应予以赔偿，同时依法承担相应法律责任。</w:t>
      </w:r>
    </w:p>
    <w:p>
      <w:pPr>
        <w:spacing w:line="400" w:lineRule="exact"/>
        <w:ind w:firstLine="480" w:firstLineChars="200"/>
        <w:jc w:val="left"/>
        <w:rPr>
          <w:rFonts w:hint="eastAsia" w:ascii="微软雅黑" w:hAnsi="微软雅黑" w:eastAsia="微软雅黑" w:cs="微软雅黑"/>
          <w:color w:val="auto"/>
        </w:rPr>
        <w:sectPr>
          <w:footerReference r:id="rId11" w:type="default"/>
          <w:footerReference r:id="rId12" w:type="even"/>
          <w:pgSz w:w="11907" w:h="16840"/>
          <w:pgMar w:top="1134" w:right="1191" w:bottom="1134" w:left="1304" w:header="964" w:footer="992" w:gutter="0"/>
          <w:pgNumType w:fmt="numberInDash"/>
          <w:cols w:space="720" w:num="1"/>
          <w:docGrid w:linePitch="312" w:charSpace="0"/>
        </w:sectPr>
      </w:pPr>
      <w:r>
        <w:rPr>
          <w:rFonts w:hint="eastAsia" w:ascii="微软雅黑" w:hAnsi="微软雅黑" w:eastAsia="微软雅黑" w:cs="微软雅黑"/>
          <w:color w:val="auto"/>
          <w:sz w:val="24"/>
        </w:rPr>
        <w:t>（四）中标人应当按照合同约定履行义务，完成中标项目，不得将中标项目转让(转包)或分包给他人。</w:t>
      </w:r>
      <w:bookmarkEnd w:id="228"/>
      <w:bookmarkEnd w:id="229"/>
    </w:p>
    <w:p>
      <w:pPr>
        <w:pStyle w:val="4"/>
        <w:spacing w:before="200" w:after="200" w:line="240" w:lineRule="auto"/>
        <w:jc w:val="center"/>
        <w:rPr>
          <w:rFonts w:hint="eastAsia" w:ascii="微软雅黑" w:hAnsi="微软雅黑" w:eastAsia="微软雅黑" w:cs="微软雅黑"/>
          <w:color w:val="auto"/>
          <w:sz w:val="44"/>
        </w:rPr>
      </w:pPr>
      <w:bookmarkStart w:id="230" w:name="_Hlt41879464"/>
      <w:bookmarkEnd w:id="230"/>
      <w:bookmarkStart w:id="231" w:name="_Toc28846"/>
      <w:bookmarkStart w:id="232" w:name="_Toc106030905"/>
      <w:bookmarkStart w:id="233" w:name="_Toc76462349"/>
      <w:bookmarkStart w:id="234" w:name="_Toc32648"/>
      <w:bookmarkStart w:id="235" w:name="_Toc31440"/>
      <w:bookmarkStart w:id="236" w:name="_Toc27984"/>
      <w:r>
        <w:rPr>
          <w:rFonts w:hint="eastAsia" w:ascii="微软雅黑" w:hAnsi="微软雅黑" w:eastAsia="微软雅黑" w:cs="微软雅黑"/>
          <w:color w:val="auto"/>
          <w:sz w:val="44"/>
        </w:rPr>
        <w:t>第五篇  响应文件编制要求</w:t>
      </w:r>
      <w:bookmarkEnd w:id="231"/>
      <w:bookmarkEnd w:id="232"/>
      <w:bookmarkEnd w:id="233"/>
      <w:bookmarkEnd w:id="234"/>
      <w:bookmarkEnd w:id="235"/>
      <w:bookmarkEnd w:id="236"/>
    </w:p>
    <w:p>
      <w:pPr>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一、经济部分</w:t>
      </w:r>
    </w:p>
    <w:p>
      <w:pPr>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（一）耗材专用报价表</w:t>
      </w:r>
    </w:p>
    <w:p>
      <w:pPr>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（二）开标现场最终报价表</w:t>
      </w:r>
    </w:p>
    <w:p>
      <w:pPr>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二、技术部分</w:t>
      </w:r>
    </w:p>
    <w:p>
      <w:pPr>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（一）技术响应偏离表</w:t>
      </w:r>
    </w:p>
    <w:p>
      <w:pPr>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（二）技术响应证明材料</w:t>
      </w:r>
    </w:p>
    <w:p>
      <w:pPr>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三、商务部分</w:t>
      </w:r>
    </w:p>
    <w:p>
      <w:pPr>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（一）商务响应偏离表</w:t>
      </w:r>
    </w:p>
    <w:p>
      <w:pPr>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（二）</w:t>
      </w:r>
      <w:r>
        <w:rPr>
          <w:rFonts w:hint="eastAsia" w:ascii="微软雅黑" w:hAnsi="微软雅黑" w:eastAsia="微软雅黑" w:cs="微软雅黑"/>
          <w:color w:val="auto"/>
          <w:sz w:val="24"/>
          <w:szCs w:val="24"/>
          <w:lang w:val="en-US" w:eastAsia="zh-CN"/>
        </w:rPr>
        <w:t>商务</w:t>
      </w:r>
      <w:r>
        <w:rPr>
          <w:rFonts w:hint="eastAsia" w:ascii="微软雅黑" w:hAnsi="微软雅黑" w:eastAsia="微软雅黑" w:cs="微软雅黑"/>
          <w:color w:val="auto"/>
          <w:sz w:val="24"/>
          <w:szCs w:val="24"/>
        </w:rPr>
        <w:t>响应证明材料</w:t>
      </w:r>
    </w:p>
    <w:p>
      <w:pPr>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四、资格条件及其他</w:t>
      </w:r>
    </w:p>
    <w:p>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（一）法人营业执照（副本）或事业单位法人证书（副本）或个体工商户营业执照或有效的自然人身份证明或社会团体法人登记证书复印件</w:t>
      </w:r>
    </w:p>
    <w:p>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（二）法定代表人身份证明书（格式）</w:t>
      </w:r>
    </w:p>
    <w:p>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（三）法定代表人授权委托书（格式）</w:t>
      </w:r>
    </w:p>
    <w:p>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（四）投标函（格式）</w:t>
      </w:r>
    </w:p>
    <w:p>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（五）基本资格条件承诺函（格式）</w:t>
      </w:r>
    </w:p>
    <w:p>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（六）特定资格条件证书或证明文件</w:t>
      </w:r>
    </w:p>
    <w:p>
      <w:pPr>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五、其他资料</w:t>
      </w:r>
    </w:p>
    <w:p>
      <w:pPr>
        <w:snapToGrid w:val="0"/>
        <w:spacing w:line="360" w:lineRule="auto"/>
        <w:rPr>
          <w:rFonts w:hint="eastAsia" w:ascii="微软雅黑" w:hAnsi="微软雅黑" w:eastAsia="微软雅黑" w:cs="微软雅黑"/>
          <w:color w:val="auto"/>
          <w:sz w:val="24"/>
          <w:szCs w:val="24"/>
          <w:bdr w:val="single" w:color="auto" w:sz="4" w:space="0"/>
        </w:rPr>
        <w:sectPr>
          <w:pgSz w:w="11907" w:h="16840"/>
          <w:pgMar w:top="1134" w:right="1191" w:bottom="1134" w:left="1304" w:header="851" w:footer="992" w:gutter="0"/>
          <w:pgNumType w:fmt="numberInDash"/>
          <w:cols w:space="720" w:num="1"/>
          <w:docGrid w:linePitch="380" w:charSpace="-5735"/>
        </w:sectPr>
      </w:pPr>
    </w:p>
    <w:p>
      <w:pPr>
        <w:spacing w:line="360" w:lineRule="auto"/>
        <w:jc w:val="both"/>
        <w:outlineLvl w:val="9"/>
        <w:rPr>
          <w:rFonts w:hint="eastAsia" w:ascii="微软雅黑" w:hAnsi="微软雅黑" w:eastAsia="微软雅黑" w:cs="微软雅黑"/>
          <w:color w:val="auto"/>
        </w:rPr>
      </w:pPr>
    </w:p>
    <w:sectPr>
      <w:headerReference r:id="rId13" w:type="default"/>
      <w:footerReference r:id="rId14" w:type="default"/>
      <w:pgSz w:w="11907" w:h="16840"/>
      <w:pgMar w:top="1134" w:right="1191" w:bottom="1134" w:left="1304" w:header="851" w:footer="992" w:gutter="0"/>
      <w:pgNumType w:fmt="numberInDash"/>
      <w:cols w:space="720" w:num="1"/>
      <w:docGrid w:linePitch="380" w:charSpace="-5735"/>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8"/>
    <w:family w:val="swiss"/>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swiss"/>
    <w:pitch w:val="default"/>
    <w:sig w:usb0="80000287" w:usb1="2ACF3C50" w:usb2="00000016" w:usb3="00000000" w:csb0="0004001F" w:csb1="00000000"/>
  </w:font>
  <w:font w:name="仿宋_GB2312">
    <w:altName w:val="仿宋"/>
    <w:panose1 w:val="00000000000000000000"/>
    <w:charset w:val="86"/>
    <w:family w:val="modern"/>
    <w:pitch w:val="default"/>
    <w:sig w:usb0="00000000" w:usb1="00000000" w:usb2="00000010" w:usb3="00000000" w:csb0="00040000" w:csb1="00000000"/>
  </w:font>
  <w:font w:name="PMingLiU">
    <w:altName w:val="Microsoft JhengHei UI"/>
    <w:panose1 w:val="02010601000101010101"/>
    <w:charset w:val="88"/>
    <w:family w:val="roman"/>
    <w:pitch w:val="default"/>
    <w:sig w:usb0="00000000" w:usb1="00000000" w:usb2="00000016" w:usb3="00000000" w:csb0="00100001" w:csb1="00000000"/>
  </w:font>
  <w:font w:name="_x000B__x000C_">
    <w:altName w:val="Times New Roman"/>
    <w:panose1 w:val="00000000000000000000"/>
    <w:charset w:val="00"/>
    <w:family w:val="roman"/>
    <w:pitch w:val="default"/>
    <w:sig w:usb0="00000000" w:usb1="00000000" w:usb2="00000000" w:usb3="00000000" w:csb0="00000001" w:csb1="00000000"/>
  </w:font>
  <w:font w:name="Arial Narrow">
    <w:altName w:val="Arial"/>
    <w:panose1 w:val="020B0606020202030204"/>
    <w:charset w:val="00"/>
    <w:family w:val="swiss"/>
    <w:pitch w:val="default"/>
    <w:sig w:usb0="00000000" w:usb1="00000000" w:usb2="00000000" w:usb3="00000000" w:csb0="0000009F" w:csb1="00000000"/>
  </w:font>
  <w:font w:name="Tahoma">
    <w:panose1 w:val="020B0604030504040204"/>
    <w:charset w:val="00"/>
    <w:family w:val="swiss"/>
    <w:pitch w:val="default"/>
    <w:sig w:usb0="E1002EFF" w:usb1="C000605B" w:usb2="00000029" w:usb3="00000000" w:csb0="200101FF" w:csb1="20280000"/>
  </w:font>
  <w:font w:name="Verdana">
    <w:panose1 w:val="020B0604030504040204"/>
    <w:charset w:val="00"/>
    <w:family w:val="swiss"/>
    <w:pitch w:val="default"/>
    <w:sig w:usb0="A00006FF" w:usb1="4000205B" w:usb2="00000010" w:usb3="00000000" w:csb0="2000019F" w:csb1="00000000"/>
  </w:font>
  <w:font w:name="文鼎粗黑">
    <w:altName w:val="黑体"/>
    <w:panose1 w:val="00000000000000000000"/>
    <w:charset w:val="86"/>
    <w:family w:val="modern"/>
    <w:pitch w:val="default"/>
    <w:sig w:usb0="00000000" w:usb1="00000000" w:usb2="00000010" w:usb3="00000000" w:csb0="00040000" w:csb1="00000000"/>
  </w:font>
  <w:font w:name="昆仑楷体">
    <w:altName w:val="宋体"/>
    <w:panose1 w:val="00000000000000000000"/>
    <w:charset w:val="86"/>
    <w:family w:val="modern"/>
    <w:pitch w:val="default"/>
    <w:sig w:usb0="00000000" w:usb1="00000000" w:usb2="00000010" w:usb3="00000000" w:csb0="00040000" w:csb1="00000000"/>
  </w:font>
  <w:font w:name="楷体_GB2312">
    <w:altName w:val="楷体"/>
    <w:panose1 w:val="00000000000000000000"/>
    <w:charset w:val="86"/>
    <w:family w:val="modern"/>
    <w:pitch w:val="default"/>
    <w:sig w:usb0="00000000" w:usb1="00000000" w:usb2="00000010" w:usb3="00000000" w:csb0="00040000" w:csb1="00000000"/>
  </w:font>
  <w:font w:name="方正仿宋_GBK">
    <w:panose1 w:val="03000509000000000000"/>
    <w:charset w:val="86"/>
    <w:family w:val="script"/>
    <w:pitch w:val="default"/>
    <w:sig w:usb0="00000001" w:usb1="080E0000" w:usb2="00000000" w:usb3="00000000" w:csb0="00040000" w:csb1="00000000"/>
  </w:font>
  <w:font w:name="仿宋">
    <w:panose1 w:val="02010609060101010101"/>
    <w:charset w:val="86"/>
    <w:family w:val="auto"/>
    <w:pitch w:val="default"/>
    <w:sig w:usb0="800002BF" w:usb1="38CF7CFA" w:usb2="00000016" w:usb3="00000000" w:csb0="00040001" w:csb1="00000000"/>
  </w:font>
  <w:font w:name="Microsoft JhengHei UI">
    <w:panose1 w:val="020B0604030504040204"/>
    <w:charset w:val="88"/>
    <w:family w:val="auto"/>
    <w:pitch w:val="default"/>
    <w:sig w:usb0="000002A7" w:usb1="28CF4400" w:usb2="00000016" w:usb3="00000000" w:csb0="00100009" w:csb1="00000000"/>
  </w:font>
  <w:font w:name="楷体">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6"/>
      <w:framePr w:wrap="around" w:vAnchor="text" w:hAnchor="margin" w:xAlign="center" w:y="1"/>
      <w:jc w:val="center"/>
      <w:rPr>
        <w:rStyle w:val="62"/>
        <w:rFonts w:ascii="宋体"/>
        <w:sz w:val="21"/>
        <w:szCs w:val="21"/>
      </w:rPr>
    </w:pPr>
    <w:r>
      <w:rPr>
        <w:rFonts w:ascii="宋体"/>
        <w:sz w:val="21"/>
        <w:szCs w:val="21"/>
      </w:rPr>
      <w:fldChar w:fldCharType="begin"/>
    </w:r>
    <w:r>
      <w:rPr>
        <w:rStyle w:val="62"/>
        <w:rFonts w:ascii="宋体"/>
        <w:sz w:val="21"/>
        <w:szCs w:val="21"/>
      </w:rPr>
      <w:instrText xml:space="preserve">PAGE  </w:instrText>
    </w:r>
    <w:r>
      <w:rPr>
        <w:rFonts w:ascii="宋体"/>
        <w:sz w:val="21"/>
        <w:szCs w:val="21"/>
      </w:rPr>
      <w:fldChar w:fldCharType="separate"/>
    </w:r>
    <w:r>
      <w:rPr>
        <w:rStyle w:val="62"/>
        <w:rFonts w:ascii="宋体"/>
        <w:sz w:val="21"/>
        <w:szCs w:val="21"/>
      </w:rPr>
      <w:t>- 5 -</w:t>
    </w:r>
    <w:r>
      <w:rPr>
        <w:rFonts w:ascii="宋体"/>
        <w:sz w:val="21"/>
        <w:szCs w:val="21"/>
      </w:rPr>
      <w:fldChar w:fldCharType="end"/>
    </w:r>
  </w:p>
  <w:p>
    <w:pPr>
      <w:pStyle w:val="36"/>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6"/>
      <w:framePr w:wrap="around" w:vAnchor="text" w:hAnchor="margin" w:xAlign="center" w:y="1"/>
      <w:rPr>
        <w:rStyle w:val="62"/>
      </w:rPr>
    </w:pPr>
    <w:r>
      <w:fldChar w:fldCharType="begin"/>
    </w:r>
    <w:r>
      <w:rPr>
        <w:rStyle w:val="62"/>
      </w:rPr>
      <w:instrText xml:space="preserve">PAGE  </w:instrText>
    </w:r>
    <w:r>
      <w:fldChar w:fldCharType="separate"/>
    </w:r>
    <w:r>
      <w:fldChar w:fldCharType="end"/>
    </w:r>
  </w:p>
  <w:p>
    <w:pPr>
      <w:pStyle w:val="36"/>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6"/>
      <w:framePr w:wrap="around" w:vAnchor="text" w:hAnchor="margin" w:xAlign="center" w:y="1"/>
      <w:rPr>
        <w:rStyle w:val="62"/>
      </w:rPr>
    </w:pPr>
  </w:p>
  <w:p>
    <w:pPr>
      <w:pStyle w:val="36"/>
      <w:jc w:val="center"/>
      <w:rPr>
        <w:rFonts w:hint="eastAsia" w:ascii="宋体" w:hAnsi="宋体"/>
        <w:sz w:val="28"/>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6"/>
      <w:ind w:right="360"/>
      <w:jc w:val="center"/>
    </w:pPr>
    <w:r>
      <w:fldChar w:fldCharType="begin"/>
    </w:r>
    <w:r>
      <w:rPr>
        <w:rStyle w:val="62"/>
      </w:rPr>
      <w:instrText xml:space="preserve"> PAGE </w:instrText>
    </w:r>
    <w:r>
      <w:fldChar w:fldCharType="separate"/>
    </w:r>
    <w:r>
      <w:rPr>
        <w:rStyle w:val="62"/>
      </w:rPr>
      <w:t>- 23 -</w:t>
    </w:r>
    <w:r>
      <w:fldChar w:fldCharType="end"/>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6"/>
      <w:framePr w:wrap="around" w:vAnchor="text" w:hAnchor="margin" w:xAlign="right" w:y="1"/>
      <w:rPr>
        <w:rStyle w:val="62"/>
      </w:rPr>
    </w:pPr>
    <w:r>
      <w:fldChar w:fldCharType="begin"/>
    </w:r>
    <w:r>
      <w:rPr>
        <w:rStyle w:val="62"/>
      </w:rPr>
      <w:instrText xml:space="preserve">PAGE  </w:instrText>
    </w:r>
    <w:r>
      <w:fldChar w:fldCharType="separate"/>
    </w:r>
    <w:r>
      <w:rPr>
        <w:rStyle w:val="62"/>
      </w:rPr>
      <w:t>- 4 -</w:t>
    </w:r>
    <w:r>
      <w:fldChar w:fldCharType="end"/>
    </w:r>
  </w:p>
  <w:p>
    <w:pPr>
      <w:pStyle w:val="36"/>
      <w:ind w:right="360"/>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6"/>
      <w:jc w:val="center"/>
      <w:rPr>
        <w:rFonts w:hint="eastAsia" w:ascii="宋体" w:hAnsi="宋体"/>
        <w:sz w:val="21"/>
        <w:szCs w:val="21"/>
      </w:rPr>
    </w:pPr>
    <w:r>
      <w:rPr>
        <w:rFonts w:ascii="宋体" w:hAnsi="宋体"/>
        <w:sz w:val="21"/>
        <w:szCs w:val="21"/>
      </w:rPr>
      <w:fldChar w:fldCharType="begin"/>
    </w:r>
    <w:r>
      <w:rPr>
        <w:rStyle w:val="62"/>
        <w:rFonts w:ascii="宋体" w:hAnsi="宋体"/>
        <w:sz w:val="21"/>
        <w:szCs w:val="21"/>
      </w:rPr>
      <w:instrText xml:space="preserve"> PAGE </w:instrText>
    </w:r>
    <w:r>
      <w:rPr>
        <w:rFonts w:ascii="宋体" w:hAnsi="宋体"/>
        <w:sz w:val="21"/>
        <w:szCs w:val="21"/>
      </w:rPr>
      <w:fldChar w:fldCharType="separate"/>
    </w:r>
    <w:r>
      <w:rPr>
        <w:rStyle w:val="62"/>
        <w:rFonts w:ascii="宋体" w:hAnsi="宋体"/>
        <w:sz w:val="21"/>
        <w:szCs w:val="21"/>
      </w:rPr>
      <w:t>- 11 -</w:t>
    </w:r>
    <w:r>
      <w:rPr>
        <w:rFonts w:ascii="宋体" w:hAnsi="宋体"/>
        <w:sz w:val="21"/>
        <w:szCs w:val="21"/>
      </w:rPr>
      <w:fldChar w:fldCharType="end"/>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6"/>
      <w:jc w:val="center"/>
      <w:rPr>
        <w:rFonts w:hint="eastAsia" w:ascii="宋体" w:hAnsi="宋体"/>
        <w:sz w:val="21"/>
        <w:szCs w:val="21"/>
      </w:rPr>
    </w:pPr>
    <w:r>
      <w:rPr>
        <w:rFonts w:ascii="宋体" w:hAnsi="宋体"/>
        <w:sz w:val="21"/>
        <w:szCs w:val="21"/>
      </w:rPr>
      <w:fldChar w:fldCharType="begin"/>
    </w:r>
    <w:r>
      <w:rPr>
        <w:rStyle w:val="62"/>
        <w:rFonts w:ascii="宋体" w:hAnsi="宋体"/>
        <w:sz w:val="21"/>
        <w:szCs w:val="21"/>
      </w:rPr>
      <w:instrText xml:space="preserve"> PAGE </w:instrText>
    </w:r>
    <w:r>
      <w:rPr>
        <w:rFonts w:ascii="宋体" w:hAnsi="宋体"/>
        <w:sz w:val="21"/>
        <w:szCs w:val="21"/>
      </w:rPr>
      <w:fldChar w:fldCharType="separate"/>
    </w:r>
    <w:r>
      <w:rPr>
        <w:rStyle w:val="62"/>
        <w:rFonts w:ascii="宋体" w:hAnsi="宋体"/>
        <w:sz w:val="21"/>
        <w:szCs w:val="21"/>
      </w:rPr>
      <w:t>- 30 -</w:t>
    </w:r>
    <w:r>
      <w:rPr>
        <w:rFonts w:ascii="宋体" w:hAnsi="宋体"/>
        <w:sz w:val="21"/>
        <w:szCs w:val="21"/>
      </w:rPr>
      <w:fldChar w:fldCharType="end"/>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6"/>
      <w:framePr w:wrap="around" w:vAnchor="text" w:hAnchor="margin" w:xAlign="center" w:y="1"/>
      <w:rPr>
        <w:rStyle w:val="62"/>
      </w:rPr>
    </w:pPr>
    <w:r>
      <w:fldChar w:fldCharType="begin"/>
    </w:r>
    <w:r>
      <w:rPr>
        <w:rStyle w:val="62"/>
      </w:rPr>
      <w:instrText xml:space="preserve">PAGE  </w:instrText>
    </w:r>
    <w:r>
      <w:fldChar w:fldCharType="separate"/>
    </w:r>
    <w:r>
      <w:rPr>
        <w:rStyle w:val="62"/>
      </w:rPr>
      <w:t>- 14 -</w:t>
    </w:r>
    <w:r>
      <w:fldChar w:fldCharType="end"/>
    </w:r>
  </w:p>
  <w:p>
    <w:pPr>
      <w:pStyle w:val="36"/>
      <w:ind w:right="360"/>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6"/>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36"/>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LNJ&#10;WO7QAAAABQEAAA8AAAAAAAAAAQAgAAAAIgAAAGRycy9kb3ducmV2LnhtbFBLAQIUABQAAAAIAIdO&#10;4kBy0PJtKwIAAFUEAAAOAAAAAAAAAAEAIAAAAB8BAABkcnMvZTJvRG9jLnhtbFBLBQYAAAAABgAG&#10;AFkBAAC8BQAAAAA=&#10;">
              <v:fill on="f" focussize="0,0"/>
              <v:stroke on="f" weight="0.5pt"/>
              <v:imagedata o:title=""/>
              <o:lock v:ext="edit" aspectratio="f"/>
              <v:textbox inset="0mm,0mm,0mm,0mm" style="mso-fit-shape-to-text:t;">
                <w:txbxContent>
                  <w:p>
                    <w:pPr>
                      <w:pStyle w:val="36"/>
                    </w:pPr>
                    <w:r>
                      <w:fldChar w:fldCharType="begin"/>
                    </w:r>
                    <w:r>
                      <w:instrText xml:space="preserve"> PAGE  \* MERGEFORMAT </w:instrText>
                    </w:r>
                    <w:r>
                      <w:fldChar w:fldCharType="separate"/>
                    </w:r>
                    <w:r>
                      <w:t>1</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7"/>
      <w:jc w:val="both"/>
      <w:rPr>
        <w:rFonts w:ascii="方正仿宋_GBK" w:eastAsia="方正仿宋_GBK"/>
        <w:sz w:val="21"/>
        <w:szCs w:val="21"/>
      </w:rPr>
    </w:pPr>
    <w:r>
      <w:rPr>
        <w:rFonts w:hint="eastAsia" w:ascii="方正仿宋_GBK" w:eastAsia="方正仿宋_GBK"/>
        <w:sz w:val="21"/>
        <w:szCs w:val="21"/>
      </w:rPr>
      <w:t xml:space="preserve">                                                                        </w:t>
    </w:r>
    <w:r>
      <w:rPr>
        <w:rFonts w:hint="eastAsia" w:ascii="方正仿宋_GBK" w:eastAsia="方正仿宋_GBK"/>
        <w:sz w:val="21"/>
        <w:szCs w:val="21"/>
        <w:lang w:eastAsia="zh-CN"/>
      </w:rPr>
      <w:t>耗材遴选</w:t>
    </w:r>
    <w:r>
      <w:rPr>
        <w:rFonts w:hint="eastAsia" w:ascii="方正仿宋_GBK" w:eastAsia="方正仿宋_GBK"/>
        <w:sz w:val="21"/>
        <w:szCs w:val="21"/>
      </w:rPr>
      <w:t>采购文件</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7"/>
      <w:pBdr>
        <w:bottom w:val="single" w:color="auto" w:sz="4" w:space="0"/>
      </w:pBdr>
    </w:pPr>
    <w:r>
      <w:rPr>
        <w:rFonts w:hint="eastAsia"/>
      </w:rPr>
      <w:t>重庆医科大学附属儿童医院</w:t>
    </w:r>
    <w:r>
      <w:rPr>
        <w:rFonts w:hint="eastAsia"/>
        <w:lang w:val="en-US" w:eastAsia="zh-CN"/>
      </w:rPr>
      <w:t>采购</w:t>
    </w:r>
    <w:r>
      <w:rPr>
        <w:rFonts w:hint="eastAsia"/>
      </w:rPr>
      <w:t>文件</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7"/>
      <w:jc w:val="both"/>
      <w:rPr>
        <w:rFonts w:ascii="方正仿宋_GBK" w:eastAsia="方正仿宋_GBK"/>
        <w:sz w:val="21"/>
        <w:szCs w:val="21"/>
      </w:rPr>
    </w:pPr>
    <w:r>
      <w:rPr>
        <w:rFonts w:hint="eastAsia" w:ascii="方正仿宋_GBK" w:eastAsia="方正仿宋_GBK"/>
        <w:sz w:val="21"/>
        <w:szCs w:val="21"/>
      </w:rPr>
      <w:t xml:space="preserve">                                                                         </w:t>
    </w:r>
    <w:r>
      <w:rPr>
        <w:rFonts w:hint="eastAsia" w:ascii="方正仿宋_GBK" w:eastAsia="方正仿宋_GBK"/>
        <w:sz w:val="21"/>
        <w:szCs w:val="21"/>
        <w:lang w:eastAsia="zh-CN"/>
      </w:rPr>
      <w:t>耗材遴选</w:t>
    </w:r>
    <w:r>
      <w:rPr>
        <w:rFonts w:hint="eastAsia" w:ascii="方正仿宋_GBK" w:eastAsia="方正仿宋_GBK"/>
        <w:sz w:val="21"/>
        <w:szCs w:val="21"/>
      </w:rPr>
      <w:t>采购文件</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9"/>
    <w:multiLevelType w:val="multilevel"/>
    <w:tmpl w:val="00000009"/>
    <w:lvl w:ilvl="0" w:tentative="0">
      <w:start w:val="1"/>
      <w:numFmt w:val="upperLetter"/>
      <w:pStyle w:val="124"/>
      <w:suff w:val="nothing"/>
      <w:lvlText w:val="附　录　%1"/>
      <w:lvlJc w:val="left"/>
      <w:pPr>
        <w:ind w:left="0" w:firstLine="0"/>
      </w:pPr>
      <w:rPr>
        <w:rFonts w:hint="eastAsia" w:ascii="黑体" w:hAnsi="Times New Roman" w:eastAsia="黑体"/>
        <w:b w:val="0"/>
        <w:i w:val="0"/>
        <w:sz w:val="21"/>
      </w:rPr>
    </w:lvl>
    <w:lvl w:ilvl="1" w:tentative="0">
      <w:start w:val="1"/>
      <w:numFmt w:val="decimal"/>
      <w:pStyle w:val="117"/>
      <w:suff w:val="nothing"/>
      <w:lvlText w:val="%1.%2　"/>
      <w:lvlJc w:val="left"/>
      <w:pPr>
        <w:ind w:left="210" w:firstLine="0"/>
      </w:pPr>
      <w:rPr>
        <w:rFonts w:hint="eastAsia" w:ascii="黑体" w:hAnsi="Times New Roman" w:eastAsia="黑体"/>
        <w:b w:val="0"/>
        <w:i w:val="0"/>
        <w:snapToGrid/>
        <w:spacing w:val="0"/>
        <w:w w:val="100"/>
        <w:kern w:val="21"/>
        <w:sz w:val="21"/>
      </w:rPr>
    </w:lvl>
    <w:lvl w:ilvl="2" w:tentative="0">
      <w:start w:val="1"/>
      <w:numFmt w:val="decimal"/>
      <w:suff w:val="nothing"/>
      <w:lvlText w:val="%1.%2.%3　"/>
      <w:lvlJc w:val="left"/>
      <w:pPr>
        <w:ind w:left="0" w:firstLine="0"/>
      </w:pPr>
      <w:rPr>
        <w:rFonts w:hint="eastAsia" w:ascii="黑体" w:hAnsi="Times New Roman" w:eastAsia="黑体"/>
        <w:b w:val="0"/>
        <w:i w:val="0"/>
        <w:sz w:val="21"/>
      </w:rPr>
    </w:lvl>
    <w:lvl w:ilvl="3" w:tentative="0">
      <w:start w:val="1"/>
      <w:numFmt w:val="decimal"/>
      <w:suff w:val="nothing"/>
      <w:lvlText w:val="%1.%2.%3.%4　"/>
      <w:lvlJc w:val="left"/>
      <w:pPr>
        <w:ind w:left="0" w:firstLine="0"/>
      </w:pPr>
      <w:rPr>
        <w:rFonts w:hint="eastAsia" w:ascii="黑体" w:hAnsi="Times New Roman" w:eastAsia="黑体"/>
        <w:b w:val="0"/>
        <w:i w:val="0"/>
        <w:sz w:val="21"/>
      </w:rPr>
    </w:lvl>
    <w:lvl w:ilvl="4" w:tentative="0">
      <w:start w:val="1"/>
      <w:numFmt w:val="decimal"/>
      <w:suff w:val="nothing"/>
      <w:lvlText w:val="%1.%2.%3.%4.%5　"/>
      <w:lvlJc w:val="left"/>
      <w:pPr>
        <w:ind w:left="0" w:firstLine="0"/>
      </w:pPr>
      <w:rPr>
        <w:rFonts w:hint="eastAsia" w:ascii="黑体" w:hAnsi="Times New Roman" w:eastAsia="黑体"/>
        <w:b w:val="0"/>
        <w:i w:val="0"/>
        <w:sz w:val="21"/>
      </w:rPr>
    </w:lvl>
    <w:lvl w:ilvl="5" w:tentative="0">
      <w:start w:val="1"/>
      <w:numFmt w:val="decimal"/>
      <w:suff w:val="nothing"/>
      <w:lvlText w:val="%1.%2.%3.%4.%5.%6　"/>
      <w:lvlJc w:val="left"/>
      <w:pPr>
        <w:ind w:left="0" w:firstLine="0"/>
      </w:pPr>
      <w:rPr>
        <w:rFonts w:hint="eastAsia" w:ascii="黑体" w:hAnsi="Times New Roman" w:eastAsia="黑体"/>
        <w:b w:val="0"/>
        <w:i w:val="0"/>
        <w:sz w:val="21"/>
      </w:rPr>
    </w:lvl>
    <w:lvl w:ilvl="6" w:tentative="0">
      <w:start w:val="1"/>
      <w:numFmt w:val="decimal"/>
      <w:suff w:val="nothing"/>
      <w:lvlText w:val="%1.%2.%3.%4.%5.%6.%7　"/>
      <w:lvlJc w:val="left"/>
      <w:pPr>
        <w:ind w:left="0" w:firstLine="0"/>
      </w:pPr>
      <w:rPr>
        <w:rFonts w:hint="eastAsia" w:ascii="黑体" w:hAnsi="Times New Roman" w:eastAsia="黑体"/>
        <w:b w:val="0"/>
        <w:i w:val="0"/>
        <w:sz w:val="21"/>
      </w:rPr>
    </w:lvl>
    <w:lvl w:ilvl="7" w:tentative="0">
      <w:start w:val="1"/>
      <w:numFmt w:val="decimal"/>
      <w:lvlText w:val="%1.%2.%3.%4.%5.%6.%7.%8"/>
      <w:lvlJc w:val="left"/>
      <w:pPr>
        <w:tabs>
          <w:tab w:val="left" w:pos="4394"/>
        </w:tabs>
        <w:ind w:left="4394" w:hanging="1418"/>
      </w:pPr>
      <w:rPr>
        <w:rFonts w:hint="eastAsia"/>
      </w:rPr>
    </w:lvl>
    <w:lvl w:ilvl="8" w:tentative="0">
      <w:start w:val="1"/>
      <w:numFmt w:val="decimal"/>
      <w:lvlText w:val="%1.%2.%3.%4.%5.%6.%7.%8.%9"/>
      <w:lvlJc w:val="left"/>
      <w:pPr>
        <w:tabs>
          <w:tab w:val="left" w:pos="5102"/>
        </w:tabs>
        <w:ind w:left="5102" w:hanging="1700"/>
      </w:pPr>
      <w:rPr>
        <w:rFonts w:hint="eastAsia"/>
      </w:rPr>
    </w:lvl>
  </w:abstractNum>
  <w:abstractNum w:abstractNumId="1">
    <w:nsid w:val="0000000A"/>
    <w:multiLevelType w:val="multilevel"/>
    <w:tmpl w:val="0000000A"/>
    <w:lvl w:ilvl="0" w:tentative="0">
      <w:start w:val="1"/>
      <w:numFmt w:val="bullet"/>
      <w:pStyle w:val="150"/>
      <w:lvlText w:val=""/>
      <w:lvlJc w:val="left"/>
      <w:pPr>
        <w:tabs>
          <w:tab w:val="left" w:pos="987"/>
        </w:tabs>
        <w:ind w:left="987" w:hanging="420"/>
      </w:pPr>
      <w:rPr>
        <w:rFonts w:hint="default" w:ascii="Wingdings" w:hAnsi="Wingdings"/>
      </w:rPr>
    </w:lvl>
    <w:lvl w:ilvl="1" w:tentative="0">
      <w:start w:val="1"/>
      <w:numFmt w:val="lowerLetter"/>
      <w:lvlText w:val="%2)"/>
      <w:lvlJc w:val="left"/>
      <w:pPr>
        <w:tabs>
          <w:tab w:val="left" w:pos="840"/>
        </w:tabs>
        <w:ind w:left="840" w:hanging="420"/>
      </w:pPr>
    </w:lvl>
    <w:lvl w:ilvl="2" w:tentative="0">
      <w:start w:val="1"/>
      <w:numFmt w:val="decimal"/>
      <w:lvlText w:val="%3、"/>
      <w:lvlJc w:val="left"/>
      <w:pPr>
        <w:tabs>
          <w:tab w:val="left" w:pos="1200"/>
        </w:tabs>
        <w:ind w:left="1200" w:hanging="360"/>
      </w:pPr>
      <w:rPr>
        <w:rFonts w:hint="eastAsia"/>
      </w:rPr>
    </w:lvl>
    <w:lvl w:ilvl="3" w:tentative="0">
      <w:start w:val="1"/>
      <w:numFmt w:val="bullet"/>
      <w:lvlText w:val=""/>
      <w:lvlJc w:val="left"/>
      <w:pPr>
        <w:tabs>
          <w:tab w:val="left" w:pos="1680"/>
        </w:tabs>
        <w:ind w:left="1680" w:hanging="420"/>
      </w:pPr>
      <w:rPr>
        <w:rFonts w:hint="default" w:ascii="Wingdings" w:hAnsi="Wingdings"/>
      </w:r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2">
    <w:nsid w:val="0000000B"/>
    <w:multiLevelType w:val="singleLevel"/>
    <w:tmpl w:val="0000000B"/>
    <w:lvl w:ilvl="0" w:tentative="0">
      <w:start w:val="1"/>
      <w:numFmt w:val="bullet"/>
      <w:pStyle w:val="173"/>
      <w:lvlText w:val=""/>
      <w:lvlJc w:val="left"/>
      <w:pPr>
        <w:tabs>
          <w:tab w:val="left" w:pos="360"/>
        </w:tabs>
        <w:ind w:left="360" w:hanging="360"/>
      </w:pPr>
      <w:rPr>
        <w:rFonts w:hint="default" w:ascii="Wingdings" w:hAnsi="Wingdings"/>
      </w:rPr>
    </w:lvl>
  </w:abstractNum>
  <w:abstractNum w:abstractNumId="3">
    <w:nsid w:val="0000000D"/>
    <w:multiLevelType w:val="singleLevel"/>
    <w:tmpl w:val="0000000D"/>
    <w:lvl w:ilvl="0" w:tentative="0">
      <w:start w:val="1"/>
      <w:numFmt w:val="bullet"/>
      <w:pStyle w:val="22"/>
      <w:lvlText w:val=""/>
      <w:lvlJc w:val="left"/>
      <w:pPr>
        <w:tabs>
          <w:tab w:val="left" w:pos="1200"/>
        </w:tabs>
        <w:ind w:left="1200" w:hanging="360"/>
      </w:pPr>
      <w:rPr>
        <w:rFonts w:hint="default" w:ascii="Wingdings" w:hAnsi="Wingdings"/>
      </w:rPr>
    </w:lvl>
  </w:abstractNum>
  <w:abstractNum w:abstractNumId="4">
    <w:nsid w:val="0000000E"/>
    <w:multiLevelType w:val="multilevel"/>
    <w:tmpl w:val="0000000E"/>
    <w:lvl w:ilvl="0" w:tentative="0">
      <w:start w:val="1"/>
      <w:numFmt w:val="bullet"/>
      <w:pStyle w:val="206"/>
      <w:lvlText w:val=""/>
      <w:lvlJc w:val="left"/>
      <w:pPr>
        <w:tabs>
          <w:tab w:val="left" w:pos="540"/>
        </w:tabs>
        <w:ind w:left="540" w:firstLine="0"/>
      </w:pPr>
      <w:rPr>
        <w:rFonts w:hint="default" w:ascii="Wingdings" w:hAnsi="Wingdings"/>
        <w:sz w:val="16"/>
      </w:rPr>
    </w:lvl>
    <w:lvl w:ilvl="1" w:tentative="0">
      <w:start w:val="1"/>
      <w:numFmt w:val="bullet"/>
      <w:lvlText w:val=""/>
      <w:lvlJc w:val="left"/>
      <w:pPr>
        <w:tabs>
          <w:tab w:val="left" w:pos="1940"/>
        </w:tabs>
        <w:ind w:left="1940" w:hanging="420"/>
      </w:pPr>
      <w:rPr>
        <w:rFonts w:hint="default" w:ascii="Wingdings" w:hAnsi="Wingdings"/>
      </w:rPr>
    </w:lvl>
    <w:lvl w:ilvl="2" w:tentative="0">
      <w:start w:val="1"/>
      <w:numFmt w:val="bullet"/>
      <w:lvlText w:val=""/>
      <w:lvlJc w:val="left"/>
      <w:pPr>
        <w:tabs>
          <w:tab w:val="left" w:pos="2360"/>
        </w:tabs>
        <w:ind w:left="2360" w:hanging="420"/>
      </w:pPr>
      <w:rPr>
        <w:rFonts w:hint="default" w:ascii="Wingdings" w:hAnsi="Wingdings"/>
      </w:rPr>
    </w:lvl>
    <w:lvl w:ilvl="3" w:tentative="0">
      <w:start w:val="1"/>
      <w:numFmt w:val="bullet"/>
      <w:lvlText w:val=""/>
      <w:lvlJc w:val="left"/>
      <w:pPr>
        <w:tabs>
          <w:tab w:val="left" w:pos="2780"/>
        </w:tabs>
        <w:ind w:left="2780" w:hanging="420"/>
      </w:pPr>
      <w:rPr>
        <w:rFonts w:hint="default" w:ascii="Wingdings" w:hAnsi="Wingdings"/>
      </w:rPr>
    </w:lvl>
    <w:lvl w:ilvl="4" w:tentative="0">
      <w:start w:val="1"/>
      <w:numFmt w:val="bullet"/>
      <w:lvlText w:val=""/>
      <w:lvlJc w:val="left"/>
      <w:pPr>
        <w:tabs>
          <w:tab w:val="left" w:pos="3200"/>
        </w:tabs>
        <w:ind w:left="3200" w:hanging="420"/>
      </w:pPr>
      <w:rPr>
        <w:rFonts w:hint="default" w:ascii="Wingdings" w:hAnsi="Wingdings"/>
      </w:rPr>
    </w:lvl>
    <w:lvl w:ilvl="5" w:tentative="0">
      <w:start w:val="1"/>
      <w:numFmt w:val="bullet"/>
      <w:lvlText w:val=""/>
      <w:lvlJc w:val="left"/>
      <w:pPr>
        <w:tabs>
          <w:tab w:val="left" w:pos="3620"/>
        </w:tabs>
        <w:ind w:left="3620" w:hanging="420"/>
      </w:pPr>
      <w:rPr>
        <w:rFonts w:hint="default" w:ascii="Wingdings" w:hAnsi="Wingdings"/>
      </w:rPr>
    </w:lvl>
    <w:lvl w:ilvl="6" w:tentative="0">
      <w:start w:val="1"/>
      <w:numFmt w:val="bullet"/>
      <w:lvlText w:val=""/>
      <w:lvlJc w:val="left"/>
      <w:pPr>
        <w:tabs>
          <w:tab w:val="left" w:pos="4040"/>
        </w:tabs>
        <w:ind w:left="4040" w:hanging="420"/>
      </w:pPr>
      <w:rPr>
        <w:rFonts w:hint="default" w:ascii="Wingdings" w:hAnsi="Wingdings"/>
      </w:rPr>
    </w:lvl>
    <w:lvl w:ilvl="7" w:tentative="0">
      <w:start w:val="1"/>
      <w:numFmt w:val="bullet"/>
      <w:lvlText w:val=""/>
      <w:lvlJc w:val="left"/>
      <w:pPr>
        <w:tabs>
          <w:tab w:val="left" w:pos="4460"/>
        </w:tabs>
        <w:ind w:left="4460" w:hanging="420"/>
      </w:pPr>
      <w:rPr>
        <w:rFonts w:hint="default" w:ascii="Wingdings" w:hAnsi="Wingdings"/>
      </w:rPr>
    </w:lvl>
    <w:lvl w:ilvl="8" w:tentative="0">
      <w:start w:val="1"/>
      <w:numFmt w:val="bullet"/>
      <w:lvlText w:val=""/>
      <w:lvlJc w:val="left"/>
      <w:pPr>
        <w:tabs>
          <w:tab w:val="left" w:pos="4880"/>
        </w:tabs>
        <w:ind w:left="4880" w:hanging="420"/>
      </w:pPr>
      <w:rPr>
        <w:rFonts w:hint="default" w:ascii="Wingdings" w:hAnsi="Wingdings"/>
      </w:rPr>
    </w:lvl>
  </w:abstractNum>
  <w:abstractNum w:abstractNumId="5">
    <w:nsid w:val="00000010"/>
    <w:multiLevelType w:val="singleLevel"/>
    <w:tmpl w:val="00000010"/>
    <w:lvl w:ilvl="0" w:tentative="0">
      <w:start w:val="1"/>
      <w:numFmt w:val="bullet"/>
      <w:lvlText w:val=""/>
      <w:lvlJc w:val="left"/>
      <w:pPr>
        <w:tabs>
          <w:tab w:val="left" w:pos="1620"/>
        </w:tabs>
        <w:ind w:left="1620" w:hanging="360"/>
      </w:pPr>
      <w:rPr>
        <w:rFonts w:hint="default" w:ascii="Wingdings" w:hAnsi="Wingdings"/>
      </w:rPr>
    </w:lvl>
  </w:abstractNum>
  <w:abstractNum w:abstractNumId="6">
    <w:nsid w:val="00000011"/>
    <w:multiLevelType w:val="multilevel"/>
    <w:tmpl w:val="00000011"/>
    <w:lvl w:ilvl="0" w:tentative="0">
      <w:start w:val="1"/>
      <w:numFmt w:val="decimal"/>
      <w:pStyle w:val="135"/>
      <w:lvlText w:val="（%1）"/>
      <w:lvlJc w:val="left"/>
      <w:pPr>
        <w:tabs>
          <w:tab w:val="left" w:pos="1230"/>
        </w:tabs>
        <w:ind w:left="0" w:firstLine="510"/>
      </w:pPr>
      <w:rPr>
        <w:rFonts w:hint="default" w:ascii="Arial" w:hAnsi="Arial"/>
        <w:b w:val="0"/>
        <w:i w:val="0"/>
        <w:sz w:val="24"/>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7">
    <w:nsid w:val="00000012"/>
    <w:multiLevelType w:val="multilevel"/>
    <w:tmpl w:val="00000012"/>
    <w:lvl w:ilvl="0" w:tentative="0">
      <w:start w:val="1"/>
      <w:numFmt w:val="bullet"/>
      <w:pStyle w:val="192"/>
      <w:lvlText w:val=""/>
      <w:lvlJc w:val="left"/>
      <w:pPr>
        <w:tabs>
          <w:tab w:val="left" w:pos="1644"/>
        </w:tabs>
        <w:ind w:left="1644" w:hanging="510"/>
      </w:pPr>
      <w:rPr>
        <w:rFonts w:hint="default" w:ascii="Wingdings" w:hAnsi="Wingdings"/>
        <w:color w:val="auto"/>
        <w:sz w:val="13"/>
        <w:u w:val="none"/>
      </w:rPr>
    </w:lvl>
    <w:lvl w:ilvl="1" w:tentative="0">
      <w:start w:val="1"/>
      <w:numFmt w:val="bullet"/>
      <w:lvlText w:val=""/>
      <w:lvlJc w:val="left"/>
      <w:pPr>
        <w:tabs>
          <w:tab w:val="left" w:pos="840"/>
        </w:tabs>
        <w:ind w:left="840" w:hanging="420"/>
      </w:pPr>
      <w:rPr>
        <w:rFonts w:hint="default" w:ascii="Wingdings" w:hAnsi="Wingdings"/>
        <w:color w:val="auto"/>
        <w:sz w:val="13"/>
        <w:u w:val="none"/>
      </w:rPr>
    </w:lvl>
    <w:lvl w:ilvl="2" w:tentative="0">
      <w:start w:val="1"/>
      <w:numFmt w:val="bullet"/>
      <w:lvlText w:val=""/>
      <w:lvlJc w:val="left"/>
      <w:pPr>
        <w:tabs>
          <w:tab w:val="left" w:pos="1260"/>
        </w:tabs>
        <w:ind w:left="1260" w:hanging="420"/>
      </w:pPr>
      <w:rPr>
        <w:rFonts w:hint="default" w:ascii="Wingdings" w:hAnsi="Wingdings"/>
      </w:rPr>
    </w:lvl>
    <w:lvl w:ilvl="3" w:tentative="0">
      <w:start w:val="1"/>
      <w:numFmt w:val="bullet"/>
      <w:lvlText w:val=""/>
      <w:lvlJc w:val="left"/>
      <w:pPr>
        <w:tabs>
          <w:tab w:val="left" w:pos="1680"/>
        </w:tabs>
        <w:ind w:left="1680" w:hanging="420"/>
      </w:pPr>
      <w:rPr>
        <w:rFonts w:hint="default" w:ascii="Wingdings" w:hAnsi="Wingdings"/>
      </w:rPr>
    </w:lvl>
    <w:lvl w:ilvl="4" w:tentative="0">
      <w:start w:val="1"/>
      <w:numFmt w:val="bullet"/>
      <w:lvlText w:val=""/>
      <w:lvlJc w:val="left"/>
      <w:pPr>
        <w:tabs>
          <w:tab w:val="left" w:pos="2100"/>
        </w:tabs>
        <w:ind w:left="2100" w:hanging="420"/>
      </w:pPr>
      <w:rPr>
        <w:rFonts w:hint="default" w:ascii="Wingdings" w:hAnsi="Wingdings"/>
      </w:rPr>
    </w:lvl>
    <w:lvl w:ilvl="5" w:tentative="0">
      <w:start w:val="1"/>
      <w:numFmt w:val="bullet"/>
      <w:lvlText w:val=""/>
      <w:lvlJc w:val="left"/>
      <w:pPr>
        <w:tabs>
          <w:tab w:val="left" w:pos="2520"/>
        </w:tabs>
        <w:ind w:left="2520" w:hanging="420"/>
      </w:pPr>
      <w:rPr>
        <w:rFonts w:hint="default" w:ascii="Wingdings" w:hAnsi="Wingdings"/>
      </w:rPr>
    </w:lvl>
    <w:lvl w:ilvl="6" w:tentative="0">
      <w:start w:val="1"/>
      <w:numFmt w:val="bullet"/>
      <w:lvlText w:val=""/>
      <w:lvlJc w:val="left"/>
      <w:pPr>
        <w:tabs>
          <w:tab w:val="left" w:pos="2940"/>
        </w:tabs>
        <w:ind w:left="2940" w:hanging="420"/>
      </w:pPr>
      <w:rPr>
        <w:rFonts w:hint="default" w:ascii="Wingdings" w:hAnsi="Wingdings"/>
      </w:rPr>
    </w:lvl>
    <w:lvl w:ilvl="7" w:tentative="0">
      <w:start w:val="1"/>
      <w:numFmt w:val="bullet"/>
      <w:lvlText w:val=""/>
      <w:lvlJc w:val="left"/>
      <w:pPr>
        <w:tabs>
          <w:tab w:val="left" w:pos="3360"/>
        </w:tabs>
        <w:ind w:left="3360" w:hanging="420"/>
      </w:pPr>
      <w:rPr>
        <w:rFonts w:hint="default" w:ascii="Wingdings" w:hAnsi="Wingdings"/>
      </w:rPr>
    </w:lvl>
    <w:lvl w:ilvl="8" w:tentative="0">
      <w:start w:val="1"/>
      <w:numFmt w:val="bullet"/>
      <w:lvlText w:val=""/>
      <w:lvlJc w:val="left"/>
      <w:pPr>
        <w:tabs>
          <w:tab w:val="left" w:pos="3780"/>
        </w:tabs>
        <w:ind w:left="3780" w:hanging="420"/>
      </w:pPr>
      <w:rPr>
        <w:rFonts w:hint="default" w:ascii="Wingdings" w:hAnsi="Wingdings"/>
      </w:rPr>
    </w:lvl>
  </w:abstractNum>
  <w:abstractNum w:abstractNumId="8">
    <w:nsid w:val="00000013"/>
    <w:multiLevelType w:val="singleLevel"/>
    <w:tmpl w:val="00000013"/>
    <w:lvl w:ilvl="0" w:tentative="0">
      <w:start w:val="1"/>
      <w:numFmt w:val="decimal"/>
      <w:pStyle w:val="14"/>
      <w:lvlText w:val="%1."/>
      <w:lvlJc w:val="left"/>
      <w:pPr>
        <w:tabs>
          <w:tab w:val="left" w:pos="425"/>
        </w:tabs>
        <w:ind w:left="425" w:hanging="425"/>
      </w:pPr>
      <w:rPr>
        <w:rFonts w:hint="default"/>
      </w:rPr>
    </w:lvl>
  </w:abstractNum>
  <w:abstractNum w:abstractNumId="9">
    <w:nsid w:val="00000014"/>
    <w:multiLevelType w:val="singleLevel"/>
    <w:tmpl w:val="00000014"/>
    <w:lvl w:ilvl="0" w:tentative="0">
      <w:start w:val="1"/>
      <w:numFmt w:val="bullet"/>
      <w:pStyle w:val="27"/>
      <w:lvlText w:val=""/>
      <w:lvlJc w:val="left"/>
      <w:pPr>
        <w:tabs>
          <w:tab w:val="left" w:pos="780"/>
        </w:tabs>
        <w:ind w:left="780" w:hanging="360"/>
      </w:pPr>
      <w:rPr>
        <w:rFonts w:hint="default" w:ascii="Wingdings" w:hAnsi="Wingdings"/>
      </w:rPr>
    </w:lvl>
  </w:abstractNum>
  <w:abstractNum w:abstractNumId="10">
    <w:nsid w:val="00000016"/>
    <w:multiLevelType w:val="singleLevel"/>
    <w:tmpl w:val="00000016"/>
    <w:lvl w:ilvl="0" w:tentative="0">
      <w:start w:val="1"/>
      <w:numFmt w:val="decimal"/>
      <w:pStyle w:val="235"/>
      <w:lvlText w:val="%1)"/>
      <w:lvlJc w:val="left"/>
      <w:pPr>
        <w:tabs>
          <w:tab w:val="left" w:pos="425"/>
        </w:tabs>
        <w:ind w:left="425" w:hanging="425"/>
      </w:pPr>
      <w:rPr>
        <w:rFonts w:hint="eastAsia"/>
      </w:rPr>
    </w:lvl>
  </w:abstractNum>
  <w:abstractNum w:abstractNumId="11">
    <w:nsid w:val="00000017"/>
    <w:multiLevelType w:val="multilevel"/>
    <w:tmpl w:val="00000017"/>
    <w:lvl w:ilvl="0" w:tentative="0">
      <w:start w:val="1"/>
      <w:numFmt w:val="chineseCountingThousand"/>
      <w:pStyle w:val="141"/>
      <w:lvlText w:val="%1、"/>
      <w:lvlJc w:val="left"/>
      <w:pPr>
        <w:tabs>
          <w:tab w:val="left" w:pos="720"/>
        </w:tabs>
        <w:ind w:left="420" w:hanging="420"/>
      </w:pPr>
      <w:rPr>
        <w:rFonts w:hint="eastAsia"/>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12">
    <w:nsid w:val="3EBB3C91"/>
    <w:multiLevelType w:val="multilevel"/>
    <w:tmpl w:val="3EBB3C91"/>
    <w:lvl w:ilvl="0" w:tentative="0">
      <w:start w:val="1"/>
      <w:numFmt w:val="chineseCountingThousand"/>
      <w:suff w:val="space"/>
      <w:lvlText w:val="%1. "/>
      <w:lvlJc w:val="left"/>
      <w:pPr>
        <w:ind w:left="907" w:hanging="907"/>
      </w:pPr>
      <w:rPr>
        <w:rFonts w:hint="eastAsia"/>
      </w:rPr>
    </w:lvl>
    <w:lvl w:ilvl="1" w:tentative="0">
      <w:start w:val="1"/>
      <w:numFmt w:val="decimal"/>
      <w:isLgl/>
      <w:suff w:val="space"/>
      <w:lvlText w:val="%1.%2 "/>
      <w:lvlJc w:val="left"/>
      <w:pPr>
        <w:ind w:left="794" w:hanging="794"/>
      </w:pPr>
    </w:lvl>
    <w:lvl w:ilvl="2" w:tentative="0">
      <w:start w:val="0"/>
      <w:numFmt w:val="none"/>
      <w:lvlText w:val=""/>
      <w:lvlJc w:val="left"/>
      <w:pPr>
        <w:tabs>
          <w:tab w:val="left" w:pos="360"/>
        </w:tabs>
      </w:pPr>
    </w:lvl>
    <w:lvl w:ilvl="3" w:tentative="0">
      <w:start w:val="0"/>
      <w:numFmt w:val="none"/>
      <w:lvlText w:val=""/>
      <w:lvlJc w:val="left"/>
      <w:pPr>
        <w:tabs>
          <w:tab w:val="left" w:pos="360"/>
        </w:tabs>
      </w:pPr>
    </w:lvl>
    <w:lvl w:ilvl="4" w:tentative="0">
      <w:start w:val="0"/>
      <w:numFmt w:val="decimal"/>
      <w:pStyle w:val="69"/>
      <w:lvlText w:val=""/>
      <w:lvlJc w:val="left"/>
    </w:lvl>
    <w:lvl w:ilvl="5" w:tentative="0">
      <w:start w:val="0"/>
      <w:numFmt w:val="decimal"/>
      <w:lvlText w:val=""/>
      <w:lvlJc w:val="left"/>
    </w:lvl>
    <w:lvl w:ilvl="6" w:tentative="0">
      <w:start w:val="0"/>
      <w:numFmt w:val="decimal"/>
      <w:lvlText w:val=""/>
      <w:lvlJc w:val="left"/>
    </w:lvl>
    <w:lvl w:ilvl="7" w:tentative="0">
      <w:start w:val="0"/>
      <w:numFmt w:val="decimal"/>
      <w:lvlText w:val=""/>
      <w:lvlJc w:val="left"/>
    </w:lvl>
    <w:lvl w:ilvl="8" w:tentative="0">
      <w:start w:val="0"/>
      <w:numFmt w:val="decimal"/>
      <w:lvlText w:val=""/>
      <w:lvlJc w:val="left"/>
    </w:lvl>
  </w:abstractNum>
  <w:abstractNum w:abstractNumId="13">
    <w:nsid w:val="592954C3"/>
    <w:multiLevelType w:val="multilevel"/>
    <w:tmpl w:val="592954C3"/>
    <w:lvl w:ilvl="0" w:tentative="0">
      <w:start w:val="1"/>
      <w:numFmt w:val="japaneseCounting"/>
      <w:lvlText w:val="%1、"/>
      <w:lvlJc w:val="left"/>
      <w:pPr>
        <w:ind w:left="1200" w:hanging="720"/>
      </w:pPr>
      <w:rPr>
        <w:rFonts w:hint="default"/>
      </w:rPr>
    </w:lvl>
    <w:lvl w:ilvl="1" w:tentative="0">
      <w:start w:val="1"/>
      <w:numFmt w:val="lowerLetter"/>
      <w:lvlText w:val="%2)"/>
      <w:lvlJc w:val="left"/>
      <w:pPr>
        <w:ind w:left="1360" w:hanging="440"/>
      </w:pPr>
    </w:lvl>
    <w:lvl w:ilvl="2" w:tentative="0">
      <w:start w:val="1"/>
      <w:numFmt w:val="lowerRoman"/>
      <w:lvlText w:val="%3."/>
      <w:lvlJc w:val="right"/>
      <w:pPr>
        <w:ind w:left="1800" w:hanging="440"/>
      </w:pPr>
    </w:lvl>
    <w:lvl w:ilvl="3" w:tentative="0">
      <w:start w:val="1"/>
      <w:numFmt w:val="decimal"/>
      <w:lvlText w:val="%4."/>
      <w:lvlJc w:val="left"/>
      <w:pPr>
        <w:ind w:left="2240" w:hanging="440"/>
      </w:pPr>
    </w:lvl>
    <w:lvl w:ilvl="4" w:tentative="0">
      <w:start w:val="1"/>
      <w:numFmt w:val="lowerLetter"/>
      <w:lvlText w:val="%5)"/>
      <w:lvlJc w:val="left"/>
      <w:pPr>
        <w:ind w:left="2680" w:hanging="440"/>
      </w:pPr>
    </w:lvl>
    <w:lvl w:ilvl="5" w:tentative="0">
      <w:start w:val="1"/>
      <w:numFmt w:val="lowerRoman"/>
      <w:lvlText w:val="%6."/>
      <w:lvlJc w:val="right"/>
      <w:pPr>
        <w:ind w:left="3120" w:hanging="440"/>
      </w:pPr>
    </w:lvl>
    <w:lvl w:ilvl="6" w:tentative="0">
      <w:start w:val="1"/>
      <w:numFmt w:val="decimal"/>
      <w:lvlText w:val="%7."/>
      <w:lvlJc w:val="left"/>
      <w:pPr>
        <w:ind w:left="3560" w:hanging="440"/>
      </w:pPr>
    </w:lvl>
    <w:lvl w:ilvl="7" w:tentative="0">
      <w:start w:val="1"/>
      <w:numFmt w:val="lowerLetter"/>
      <w:lvlText w:val="%8)"/>
      <w:lvlJc w:val="left"/>
      <w:pPr>
        <w:ind w:left="4000" w:hanging="440"/>
      </w:pPr>
    </w:lvl>
    <w:lvl w:ilvl="8" w:tentative="0">
      <w:start w:val="1"/>
      <w:numFmt w:val="lowerRoman"/>
      <w:lvlText w:val="%9."/>
      <w:lvlJc w:val="right"/>
      <w:pPr>
        <w:ind w:left="4440" w:hanging="440"/>
      </w:pPr>
    </w:lvl>
  </w:abstractNum>
  <w:num w:numId="1">
    <w:abstractNumId w:val="8"/>
  </w:num>
  <w:num w:numId="2">
    <w:abstractNumId w:val="3"/>
  </w:num>
  <w:num w:numId="3">
    <w:abstractNumId w:val="9"/>
  </w:num>
  <w:num w:numId="4">
    <w:abstractNumId w:val="12"/>
  </w:num>
  <w:num w:numId="5">
    <w:abstractNumId w:val="0"/>
  </w:num>
  <w:num w:numId="6">
    <w:abstractNumId w:val="6"/>
  </w:num>
  <w:num w:numId="7">
    <w:abstractNumId w:val="11"/>
  </w:num>
  <w:num w:numId="8">
    <w:abstractNumId w:val="1"/>
  </w:num>
  <w:num w:numId="9">
    <w:abstractNumId w:val="2"/>
  </w:num>
  <w:num w:numId="10">
    <w:abstractNumId w:val="5"/>
  </w:num>
  <w:num w:numId="11">
    <w:abstractNumId w:val="7"/>
  </w:num>
  <w:num w:numId="12">
    <w:abstractNumId w:val="4"/>
  </w:num>
  <w:num w:numId="13">
    <w:abstractNumId w:val="10"/>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0"/>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ZjZmOWViNmJjOTMzYjVjMDQ0OWFjZmMzYzViOTI0ODIifQ=="/>
  </w:docVars>
  <w:rsids>
    <w:rsidRoot w:val="00172A27"/>
    <w:rsid w:val="000014C5"/>
    <w:rsid w:val="00002AE4"/>
    <w:rsid w:val="00003626"/>
    <w:rsid w:val="000040DE"/>
    <w:rsid w:val="000070F0"/>
    <w:rsid w:val="000075E8"/>
    <w:rsid w:val="00011B4B"/>
    <w:rsid w:val="00016B79"/>
    <w:rsid w:val="00017816"/>
    <w:rsid w:val="00032ACA"/>
    <w:rsid w:val="0003632F"/>
    <w:rsid w:val="00042D29"/>
    <w:rsid w:val="00043835"/>
    <w:rsid w:val="0004739C"/>
    <w:rsid w:val="00051E02"/>
    <w:rsid w:val="000523C9"/>
    <w:rsid w:val="0005298B"/>
    <w:rsid w:val="0005417C"/>
    <w:rsid w:val="000576E1"/>
    <w:rsid w:val="00061A7C"/>
    <w:rsid w:val="00063981"/>
    <w:rsid w:val="00074C38"/>
    <w:rsid w:val="000816AD"/>
    <w:rsid w:val="00082CC1"/>
    <w:rsid w:val="00090C5A"/>
    <w:rsid w:val="00091B1C"/>
    <w:rsid w:val="00091D22"/>
    <w:rsid w:val="000A164E"/>
    <w:rsid w:val="000A3057"/>
    <w:rsid w:val="000B1068"/>
    <w:rsid w:val="000B3002"/>
    <w:rsid w:val="000B42F4"/>
    <w:rsid w:val="000B7377"/>
    <w:rsid w:val="000B7F54"/>
    <w:rsid w:val="000C08C1"/>
    <w:rsid w:val="000C1E0E"/>
    <w:rsid w:val="000C20E6"/>
    <w:rsid w:val="000C2C03"/>
    <w:rsid w:val="000C6D64"/>
    <w:rsid w:val="000C6D89"/>
    <w:rsid w:val="000D305D"/>
    <w:rsid w:val="000D776F"/>
    <w:rsid w:val="000E01C9"/>
    <w:rsid w:val="000E0DD7"/>
    <w:rsid w:val="000E3259"/>
    <w:rsid w:val="000E4835"/>
    <w:rsid w:val="000E5AB0"/>
    <w:rsid w:val="000F302A"/>
    <w:rsid w:val="000F3D5B"/>
    <w:rsid w:val="000F64D7"/>
    <w:rsid w:val="000F7DBF"/>
    <w:rsid w:val="0010014A"/>
    <w:rsid w:val="00100639"/>
    <w:rsid w:val="0010088E"/>
    <w:rsid w:val="001028FD"/>
    <w:rsid w:val="00105638"/>
    <w:rsid w:val="0010716D"/>
    <w:rsid w:val="001140DC"/>
    <w:rsid w:val="00114CFE"/>
    <w:rsid w:val="00115337"/>
    <w:rsid w:val="001166B8"/>
    <w:rsid w:val="0011683E"/>
    <w:rsid w:val="00116856"/>
    <w:rsid w:val="00116C42"/>
    <w:rsid w:val="0011780F"/>
    <w:rsid w:val="00117B26"/>
    <w:rsid w:val="00120259"/>
    <w:rsid w:val="00122F9D"/>
    <w:rsid w:val="001264A8"/>
    <w:rsid w:val="001266BF"/>
    <w:rsid w:val="00133D16"/>
    <w:rsid w:val="00134037"/>
    <w:rsid w:val="001342AC"/>
    <w:rsid w:val="00135BAE"/>
    <w:rsid w:val="00145224"/>
    <w:rsid w:val="00146EC3"/>
    <w:rsid w:val="00147FB4"/>
    <w:rsid w:val="0015011C"/>
    <w:rsid w:val="00150204"/>
    <w:rsid w:val="0015033B"/>
    <w:rsid w:val="00150429"/>
    <w:rsid w:val="001523C5"/>
    <w:rsid w:val="00152B00"/>
    <w:rsid w:val="00152CAD"/>
    <w:rsid w:val="00153556"/>
    <w:rsid w:val="0016265A"/>
    <w:rsid w:val="001641DE"/>
    <w:rsid w:val="00171E05"/>
    <w:rsid w:val="00172A27"/>
    <w:rsid w:val="00180ACB"/>
    <w:rsid w:val="00181A6C"/>
    <w:rsid w:val="00183B60"/>
    <w:rsid w:val="00186623"/>
    <w:rsid w:val="001879FD"/>
    <w:rsid w:val="0019571D"/>
    <w:rsid w:val="001963A2"/>
    <w:rsid w:val="00196465"/>
    <w:rsid w:val="001A1B93"/>
    <w:rsid w:val="001A64A1"/>
    <w:rsid w:val="001A6DCC"/>
    <w:rsid w:val="001A773E"/>
    <w:rsid w:val="001B0396"/>
    <w:rsid w:val="001B1400"/>
    <w:rsid w:val="001B3DBD"/>
    <w:rsid w:val="001B4377"/>
    <w:rsid w:val="001D0DF7"/>
    <w:rsid w:val="001D1038"/>
    <w:rsid w:val="001D2321"/>
    <w:rsid w:val="001D2DCD"/>
    <w:rsid w:val="001D5055"/>
    <w:rsid w:val="001D630C"/>
    <w:rsid w:val="001E1467"/>
    <w:rsid w:val="001E1A2F"/>
    <w:rsid w:val="001E201B"/>
    <w:rsid w:val="001E5CAC"/>
    <w:rsid w:val="001E64A9"/>
    <w:rsid w:val="001E6841"/>
    <w:rsid w:val="001E725F"/>
    <w:rsid w:val="001F1AF5"/>
    <w:rsid w:val="001F1AF7"/>
    <w:rsid w:val="001F4964"/>
    <w:rsid w:val="001F4A96"/>
    <w:rsid w:val="001F7063"/>
    <w:rsid w:val="00202B04"/>
    <w:rsid w:val="00203052"/>
    <w:rsid w:val="00204936"/>
    <w:rsid w:val="002049D5"/>
    <w:rsid w:val="00206AE4"/>
    <w:rsid w:val="002100EE"/>
    <w:rsid w:val="00210168"/>
    <w:rsid w:val="00210ED7"/>
    <w:rsid w:val="00212A06"/>
    <w:rsid w:val="00214E7A"/>
    <w:rsid w:val="00215DEE"/>
    <w:rsid w:val="0021618E"/>
    <w:rsid w:val="0021704D"/>
    <w:rsid w:val="002216C7"/>
    <w:rsid w:val="00222097"/>
    <w:rsid w:val="002227DB"/>
    <w:rsid w:val="00227202"/>
    <w:rsid w:val="00227377"/>
    <w:rsid w:val="00227851"/>
    <w:rsid w:val="002339D3"/>
    <w:rsid w:val="00234257"/>
    <w:rsid w:val="002348E0"/>
    <w:rsid w:val="00254E1A"/>
    <w:rsid w:val="002606E3"/>
    <w:rsid w:val="00262555"/>
    <w:rsid w:val="002643C1"/>
    <w:rsid w:val="00265203"/>
    <w:rsid w:val="00270223"/>
    <w:rsid w:val="0027199E"/>
    <w:rsid w:val="00271D47"/>
    <w:rsid w:val="002721EA"/>
    <w:rsid w:val="002752BA"/>
    <w:rsid w:val="00280E8A"/>
    <w:rsid w:val="00285164"/>
    <w:rsid w:val="002855B0"/>
    <w:rsid w:val="00286959"/>
    <w:rsid w:val="00295FA5"/>
    <w:rsid w:val="00297A6F"/>
    <w:rsid w:val="002A4956"/>
    <w:rsid w:val="002A6710"/>
    <w:rsid w:val="002A7778"/>
    <w:rsid w:val="002B1FDA"/>
    <w:rsid w:val="002B2ACF"/>
    <w:rsid w:val="002B578B"/>
    <w:rsid w:val="002B5ECC"/>
    <w:rsid w:val="002B6D71"/>
    <w:rsid w:val="002B7904"/>
    <w:rsid w:val="002C2507"/>
    <w:rsid w:val="002C2E6E"/>
    <w:rsid w:val="002C3A3D"/>
    <w:rsid w:val="002C7927"/>
    <w:rsid w:val="002D41FF"/>
    <w:rsid w:val="002D608F"/>
    <w:rsid w:val="002D7053"/>
    <w:rsid w:val="002D7208"/>
    <w:rsid w:val="002D7725"/>
    <w:rsid w:val="002E0CC2"/>
    <w:rsid w:val="002E3527"/>
    <w:rsid w:val="002E3824"/>
    <w:rsid w:val="002E78F7"/>
    <w:rsid w:val="002F031F"/>
    <w:rsid w:val="002F0ED3"/>
    <w:rsid w:val="002F3278"/>
    <w:rsid w:val="002F3DE3"/>
    <w:rsid w:val="002F632E"/>
    <w:rsid w:val="003021BC"/>
    <w:rsid w:val="0030440F"/>
    <w:rsid w:val="00310AF9"/>
    <w:rsid w:val="00310DAA"/>
    <w:rsid w:val="0031465E"/>
    <w:rsid w:val="00315742"/>
    <w:rsid w:val="003163B3"/>
    <w:rsid w:val="003200C6"/>
    <w:rsid w:val="00322A7A"/>
    <w:rsid w:val="00326C5B"/>
    <w:rsid w:val="003336F0"/>
    <w:rsid w:val="0033663D"/>
    <w:rsid w:val="003366D9"/>
    <w:rsid w:val="00340777"/>
    <w:rsid w:val="00341D8A"/>
    <w:rsid w:val="00341DEB"/>
    <w:rsid w:val="00344242"/>
    <w:rsid w:val="00346A3D"/>
    <w:rsid w:val="00350510"/>
    <w:rsid w:val="00350C20"/>
    <w:rsid w:val="003548FA"/>
    <w:rsid w:val="00355643"/>
    <w:rsid w:val="00355A74"/>
    <w:rsid w:val="0035764D"/>
    <w:rsid w:val="00361427"/>
    <w:rsid w:val="00363702"/>
    <w:rsid w:val="0036458B"/>
    <w:rsid w:val="003703E8"/>
    <w:rsid w:val="00371D2F"/>
    <w:rsid w:val="00373122"/>
    <w:rsid w:val="0037612E"/>
    <w:rsid w:val="0038033A"/>
    <w:rsid w:val="003816ED"/>
    <w:rsid w:val="003840E9"/>
    <w:rsid w:val="00384161"/>
    <w:rsid w:val="00387610"/>
    <w:rsid w:val="0039432A"/>
    <w:rsid w:val="003953EA"/>
    <w:rsid w:val="00395C2F"/>
    <w:rsid w:val="003973D3"/>
    <w:rsid w:val="00397F89"/>
    <w:rsid w:val="003A0495"/>
    <w:rsid w:val="003A0892"/>
    <w:rsid w:val="003A3162"/>
    <w:rsid w:val="003A422B"/>
    <w:rsid w:val="003A449E"/>
    <w:rsid w:val="003A71F3"/>
    <w:rsid w:val="003B19F5"/>
    <w:rsid w:val="003D0E0A"/>
    <w:rsid w:val="003D3B22"/>
    <w:rsid w:val="003D7B3D"/>
    <w:rsid w:val="003E0348"/>
    <w:rsid w:val="003F3DB1"/>
    <w:rsid w:val="003F451E"/>
    <w:rsid w:val="003F4939"/>
    <w:rsid w:val="003F626F"/>
    <w:rsid w:val="003F6794"/>
    <w:rsid w:val="00402B32"/>
    <w:rsid w:val="0040519F"/>
    <w:rsid w:val="0040781E"/>
    <w:rsid w:val="00410C93"/>
    <w:rsid w:val="004115FB"/>
    <w:rsid w:val="00411B4A"/>
    <w:rsid w:val="004134DD"/>
    <w:rsid w:val="00417E99"/>
    <w:rsid w:val="00421507"/>
    <w:rsid w:val="00424D02"/>
    <w:rsid w:val="0042525A"/>
    <w:rsid w:val="0042733C"/>
    <w:rsid w:val="0044185A"/>
    <w:rsid w:val="0044193A"/>
    <w:rsid w:val="00453B8F"/>
    <w:rsid w:val="004556B7"/>
    <w:rsid w:val="00456144"/>
    <w:rsid w:val="00460489"/>
    <w:rsid w:val="004608C7"/>
    <w:rsid w:val="00462878"/>
    <w:rsid w:val="0046404F"/>
    <w:rsid w:val="00465B7A"/>
    <w:rsid w:val="00471121"/>
    <w:rsid w:val="00472AA2"/>
    <w:rsid w:val="00473B39"/>
    <w:rsid w:val="00474175"/>
    <w:rsid w:val="00481309"/>
    <w:rsid w:val="004928A2"/>
    <w:rsid w:val="00494610"/>
    <w:rsid w:val="004953EC"/>
    <w:rsid w:val="00497ADD"/>
    <w:rsid w:val="004A0D29"/>
    <w:rsid w:val="004A0DE1"/>
    <w:rsid w:val="004A2410"/>
    <w:rsid w:val="004A27AC"/>
    <w:rsid w:val="004A3995"/>
    <w:rsid w:val="004B3AB3"/>
    <w:rsid w:val="004C1DD0"/>
    <w:rsid w:val="004C2685"/>
    <w:rsid w:val="004C64E4"/>
    <w:rsid w:val="004C6673"/>
    <w:rsid w:val="004D2334"/>
    <w:rsid w:val="004D433D"/>
    <w:rsid w:val="004D4410"/>
    <w:rsid w:val="004E156F"/>
    <w:rsid w:val="004E2F88"/>
    <w:rsid w:val="004E5500"/>
    <w:rsid w:val="004E550E"/>
    <w:rsid w:val="004E55DB"/>
    <w:rsid w:val="004E67C6"/>
    <w:rsid w:val="004F5959"/>
    <w:rsid w:val="004F670C"/>
    <w:rsid w:val="00502B2F"/>
    <w:rsid w:val="00512D00"/>
    <w:rsid w:val="00512D44"/>
    <w:rsid w:val="00514179"/>
    <w:rsid w:val="00516243"/>
    <w:rsid w:val="005164D4"/>
    <w:rsid w:val="005406A0"/>
    <w:rsid w:val="00540E03"/>
    <w:rsid w:val="00541D5F"/>
    <w:rsid w:val="00544BEA"/>
    <w:rsid w:val="005460D5"/>
    <w:rsid w:val="00553CF0"/>
    <w:rsid w:val="00557C75"/>
    <w:rsid w:val="00566A85"/>
    <w:rsid w:val="005709DA"/>
    <w:rsid w:val="00570C78"/>
    <w:rsid w:val="00573AE3"/>
    <w:rsid w:val="00581EF9"/>
    <w:rsid w:val="00583690"/>
    <w:rsid w:val="005902D9"/>
    <w:rsid w:val="0059075F"/>
    <w:rsid w:val="00596AB7"/>
    <w:rsid w:val="005A1B5C"/>
    <w:rsid w:val="005A1EA7"/>
    <w:rsid w:val="005A6A12"/>
    <w:rsid w:val="005B0724"/>
    <w:rsid w:val="005B1E46"/>
    <w:rsid w:val="005B5AA4"/>
    <w:rsid w:val="005C3DB5"/>
    <w:rsid w:val="005C3F4B"/>
    <w:rsid w:val="005C42AC"/>
    <w:rsid w:val="005C4F84"/>
    <w:rsid w:val="005D2EC6"/>
    <w:rsid w:val="005D37D0"/>
    <w:rsid w:val="005D41E8"/>
    <w:rsid w:val="005D703E"/>
    <w:rsid w:val="005E35E9"/>
    <w:rsid w:val="005E5525"/>
    <w:rsid w:val="005F38BB"/>
    <w:rsid w:val="005F7895"/>
    <w:rsid w:val="0060003E"/>
    <w:rsid w:val="00602BBE"/>
    <w:rsid w:val="0060315D"/>
    <w:rsid w:val="00613410"/>
    <w:rsid w:val="00614D04"/>
    <w:rsid w:val="00617986"/>
    <w:rsid w:val="006256CA"/>
    <w:rsid w:val="00627729"/>
    <w:rsid w:val="00627F21"/>
    <w:rsid w:val="0063025A"/>
    <w:rsid w:val="0063604F"/>
    <w:rsid w:val="0064583B"/>
    <w:rsid w:val="006468B8"/>
    <w:rsid w:val="00651127"/>
    <w:rsid w:val="0065190C"/>
    <w:rsid w:val="006542F1"/>
    <w:rsid w:val="00654A48"/>
    <w:rsid w:val="0065651B"/>
    <w:rsid w:val="00664607"/>
    <w:rsid w:val="00665941"/>
    <w:rsid w:val="0066755F"/>
    <w:rsid w:val="00670089"/>
    <w:rsid w:val="00670C89"/>
    <w:rsid w:val="00671233"/>
    <w:rsid w:val="006763DC"/>
    <w:rsid w:val="00680AE4"/>
    <w:rsid w:val="00682205"/>
    <w:rsid w:val="006822B0"/>
    <w:rsid w:val="00684E51"/>
    <w:rsid w:val="0068793C"/>
    <w:rsid w:val="00694288"/>
    <w:rsid w:val="00694F91"/>
    <w:rsid w:val="006A100B"/>
    <w:rsid w:val="006A143A"/>
    <w:rsid w:val="006A3285"/>
    <w:rsid w:val="006A4C56"/>
    <w:rsid w:val="006B0567"/>
    <w:rsid w:val="006B4535"/>
    <w:rsid w:val="006B72DE"/>
    <w:rsid w:val="006B75CB"/>
    <w:rsid w:val="006C5FC1"/>
    <w:rsid w:val="006D44E1"/>
    <w:rsid w:val="006D6350"/>
    <w:rsid w:val="006D6662"/>
    <w:rsid w:val="006E21FA"/>
    <w:rsid w:val="006E477D"/>
    <w:rsid w:val="006E6D5F"/>
    <w:rsid w:val="006F0FB7"/>
    <w:rsid w:val="006F5925"/>
    <w:rsid w:val="006F5E40"/>
    <w:rsid w:val="006F6E4A"/>
    <w:rsid w:val="00704E5D"/>
    <w:rsid w:val="00705739"/>
    <w:rsid w:val="007073D6"/>
    <w:rsid w:val="00710AE5"/>
    <w:rsid w:val="00712E83"/>
    <w:rsid w:val="00712FF5"/>
    <w:rsid w:val="0071464D"/>
    <w:rsid w:val="00714BF1"/>
    <w:rsid w:val="00715FB5"/>
    <w:rsid w:val="00716C50"/>
    <w:rsid w:val="007171A6"/>
    <w:rsid w:val="0071799D"/>
    <w:rsid w:val="00726088"/>
    <w:rsid w:val="00730B6A"/>
    <w:rsid w:val="00731B91"/>
    <w:rsid w:val="00736D88"/>
    <w:rsid w:val="00736DD2"/>
    <w:rsid w:val="00736EE0"/>
    <w:rsid w:val="00746307"/>
    <w:rsid w:val="0074681C"/>
    <w:rsid w:val="00746EC2"/>
    <w:rsid w:val="007504DE"/>
    <w:rsid w:val="00762B70"/>
    <w:rsid w:val="007636FE"/>
    <w:rsid w:val="0077408E"/>
    <w:rsid w:val="00780577"/>
    <w:rsid w:val="00781AD3"/>
    <w:rsid w:val="00781BFB"/>
    <w:rsid w:val="00786FA7"/>
    <w:rsid w:val="0079177C"/>
    <w:rsid w:val="00794382"/>
    <w:rsid w:val="007959AC"/>
    <w:rsid w:val="00796323"/>
    <w:rsid w:val="007A20E0"/>
    <w:rsid w:val="007B2204"/>
    <w:rsid w:val="007B4B60"/>
    <w:rsid w:val="007B7278"/>
    <w:rsid w:val="007C1691"/>
    <w:rsid w:val="007C6B0F"/>
    <w:rsid w:val="007D0625"/>
    <w:rsid w:val="007D7A44"/>
    <w:rsid w:val="007D7E65"/>
    <w:rsid w:val="007E19E0"/>
    <w:rsid w:val="007E517D"/>
    <w:rsid w:val="007E6CF0"/>
    <w:rsid w:val="007F6769"/>
    <w:rsid w:val="008041D4"/>
    <w:rsid w:val="00806938"/>
    <w:rsid w:val="00807818"/>
    <w:rsid w:val="0081156A"/>
    <w:rsid w:val="00827398"/>
    <w:rsid w:val="008275B6"/>
    <w:rsid w:val="0083653E"/>
    <w:rsid w:val="008369DC"/>
    <w:rsid w:val="00842974"/>
    <w:rsid w:val="00842F87"/>
    <w:rsid w:val="00843A88"/>
    <w:rsid w:val="00843D2E"/>
    <w:rsid w:val="0085550A"/>
    <w:rsid w:val="00856181"/>
    <w:rsid w:val="008616EF"/>
    <w:rsid w:val="00863C25"/>
    <w:rsid w:val="008641B7"/>
    <w:rsid w:val="00864D80"/>
    <w:rsid w:val="00864DC1"/>
    <w:rsid w:val="00866C55"/>
    <w:rsid w:val="00870530"/>
    <w:rsid w:val="008705BC"/>
    <w:rsid w:val="00871999"/>
    <w:rsid w:val="00872E27"/>
    <w:rsid w:val="00875A42"/>
    <w:rsid w:val="0088192C"/>
    <w:rsid w:val="008904A8"/>
    <w:rsid w:val="00891D94"/>
    <w:rsid w:val="00896589"/>
    <w:rsid w:val="008A0CEE"/>
    <w:rsid w:val="008A19AF"/>
    <w:rsid w:val="008A20FB"/>
    <w:rsid w:val="008A4D88"/>
    <w:rsid w:val="008C1B22"/>
    <w:rsid w:val="008C4C84"/>
    <w:rsid w:val="008C510F"/>
    <w:rsid w:val="008D067F"/>
    <w:rsid w:val="008D3283"/>
    <w:rsid w:val="008E437B"/>
    <w:rsid w:val="008E4D3F"/>
    <w:rsid w:val="008E66B8"/>
    <w:rsid w:val="008F0A2E"/>
    <w:rsid w:val="008F1988"/>
    <w:rsid w:val="008F2B05"/>
    <w:rsid w:val="008F5E76"/>
    <w:rsid w:val="008F6252"/>
    <w:rsid w:val="009023F3"/>
    <w:rsid w:val="0090383C"/>
    <w:rsid w:val="00905D85"/>
    <w:rsid w:val="00912132"/>
    <w:rsid w:val="00913CAA"/>
    <w:rsid w:val="009226D2"/>
    <w:rsid w:val="00922FAD"/>
    <w:rsid w:val="00924F0A"/>
    <w:rsid w:val="00925082"/>
    <w:rsid w:val="00925726"/>
    <w:rsid w:val="00926904"/>
    <w:rsid w:val="0092708B"/>
    <w:rsid w:val="0093049D"/>
    <w:rsid w:val="00936A01"/>
    <w:rsid w:val="00937713"/>
    <w:rsid w:val="009404E7"/>
    <w:rsid w:val="009409CD"/>
    <w:rsid w:val="0094759E"/>
    <w:rsid w:val="00952C13"/>
    <w:rsid w:val="0095455D"/>
    <w:rsid w:val="00962BF1"/>
    <w:rsid w:val="00963237"/>
    <w:rsid w:val="00966820"/>
    <w:rsid w:val="00971E57"/>
    <w:rsid w:val="009723CF"/>
    <w:rsid w:val="00972F46"/>
    <w:rsid w:val="00973D3A"/>
    <w:rsid w:val="009741DC"/>
    <w:rsid w:val="0097652A"/>
    <w:rsid w:val="00980037"/>
    <w:rsid w:val="00983B43"/>
    <w:rsid w:val="00984742"/>
    <w:rsid w:val="0099161D"/>
    <w:rsid w:val="00991B37"/>
    <w:rsid w:val="009B6208"/>
    <w:rsid w:val="009B71FF"/>
    <w:rsid w:val="009C3034"/>
    <w:rsid w:val="009C4BFF"/>
    <w:rsid w:val="009C7522"/>
    <w:rsid w:val="009D0FDD"/>
    <w:rsid w:val="009D3162"/>
    <w:rsid w:val="009D3181"/>
    <w:rsid w:val="009D7B9B"/>
    <w:rsid w:val="009E067B"/>
    <w:rsid w:val="009E717E"/>
    <w:rsid w:val="009E737D"/>
    <w:rsid w:val="009F18FA"/>
    <w:rsid w:val="00A0197B"/>
    <w:rsid w:val="00A02768"/>
    <w:rsid w:val="00A03977"/>
    <w:rsid w:val="00A06013"/>
    <w:rsid w:val="00A104A7"/>
    <w:rsid w:val="00A12904"/>
    <w:rsid w:val="00A15FBF"/>
    <w:rsid w:val="00A1616D"/>
    <w:rsid w:val="00A1696E"/>
    <w:rsid w:val="00A1783B"/>
    <w:rsid w:val="00A224AC"/>
    <w:rsid w:val="00A26FF7"/>
    <w:rsid w:val="00A27159"/>
    <w:rsid w:val="00A37A20"/>
    <w:rsid w:val="00A445DC"/>
    <w:rsid w:val="00A44BEA"/>
    <w:rsid w:val="00A47C22"/>
    <w:rsid w:val="00A55B14"/>
    <w:rsid w:val="00A5689C"/>
    <w:rsid w:val="00A569E8"/>
    <w:rsid w:val="00A57FAF"/>
    <w:rsid w:val="00A601C4"/>
    <w:rsid w:val="00A61D6E"/>
    <w:rsid w:val="00A70193"/>
    <w:rsid w:val="00A711C6"/>
    <w:rsid w:val="00A730F3"/>
    <w:rsid w:val="00A74B68"/>
    <w:rsid w:val="00A77EE1"/>
    <w:rsid w:val="00A84863"/>
    <w:rsid w:val="00A91750"/>
    <w:rsid w:val="00A95D95"/>
    <w:rsid w:val="00A977EC"/>
    <w:rsid w:val="00AA3FD1"/>
    <w:rsid w:val="00AA52DE"/>
    <w:rsid w:val="00AB11B3"/>
    <w:rsid w:val="00AB1DAF"/>
    <w:rsid w:val="00AB40EF"/>
    <w:rsid w:val="00AB43D9"/>
    <w:rsid w:val="00AB5ED3"/>
    <w:rsid w:val="00AB6B0C"/>
    <w:rsid w:val="00AB70CD"/>
    <w:rsid w:val="00AB7800"/>
    <w:rsid w:val="00AC1860"/>
    <w:rsid w:val="00AC4898"/>
    <w:rsid w:val="00AC48B3"/>
    <w:rsid w:val="00AC7893"/>
    <w:rsid w:val="00AC7AC9"/>
    <w:rsid w:val="00AD1C54"/>
    <w:rsid w:val="00AE1920"/>
    <w:rsid w:val="00AE76F8"/>
    <w:rsid w:val="00AF01B3"/>
    <w:rsid w:val="00AF0F13"/>
    <w:rsid w:val="00AF7992"/>
    <w:rsid w:val="00AF7CDD"/>
    <w:rsid w:val="00B00AB3"/>
    <w:rsid w:val="00B14C52"/>
    <w:rsid w:val="00B200AA"/>
    <w:rsid w:val="00B203A9"/>
    <w:rsid w:val="00B229A5"/>
    <w:rsid w:val="00B2488E"/>
    <w:rsid w:val="00B25EB3"/>
    <w:rsid w:val="00B42056"/>
    <w:rsid w:val="00B478C3"/>
    <w:rsid w:val="00B52715"/>
    <w:rsid w:val="00B61348"/>
    <w:rsid w:val="00B6263F"/>
    <w:rsid w:val="00B67114"/>
    <w:rsid w:val="00B678C7"/>
    <w:rsid w:val="00B70368"/>
    <w:rsid w:val="00B7097C"/>
    <w:rsid w:val="00B72BCC"/>
    <w:rsid w:val="00B75449"/>
    <w:rsid w:val="00B81284"/>
    <w:rsid w:val="00B86DA1"/>
    <w:rsid w:val="00B87401"/>
    <w:rsid w:val="00B96B1E"/>
    <w:rsid w:val="00BA527C"/>
    <w:rsid w:val="00BA5B9C"/>
    <w:rsid w:val="00BA7D51"/>
    <w:rsid w:val="00BA7F31"/>
    <w:rsid w:val="00BB0A64"/>
    <w:rsid w:val="00BB4AD5"/>
    <w:rsid w:val="00BB7494"/>
    <w:rsid w:val="00BB76A5"/>
    <w:rsid w:val="00BC089B"/>
    <w:rsid w:val="00BC183F"/>
    <w:rsid w:val="00BC1C37"/>
    <w:rsid w:val="00BC2390"/>
    <w:rsid w:val="00BC775D"/>
    <w:rsid w:val="00BD0051"/>
    <w:rsid w:val="00BD2939"/>
    <w:rsid w:val="00BD5A75"/>
    <w:rsid w:val="00BD6BF7"/>
    <w:rsid w:val="00BE07A9"/>
    <w:rsid w:val="00BE1700"/>
    <w:rsid w:val="00BE2E36"/>
    <w:rsid w:val="00BE4D8F"/>
    <w:rsid w:val="00BF0A3E"/>
    <w:rsid w:val="00BF26AC"/>
    <w:rsid w:val="00BF46A7"/>
    <w:rsid w:val="00BF5230"/>
    <w:rsid w:val="00BF6DA8"/>
    <w:rsid w:val="00C00289"/>
    <w:rsid w:val="00C1090C"/>
    <w:rsid w:val="00C201FC"/>
    <w:rsid w:val="00C240C8"/>
    <w:rsid w:val="00C249AF"/>
    <w:rsid w:val="00C26513"/>
    <w:rsid w:val="00C328C9"/>
    <w:rsid w:val="00C339ED"/>
    <w:rsid w:val="00C35BA8"/>
    <w:rsid w:val="00C37F72"/>
    <w:rsid w:val="00C40246"/>
    <w:rsid w:val="00C420C1"/>
    <w:rsid w:val="00C43FEE"/>
    <w:rsid w:val="00C45963"/>
    <w:rsid w:val="00C472B8"/>
    <w:rsid w:val="00C50723"/>
    <w:rsid w:val="00C529FD"/>
    <w:rsid w:val="00C53124"/>
    <w:rsid w:val="00C538A9"/>
    <w:rsid w:val="00C53B2E"/>
    <w:rsid w:val="00C6160A"/>
    <w:rsid w:val="00C62B51"/>
    <w:rsid w:val="00C65711"/>
    <w:rsid w:val="00C66460"/>
    <w:rsid w:val="00C76ECD"/>
    <w:rsid w:val="00C8221C"/>
    <w:rsid w:val="00C8356A"/>
    <w:rsid w:val="00C84B63"/>
    <w:rsid w:val="00C84E04"/>
    <w:rsid w:val="00C86DC6"/>
    <w:rsid w:val="00C910BE"/>
    <w:rsid w:val="00C922BE"/>
    <w:rsid w:val="00CA10F9"/>
    <w:rsid w:val="00CA14F4"/>
    <w:rsid w:val="00CA583F"/>
    <w:rsid w:val="00CA5844"/>
    <w:rsid w:val="00CA7415"/>
    <w:rsid w:val="00CB265C"/>
    <w:rsid w:val="00CB2BDD"/>
    <w:rsid w:val="00CB32BC"/>
    <w:rsid w:val="00CB4540"/>
    <w:rsid w:val="00CB4951"/>
    <w:rsid w:val="00CB7A07"/>
    <w:rsid w:val="00CC59BB"/>
    <w:rsid w:val="00CD1B93"/>
    <w:rsid w:val="00CD3BD4"/>
    <w:rsid w:val="00CD3CC8"/>
    <w:rsid w:val="00CD4915"/>
    <w:rsid w:val="00CD60BD"/>
    <w:rsid w:val="00CD635D"/>
    <w:rsid w:val="00CD6DEE"/>
    <w:rsid w:val="00CD7C5B"/>
    <w:rsid w:val="00CD7CED"/>
    <w:rsid w:val="00CE04C7"/>
    <w:rsid w:val="00CE2AC9"/>
    <w:rsid w:val="00CE2AFE"/>
    <w:rsid w:val="00CE7B14"/>
    <w:rsid w:val="00CF156B"/>
    <w:rsid w:val="00CF1E02"/>
    <w:rsid w:val="00CF4BD6"/>
    <w:rsid w:val="00CF597A"/>
    <w:rsid w:val="00D00228"/>
    <w:rsid w:val="00D00DA0"/>
    <w:rsid w:val="00D0103F"/>
    <w:rsid w:val="00D03E34"/>
    <w:rsid w:val="00D05BAA"/>
    <w:rsid w:val="00D07F26"/>
    <w:rsid w:val="00D11A09"/>
    <w:rsid w:val="00D11BCD"/>
    <w:rsid w:val="00D13B7A"/>
    <w:rsid w:val="00D17FD1"/>
    <w:rsid w:val="00D22C4B"/>
    <w:rsid w:val="00D230C7"/>
    <w:rsid w:val="00D23583"/>
    <w:rsid w:val="00D23E7D"/>
    <w:rsid w:val="00D2405F"/>
    <w:rsid w:val="00D26C71"/>
    <w:rsid w:val="00D30C7F"/>
    <w:rsid w:val="00D32DFB"/>
    <w:rsid w:val="00D41421"/>
    <w:rsid w:val="00D41998"/>
    <w:rsid w:val="00D41BA9"/>
    <w:rsid w:val="00D44059"/>
    <w:rsid w:val="00D4511A"/>
    <w:rsid w:val="00D51813"/>
    <w:rsid w:val="00D52376"/>
    <w:rsid w:val="00D53EE6"/>
    <w:rsid w:val="00D612C2"/>
    <w:rsid w:val="00D625A0"/>
    <w:rsid w:val="00D64D38"/>
    <w:rsid w:val="00D745E0"/>
    <w:rsid w:val="00D76AA3"/>
    <w:rsid w:val="00D80604"/>
    <w:rsid w:val="00D86529"/>
    <w:rsid w:val="00D86A86"/>
    <w:rsid w:val="00D8791E"/>
    <w:rsid w:val="00D92438"/>
    <w:rsid w:val="00DA0040"/>
    <w:rsid w:val="00DA086B"/>
    <w:rsid w:val="00DA1D7A"/>
    <w:rsid w:val="00DA5E0A"/>
    <w:rsid w:val="00DA6834"/>
    <w:rsid w:val="00DA7145"/>
    <w:rsid w:val="00DA78D8"/>
    <w:rsid w:val="00DA7E05"/>
    <w:rsid w:val="00DB4794"/>
    <w:rsid w:val="00DB5C3E"/>
    <w:rsid w:val="00DB628E"/>
    <w:rsid w:val="00DC4070"/>
    <w:rsid w:val="00DE1DE6"/>
    <w:rsid w:val="00DE1E39"/>
    <w:rsid w:val="00DE513D"/>
    <w:rsid w:val="00DF235C"/>
    <w:rsid w:val="00DF426D"/>
    <w:rsid w:val="00DF47D6"/>
    <w:rsid w:val="00DF4D5A"/>
    <w:rsid w:val="00DF5425"/>
    <w:rsid w:val="00DF782C"/>
    <w:rsid w:val="00E030A0"/>
    <w:rsid w:val="00E04F16"/>
    <w:rsid w:val="00E075A1"/>
    <w:rsid w:val="00E0797A"/>
    <w:rsid w:val="00E11D5D"/>
    <w:rsid w:val="00E124E3"/>
    <w:rsid w:val="00E12F81"/>
    <w:rsid w:val="00E14812"/>
    <w:rsid w:val="00E15231"/>
    <w:rsid w:val="00E15DDE"/>
    <w:rsid w:val="00E17B19"/>
    <w:rsid w:val="00E2339E"/>
    <w:rsid w:val="00E300BB"/>
    <w:rsid w:val="00E31D0A"/>
    <w:rsid w:val="00E3245B"/>
    <w:rsid w:val="00E32DCD"/>
    <w:rsid w:val="00E32DF0"/>
    <w:rsid w:val="00E3707B"/>
    <w:rsid w:val="00E50685"/>
    <w:rsid w:val="00E545B6"/>
    <w:rsid w:val="00E57F6B"/>
    <w:rsid w:val="00E609CE"/>
    <w:rsid w:val="00E6234F"/>
    <w:rsid w:val="00E67AC7"/>
    <w:rsid w:val="00E7134F"/>
    <w:rsid w:val="00E7342C"/>
    <w:rsid w:val="00E736E9"/>
    <w:rsid w:val="00E76363"/>
    <w:rsid w:val="00E90BE3"/>
    <w:rsid w:val="00E91374"/>
    <w:rsid w:val="00E91D81"/>
    <w:rsid w:val="00E92BC2"/>
    <w:rsid w:val="00EA010E"/>
    <w:rsid w:val="00EA28AB"/>
    <w:rsid w:val="00EA6FBF"/>
    <w:rsid w:val="00EB1E33"/>
    <w:rsid w:val="00EB4DA6"/>
    <w:rsid w:val="00EB7B0A"/>
    <w:rsid w:val="00EC0881"/>
    <w:rsid w:val="00EC74F9"/>
    <w:rsid w:val="00ED13DE"/>
    <w:rsid w:val="00ED1996"/>
    <w:rsid w:val="00ED2843"/>
    <w:rsid w:val="00ED2F55"/>
    <w:rsid w:val="00ED5ED8"/>
    <w:rsid w:val="00EE0C95"/>
    <w:rsid w:val="00EE3A2C"/>
    <w:rsid w:val="00EE3F0F"/>
    <w:rsid w:val="00EF0199"/>
    <w:rsid w:val="00F0263C"/>
    <w:rsid w:val="00F0402A"/>
    <w:rsid w:val="00F07266"/>
    <w:rsid w:val="00F16313"/>
    <w:rsid w:val="00F1700E"/>
    <w:rsid w:val="00F20820"/>
    <w:rsid w:val="00F20FF1"/>
    <w:rsid w:val="00F24317"/>
    <w:rsid w:val="00F27AC7"/>
    <w:rsid w:val="00F32641"/>
    <w:rsid w:val="00F34974"/>
    <w:rsid w:val="00F35457"/>
    <w:rsid w:val="00F3595B"/>
    <w:rsid w:val="00F367F3"/>
    <w:rsid w:val="00F36A26"/>
    <w:rsid w:val="00F41F54"/>
    <w:rsid w:val="00F426A6"/>
    <w:rsid w:val="00F429FD"/>
    <w:rsid w:val="00F45572"/>
    <w:rsid w:val="00F4623C"/>
    <w:rsid w:val="00F46AD7"/>
    <w:rsid w:val="00F56399"/>
    <w:rsid w:val="00F606BB"/>
    <w:rsid w:val="00F70113"/>
    <w:rsid w:val="00F746E3"/>
    <w:rsid w:val="00F76C17"/>
    <w:rsid w:val="00F7709C"/>
    <w:rsid w:val="00F7750A"/>
    <w:rsid w:val="00F80006"/>
    <w:rsid w:val="00F80084"/>
    <w:rsid w:val="00F95676"/>
    <w:rsid w:val="00F96401"/>
    <w:rsid w:val="00F9690B"/>
    <w:rsid w:val="00FA3F8B"/>
    <w:rsid w:val="00FA4498"/>
    <w:rsid w:val="00FA56FF"/>
    <w:rsid w:val="00FA767D"/>
    <w:rsid w:val="00FB693B"/>
    <w:rsid w:val="00FC3C96"/>
    <w:rsid w:val="00FD2470"/>
    <w:rsid w:val="00FD5823"/>
    <w:rsid w:val="00FD7BE0"/>
    <w:rsid w:val="00FE1C27"/>
    <w:rsid w:val="00FE326F"/>
    <w:rsid w:val="00FE5C31"/>
    <w:rsid w:val="00FF0F20"/>
    <w:rsid w:val="00FF1B0E"/>
    <w:rsid w:val="00FF268A"/>
    <w:rsid w:val="00FF748B"/>
    <w:rsid w:val="01475D04"/>
    <w:rsid w:val="026C7369"/>
    <w:rsid w:val="030620E3"/>
    <w:rsid w:val="04590024"/>
    <w:rsid w:val="04EC2E74"/>
    <w:rsid w:val="0501052E"/>
    <w:rsid w:val="05B83278"/>
    <w:rsid w:val="06B845BE"/>
    <w:rsid w:val="079B568B"/>
    <w:rsid w:val="07CC09EB"/>
    <w:rsid w:val="07F103E0"/>
    <w:rsid w:val="08D23DC8"/>
    <w:rsid w:val="092E6FC0"/>
    <w:rsid w:val="0AED6133"/>
    <w:rsid w:val="0BB87E47"/>
    <w:rsid w:val="0CF75B4D"/>
    <w:rsid w:val="0D1F249B"/>
    <w:rsid w:val="0D26388C"/>
    <w:rsid w:val="0D2D45FA"/>
    <w:rsid w:val="0F092757"/>
    <w:rsid w:val="0F4F0F37"/>
    <w:rsid w:val="1009316D"/>
    <w:rsid w:val="14093EF5"/>
    <w:rsid w:val="147A5E14"/>
    <w:rsid w:val="148D1984"/>
    <w:rsid w:val="14D11CFB"/>
    <w:rsid w:val="15935DB5"/>
    <w:rsid w:val="15BB3449"/>
    <w:rsid w:val="171C1EE4"/>
    <w:rsid w:val="17324323"/>
    <w:rsid w:val="17A1211B"/>
    <w:rsid w:val="18ED7A84"/>
    <w:rsid w:val="19255AF5"/>
    <w:rsid w:val="19401112"/>
    <w:rsid w:val="19740A13"/>
    <w:rsid w:val="1A531DF7"/>
    <w:rsid w:val="1A7E6296"/>
    <w:rsid w:val="1E2C5A53"/>
    <w:rsid w:val="1E85149C"/>
    <w:rsid w:val="1EE241F9"/>
    <w:rsid w:val="1F0D01CA"/>
    <w:rsid w:val="21226BB2"/>
    <w:rsid w:val="21864056"/>
    <w:rsid w:val="222348FC"/>
    <w:rsid w:val="22F860AB"/>
    <w:rsid w:val="23894B8C"/>
    <w:rsid w:val="2486441F"/>
    <w:rsid w:val="263535D3"/>
    <w:rsid w:val="26BC1D3E"/>
    <w:rsid w:val="286153F5"/>
    <w:rsid w:val="2895673E"/>
    <w:rsid w:val="293366CF"/>
    <w:rsid w:val="29601F8B"/>
    <w:rsid w:val="296F02CD"/>
    <w:rsid w:val="29911D60"/>
    <w:rsid w:val="2AA01F44"/>
    <w:rsid w:val="2C43216E"/>
    <w:rsid w:val="2CD472B8"/>
    <w:rsid w:val="2DAE631A"/>
    <w:rsid w:val="2DB02B6B"/>
    <w:rsid w:val="300C58E0"/>
    <w:rsid w:val="30607DAE"/>
    <w:rsid w:val="312C1210"/>
    <w:rsid w:val="31DA5A58"/>
    <w:rsid w:val="32355B8A"/>
    <w:rsid w:val="32FD7152"/>
    <w:rsid w:val="32FE4017"/>
    <w:rsid w:val="332D1E43"/>
    <w:rsid w:val="34060532"/>
    <w:rsid w:val="361F2D7D"/>
    <w:rsid w:val="37556B60"/>
    <w:rsid w:val="37660142"/>
    <w:rsid w:val="38CD7FDC"/>
    <w:rsid w:val="397D4DF2"/>
    <w:rsid w:val="39C073AD"/>
    <w:rsid w:val="3A506A3F"/>
    <w:rsid w:val="3ACE5D4F"/>
    <w:rsid w:val="3B401A7D"/>
    <w:rsid w:val="3C55524B"/>
    <w:rsid w:val="3CCE1388"/>
    <w:rsid w:val="3DC14F27"/>
    <w:rsid w:val="3DDD46D4"/>
    <w:rsid w:val="3DF6488D"/>
    <w:rsid w:val="3E761E57"/>
    <w:rsid w:val="3F1C71CA"/>
    <w:rsid w:val="3F464493"/>
    <w:rsid w:val="3FD67934"/>
    <w:rsid w:val="401D7EEA"/>
    <w:rsid w:val="406334F2"/>
    <w:rsid w:val="409F14A1"/>
    <w:rsid w:val="415F6EA3"/>
    <w:rsid w:val="42E4764C"/>
    <w:rsid w:val="43291680"/>
    <w:rsid w:val="452C7897"/>
    <w:rsid w:val="454278DA"/>
    <w:rsid w:val="46151D23"/>
    <w:rsid w:val="46D026EE"/>
    <w:rsid w:val="476B30BF"/>
    <w:rsid w:val="494C6B8D"/>
    <w:rsid w:val="497B7CB3"/>
    <w:rsid w:val="4A286398"/>
    <w:rsid w:val="4A8845CE"/>
    <w:rsid w:val="4ABB11C1"/>
    <w:rsid w:val="4AE32B49"/>
    <w:rsid w:val="4B1525C2"/>
    <w:rsid w:val="4B2D12E0"/>
    <w:rsid w:val="4BEB6B31"/>
    <w:rsid w:val="4D1D2982"/>
    <w:rsid w:val="4DD36371"/>
    <w:rsid w:val="4EEC1F3B"/>
    <w:rsid w:val="4EF16580"/>
    <w:rsid w:val="4F070047"/>
    <w:rsid w:val="4F3C244F"/>
    <w:rsid w:val="4FCD30B4"/>
    <w:rsid w:val="5115115D"/>
    <w:rsid w:val="5124401C"/>
    <w:rsid w:val="521E4A24"/>
    <w:rsid w:val="52D92ACB"/>
    <w:rsid w:val="53B4776F"/>
    <w:rsid w:val="53DF1E3A"/>
    <w:rsid w:val="540F25CE"/>
    <w:rsid w:val="545B425C"/>
    <w:rsid w:val="558E730F"/>
    <w:rsid w:val="573C43EC"/>
    <w:rsid w:val="57857077"/>
    <w:rsid w:val="58EA1C45"/>
    <w:rsid w:val="5925405A"/>
    <w:rsid w:val="59926240"/>
    <w:rsid w:val="5ADC3C17"/>
    <w:rsid w:val="5BCB0695"/>
    <w:rsid w:val="5CA2679A"/>
    <w:rsid w:val="5CA67F0E"/>
    <w:rsid w:val="5CC4593C"/>
    <w:rsid w:val="5DAD4E7C"/>
    <w:rsid w:val="60CB5C8F"/>
    <w:rsid w:val="62164EC7"/>
    <w:rsid w:val="633157F8"/>
    <w:rsid w:val="648E3C9A"/>
    <w:rsid w:val="64DA4767"/>
    <w:rsid w:val="65170F5B"/>
    <w:rsid w:val="65215328"/>
    <w:rsid w:val="663C214A"/>
    <w:rsid w:val="670A099E"/>
    <w:rsid w:val="682818B8"/>
    <w:rsid w:val="688B0082"/>
    <w:rsid w:val="68BD663A"/>
    <w:rsid w:val="692F74C0"/>
    <w:rsid w:val="696405DD"/>
    <w:rsid w:val="69BE2355"/>
    <w:rsid w:val="69CF1240"/>
    <w:rsid w:val="6A866FA3"/>
    <w:rsid w:val="6B75107A"/>
    <w:rsid w:val="6BFE1706"/>
    <w:rsid w:val="6D5236ED"/>
    <w:rsid w:val="6DC13ADF"/>
    <w:rsid w:val="6E5E0C2F"/>
    <w:rsid w:val="6FE969BF"/>
    <w:rsid w:val="701245F9"/>
    <w:rsid w:val="71175C34"/>
    <w:rsid w:val="71A31538"/>
    <w:rsid w:val="74D70DF7"/>
    <w:rsid w:val="75043B07"/>
    <w:rsid w:val="750950F5"/>
    <w:rsid w:val="750D16CF"/>
    <w:rsid w:val="75DE5B64"/>
    <w:rsid w:val="763F7532"/>
    <w:rsid w:val="771419E3"/>
    <w:rsid w:val="773622B4"/>
    <w:rsid w:val="77D50611"/>
    <w:rsid w:val="788C12ED"/>
    <w:rsid w:val="789F3DA6"/>
    <w:rsid w:val="78A52377"/>
    <w:rsid w:val="78C53AE4"/>
    <w:rsid w:val="79082185"/>
    <w:rsid w:val="79FB3E99"/>
    <w:rsid w:val="7A6F77AB"/>
    <w:rsid w:val="7ABA3FBA"/>
    <w:rsid w:val="7B5B7497"/>
    <w:rsid w:val="7BEF5F10"/>
    <w:rsid w:val="7D911C7F"/>
    <w:rsid w:val="7D9563F1"/>
    <w:rsid w:val="7EB03BCE"/>
    <w:rsid w:val="7EDF243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nhideWhenUsed="0" w:uiPriority="0" w:semiHidden="0" w:name="index 2"/>
    <w:lsdException w:unhideWhenUsed="0" w:uiPriority="0" w:semiHidden="0" w:name="index 3"/>
    <w:lsdException w:qFormat="1" w:unhideWhenUsed="0" w:uiPriority="99"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39" w:semiHidden="0" w:name="toc 2"/>
    <w:lsdException w:qFormat="1" w:unhideWhenUsed="0" w:uiPriority="39"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qFormat="1"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nhideWhenUsed="0" w:uiPriority="0" w:semiHidden="0" w:name="caption"/>
    <w:lsdException w:qFormat="1" w:unhideWhenUsed="0" w:uiPriority="0" w:semiHidden="0" w:name="table of figures"/>
    <w:lsdException w:unhideWhenUsed="0" w:uiPriority="0" w:semiHidden="0" w:name="envelope address"/>
    <w:lsdException w:unhideWhenUsed="0" w:uiPriority="0" w:semiHidden="0" w:name="envelope return"/>
    <w:lsdException w:qFormat="1"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qFormat="1"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qFormat="1" w:unhideWhenUsed="0" w:uiPriority="0" w:semiHidden="0" w:name="List 2"/>
    <w:lsdException w:qFormat="1" w:unhideWhenUsed="0" w:uiPriority="0" w:semiHidden="0" w:name="List 3"/>
    <w:lsdException w:qFormat="1" w:unhideWhenUsed="0" w:uiPriority="0" w:semiHidden="0" w:name="List 4"/>
    <w:lsdException w:qFormat="1" w:unhideWhenUsed="0" w:uiPriority="0" w:semiHidden="0" w:name="List 5"/>
    <w:lsdException w:qFormat="1" w:unhideWhenUsed="0" w:uiPriority="0" w:semiHidden="0" w:name="List Bullet 2"/>
    <w:lsdException w:qFormat="1" w:unhideWhenUsed="0" w:uiPriority="0" w:semiHidden="0" w:name="List Bullet 3"/>
    <w:lsdException w:qFormat="1" w:unhideWhenUsed="0" w:uiPriority="0" w:semiHidden="0" w:name="List Bullet 4"/>
    <w:lsdException w:unhideWhenUsed="0" w:uiPriority="0" w:semiHidden="0" w:name="List Bullet 5"/>
    <w:lsdException w:qFormat="1" w:unhideWhenUsed="0" w:uiPriority="0" w:semiHidden="0" w:name="List Number 2"/>
    <w:lsdException w:qFormat="1"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qFormat="1" w:unhideWhenUsed="0" w:uiPriority="0" w:semiHidden="0" w:name="List Continue"/>
    <w:lsdException w:qFormat="1" w:unhideWhenUsed="0" w:uiPriority="0" w:semiHidden="0" w:name="List Continue 2"/>
    <w:lsdException w:qFormat="1" w:unhideWhenUsed="0" w:uiPriority="0" w:semiHidden="0" w:name="List Continue 3"/>
    <w:lsdException w:qFormat="1"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22"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8"/>
      <w:lang w:val="en-US" w:eastAsia="zh-CN" w:bidi="ar-SA"/>
    </w:rPr>
  </w:style>
  <w:style w:type="paragraph" w:styleId="3">
    <w:name w:val="heading 1"/>
    <w:basedOn w:val="1"/>
    <w:next w:val="1"/>
    <w:link w:val="245"/>
    <w:qFormat/>
    <w:uiPriority w:val="0"/>
    <w:pPr>
      <w:keepNext/>
      <w:snapToGrid w:val="0"/>
      <w:spacing w:line="360" w:lineRule="atLeast"/>
      <w:outlineLvl w:val="0"/>
    </w:pPr>
    <w:rPr>
      <w:rFonts w:ascii="宋体" w:hAnsi="宋体" w:eastAsia="微软雅黑"/>
      <w:b/>
      <w:sz w:val="24"/>
    </w:rPr>
  </w:style>
  <w:style w:type="paragraph" w:styleId="4">
    <w:name w:val="heading 2"/>
    <w:basedOn w:val="1"/>
    <w:next w:val="1"/>
    <w:link w:val="71"/>
    <w:qFormat/>
    <w:uiPriority w:val="0"/>
    <w:pPr>
      <w:keepNext/>
      <w:keepLines/>
      <w:spacing w:before="260" w:after="260" w:line="413" w:lineRule="auto"/>
      <w:outlineLvl w:val="1"/>
    </w:pPr>
    <w:rPr>
      <w:rFonts w:ascii="Arial" w:hAnsi="Arial" w:eastAsia="微软雅黑"/>
      <w:sz w:val="24"/>
    </w:rPr>
  </w:style>
  <w:style w:type="paragraph" w:styleId="5">
    <w:name w:val="heading 3"/>
    <w:basedOn w:val="1"/>
    <w:next w:val="1"/>
    <w:link w:val="72"/>
    <w:qFormat/>
    <w:uiPriority w:val="0"/>
    <w:pPr>
      <w:keepNext/>
      <w:keepLines/>
      <w:spacing w:before="260" w:after="260" w:line="413" w:lineRule="auto"/>
      <w:outlineLvl w:val="2"/>
    </w:pPr>
    <w:rPr>
      <w:b/>
      <w:sz w:val="32"/>
    </w:rPr>
  </w:style>
  <w:style w:type="paragraph" w:styleId="6">
    <w:name w:val="heading 4"/>
    <w:basedOn w:val="1"/>
    <w:next w:val="1"/>
    <w:qFormat/>
    <w:uiPriority w:val="0"/>
    <w:pPr>
      <w:keepNext/>
      <w:keepLines/>
      <w:spacing w:before="280" w:after="290" w:line="372" w:lineRule="auto"/>
      <w:outlineLvl w:val="3"/>
    </w:pPr>
    <w:rPr>
      <w:rFonts w:ascii="Arial" w:hAnsi="Arial" w:eastAsia="黑体"/>
      <w:b/>
    </w:rPr>
  </w:style>
  <w:style w:type="paragraph" w:styleId="7">
    <w:name w:val="heading 5"/>
    <w:basedOn w:val="1"/>
    <w:next w:val="1"/>
    <w:qFormat/>
    <w:uiPriority w:val="0"/>
    <w:pPr>
      <w:keepNext/>
      <w:keepLines/>
      <w:tabs>
        <w:tab w:val="left" w:pos="2551"/>
      </w:tabs>
      <w:spacing w:before="280" w:after="290" w:line="372" w:lineRule="auto"/>
      <w:ind w:left="2551" w:hanging="850"/>
      <w:outlineLvl w:val="4"/>
    </w:pPr>
    <w:rPr>
      <w:b/>
    </w:rPr>
  </w:style>
  <w:style w:type="paragraph" w:styleId="8">
    <w:name w:val="heading 6"/>
    <w:basedOn w:val="1"/>
    <w:next w:val="1"/>
    <w:qFormat/>
    <w:uiPriority w:val="0"/>
    <w:pPr>
      <w:keepNext/>
      <w:keepLines/>
      <w:tabs>
        <w:tab w:val="left" w:pos="1152"/>
      </w:tabs>
      <w:adjustRightInd w:val="0"/>
      <w:snapToGrid w:val="0"/>
      <w:spacing w:before="240" w:after="64" w:line="317" w:lineRule="auto"/>
      <w:ind w:left="1152" w:hanging="1152"/>
      <w:outlineLvl w:val="5"/>
    </w:pPr>
    <w:rPr>
      <w:rFonts w:ascii="Arial" w:hAnsi="Arial" w:eastAsia="黑体"/>
      <w:b/>
      <w:sz w:val="24"/>
    </w:rPr>
  </w:style>
  <w:style w:type="paragraph" w:styleId="9">
    <w:name w:val="heading 7"/>
    <w:basedOn w:val="1"/>
    <w:next w:val="1"/>
    <w:qFormat/>
    <w:uiPriority w:val="0"/>
    <w:pPr>
      <w:keepNext/>
      <w:keepLines/>
      <w:tabs>
        <w:tab w:val="left" w:pos="1296"/>
      </w:tabs>
      <w:adjustRightInd w:val="0"/>
      <w:snapToGrid w:val="0"/>
      <w:spacing w:before="240" w:after="64" w:line="317" w:lineRule="auto"/>
      <w:ind w:left="1296" w:hanging="1296"/>
      <w:outlineLvl w:val="6"/>
    </w:pPr>
    <w:rPr>
      <w:rFonts w:ascii="Arial" w:hAnsi="Arial" w:eastAsia="黑体"/>
      <w:b/>
      <w:sz w:val="24"/>
    </w:rPr>
  </w:style>
  <w:style w:type="paragraph" w:styleId="10">
    <w:name w:val="heading 8"/>
    <w:basedOn w:val="1"/>
    <w:next w:val="1"/>
    <w:qFormat/>
    <w:uiPriority w:val="0"/>
    <w:pPr>
      <w:keepNext/>
      <w:keepLines/>
      <w:tabs>
        <w:tab w:val="left" w:pos="1440"/>
      </w:tabs>
      <w:adjustRightInd w:val="0"/>
      <w:snapToGrid w:val="0"/>
      <w:spacing w:before="240" w:after="64" w:line="317" w:lineRule="auto"/>
      <w:ind w:left="1440" w:hanging="1440"/>
      <w:outlineLvl w:val="7"/>
    </w:pPr>
    <w:rPr>
      <w:rFonts w:ascii="Arial" w:hAnsi="Arial" w:eastAsia="黑体"/>
      <w:b/>
      <w:sz w:val="24"/>
    </w:rPr>
  </w:style>
  <w:style w:type="paragraph" w:styleId="11">
    <w:name w:val="heading 9"/>
    <w:basedOn w:val="1"/>
    <w:next w:val="1"/>
    <w:qFormat/>
    <w:uiPriority w:val="0"/>
    <w:pPr>
      <w:keepNext/>
      <w:keepLines/>
      <w:tabs>
        <w:tab w:val="left" w:pos="1584"/>
      </w:tabs>
      <w:adjustRightInd w:val="0"/>
      <w:snapToGrid w:val="0"/>
      <w:spacing w:before="240" w:after="64" w:line="317" w:lineRule="auto"/>
      <w:ind w:left="1584" w:hanging="1584"/>
      <w:outlineLvl w:val="8"/>
    </w:pPr>
    <w:rPr>
      <w:rFonts w:ascii="Arial" w:hAnsi="Arial" w:eastAsia="黑体"/>
      <w:b/>
      <w:sz w:val="24"/>
    </w:rPr>
  </w:style>
  <w:style w:type="character" w:default="1" w:styleId="60">
    <w:name w:val="Default Paragraph Font"/>
    <w:semiHidden/>
    <w:unhideWhenUsed/>
    <w:qFormat/>
    <w:uiPriority w:val="1"/>
  </w:style>
  <w:style w:type="table" w:default="1" w:styleId="58">
    <w:name w:val="Normal Table"/>
    <w:semiHidden/>
    <w:unhideWhenUsed/>
    <w:qFormat/>
    <w:uiPriority w:val="99"/>
    <w:tblPr>
      <w:tblCellMar>
        <w:top w:w="0" w:type="dxa"/>
        <w:left w:w="108" w:type="dxa"/>
        <w:bottom w:w="0" w:type="dxa"/>
        <w:right w:w="108" w:type="dxa"/>
      </w:tblCellMar>
    </w:tblPr>
  </w:style>
  <w:style w:type="paragraph" w:styleId="2">
    <w:name w:val="Body Text"/>
    <w:basedOn w:val="1"/>
    <w:next w:val="1"/>
    <w:qFormat/>
    <w:uiPriority w:val="0"/>
    <w:rPr>
      <w:rFonts w:ascii="仿宋_GB2312" w:eastAsia="仿宋_GB2312"/>
      <w:sz w:val="32"/>
    </w:rPr>
  </w:style>
  <w:style w:type="paragraph" w:styleId="12">
    <w:name w:val="List 3"/>
    <w:basedOn w:val="1"/>
    <w:qFormat/>
    <w:uiPriority w:val="0"/>
    <w:pPr>
      <w:adjustRightInd w:val="0"/>
      <w:snapToGrid w:val="0"/>
      <w:spacing w:line="360" w:lineRule="auto"/>
      <w:ind w:left="100" w:leftChars="400" w:hanging="200" w:hangingChars="200"/>
    </w:pPr>
    <w:rPr>
      <w:sz w:val="24"/>
    </w:rPr>
  </w:style>
  <w:style w:type="paragraph" w:styleId="13">
    <w:name w:val="toc 7"/>
    <w:basedOn w:val="1"/>
    <w:next w:val="1"/>
    <w:qFormat/>
    <w:uiPriority w:val="0"/>
    <w:pPr>
      <w:ind w:left="2520" w:leftChars="1200"/>
    </w:pPr>
  </w:style>
  <w:style w:type="paragraph" w:styleId="14">
    <w:name w:val="List Number 2"/>
    <w:basedOn w:val="1"/>
    <w:qFormat/>
    <w:uiPriority w:val="0"/>
    <w:pPr>
      <w:numPr>
        <w:ilvl w:val="0"/>
        <w:numId w:val="1"/>
      </w:numPr>
      <w:tabs>
        <w:tab w:val="left" w:pos="780"/>
        <w:tab w:val="clear" w:pos="425"/>
      </w:tabs>
      <w:spacing w:line="360" w:lineRule="auto"/>
    </w:pPr>
    <w:rPr>
      <w:sz w:val="24"/>
    </w:rPr>
  </w:style>
  <w:style w:type="paragraph" w:styleId="15">
    <w:name w:val="List Bullet 4"/>
    <w:basedOn w:val="1"/>
    <w:qFormat/>
    <w:uiPriority w:val="0"/>
    <w:pPr>
      <w:widowControl/>
      <w:tabs>
        <w:tab w:val="left" w:pos="1134"/>
      </w:tabs>
      <w:adjustRightInd w:val="0"/>
      <w:snapToGrid w:val="0"/>
      <w:spacing w:before="120" w:line="280" w:lineRule="atLeast"/>
      <w:ind w:left="1418" w:hanging="284"/>
      <w:jc w:val="left"/>
    </w:pPr>
    <w:rPr>
      <w:rFonts w:ascii="宋体"/>
      <w:kern w:val="0"/>
      <w:sz w:val="22"/>
    </w:rPr>
  </w:style>
  <w:style w:type="paragraph" w:styleId="16">
    <w:name w:val="Normal Indent"/>
    <w:basedOn w:val="1"/>
    <w:qFormat/>
    <w:uiPriority w:val="0"/>
    <w:pPr>
      <w:adjustRightInd w:val="0"/>
      <w:snapToGrid w:val="0"/>
      <w:spacing w:line="360" w:lineRule="auto"/>
      <w:ind w:firstLine="420"/>
    </w:pPr>
    <w:rPr>
      <w:sz w:val="24"/>
    </w:rPr>
  </w:style>
  <w:style w:type="paragraph" w:styleId="17">
    <w:name w:val="caption"/>
    <w:basedOn w:val="1"/>
    <w:next w:val="1"/>
    <w:qFormat/>
    <w:uiPriority w:val="0"/>
    <w:pPr>
      <w:widowControl/>
      <w:tabs>
        <w:tab w:val="left" w:pos="1134"/>
      </w:tabs>
      <w:adjustRightInd w:val="0"/>
      <w:snapToGrid w:val="0"/>
      <w:spacing w:line="280" w:lineRule="atLeast"/>
      <w:jc w:val="left"/>
    </w:pPr>
    <w:rPr>
      <w:rFonts w:eastAsia="PMingLiU"/>
      <w:b/>
      <w:kern w:val="0"/>
      <w:sz w:val="24"/>
      <w:lang w:eastAsia="zh-TW"/>
    </w:rPr>
  </w:style>
  <w:style w:type="paragraph" w:styleId="18">
    <w:name w:val="Document Map"/>
    <w:basedOn w:val="1"/>
    <w:qFormat/>
    <w:uiPriority w:val="0"/>
    <w:pPr>
      <w:shd w:val="clear" w:color="auto" w:fill="000080"/>
    </w:pPr>
  </w:style>
  <w:style w:type="paragraph" w:styleId="19">
    <w:name w:val="toa heading"/>
    <w:basedOn w:val="1"/>
    <w:next w:val="1"/>
    <w:qFormat/>
    <w:uiPriority w:val="0"/>
    <w:pPr>
      <w:spacing w:before="120"/>
    </w:pPr>
    <w:rPr>
      <w:rFonts w:ascii="Arial" w:hAnsi="Arial"/>
      <w:sz w:val="24"/>
    </w:rPr>
  </w:style>
  <w:style w:type="paragraph" w:styleId="20">
    <w:name w:val="annotation text"/>
    <w:basedOn w:val="1"/>
    <w:link w:val="73"/>
    <w:qFormat/>
    <w:uiPriority w:val="0"/>
    <w:pPr>
      <w:adjustRightInd w:val="0"/>
      <w:spacing w:line="360" w:lineRule="atLeast"/>
      <w:jc w:val="left"/>
      <w:textAlignment w:val="baseline"/>
    </w:pPr>
    <w:rPr>
      <w:kern w:val="0"/>
      <w:sz w:val="24"/>
    </w:rPr>
  </w:style>
  <w:style w:type="paragraph" w:styleId="21">
    <w:name w:val="Body Text 3"/>
    <w:basedOn w:val="1"/>
    <w:qFormat/>
    <w:uiPriority w:val="0"/>
    <w:pPr>
      <w:adjustRightInd w:val="0"/>
      <w:snapToGrid w:val="0"/>
      <w:spacing w:after="120" w:line="360" w:lineRule="auto"/>
    </w:pPr>
    <w:rPr>
      <w:sz w:val="16"/>
    </w:rPr>
  </w:style>
  <w:style w:type="paragraph" w:styleId="22">
    <w:name w:val="List Bullet 3"/>
    <w:basedOn w:val="1"/>
    <w:qFormat/>
    <w:uiPriority w:val="0"/>
    <w:pPr>
      <w:numPr>
        <w:ilvl w:val="0"/>
        <w:numId w:val="2"/>
      </w:numPr>
      <w:adjustRightInd w:val="0"/>
      <w:snapToGrid w:val="0"/>
      <w:spacing w:line="360" w:lineRule="auto"/>
    </w:pPr>
    <w:rPr>
      <w:sz w:val="24"/>
    </w:rPr>
  </w:style>
  <w:style w:type="paragraph" w:styleId="23">
    <w:name w:val="Body Text Indent"/>
    <w:basedOn w:val="1"/>
    <w:next w:val="1"/>
    <w:link w:val="74"/>
    <w:qFormat/>
    <w:uiPriority w:val="0"/>
    <w:pPr>
      <w:spacing w:line="700" w:lineRule="exact"/>
      <w:ind w:left="960"/>
    </w:pPr>
    <w:rPr>
      <w:sz w:val="44"/>
    </w:rPr>
  </w:style>
  <w:style w:type="paragraph" w:styleId="24">
    <w:name w:val="List Number 3"/>
    <w:basedOn w:val="1"/>
    <w:qFormat/>
    <w:uiPriority w:val="0"/>
    <w:pPr>
      <w:tabs>
        <w:tab w:val="left" w:pos="2120"/>
      </w:tabs>
      <w:adjustRightInd w:val="0"/>
      <w:snapToGrid w:val="0"/>
      <w:spacing w:line="360" w:lineRule="auto"/>
      <w:ind w:left="2120" w:hanging="720"/>
    </w:pPr>
    <w:rPr>
      <w:sz w:val="24"/>
    </w:rPr>
  </w:style>
  <w:style w:type="paragraph" w:styleId="25">
    <w:name w:val="List 2"/>
    <w:basedOn w:val="1"/>
    <w:qFormat/>
    <w:uiPriority w:val="0"/>
    <w:pPr>
      <w:adjustRightInd w:val="0"/>
      <w:snapToGrid w:val="0"/>
      <w:spacing w:line="360" w:lineRule="auto"/>
      <w:ind w:left="100" w:leftChars="200" w:hanging="200" w:hangingChars="200"/>
    </w:pPr>
    <w:rPr>
      <w:sz w:val="24"/>
    </w:rPr>
  </w:style>
  <w:style w:type="paragraph" w:styleId="26">
    <w:name w:val="List Continue"/>
    <w:basedOn w:val="1"/>
    <w:qFormat/>
    <w:uiPriority w:val="0"/>
    <w:pPr>
      <w:adjustRightInd w:val="0"/>
      <w:snapToGrid w:val="0"/>
      <w:spacing w:after="120" w:line="360" w:lineRule="auto"/>
      <w:ind w:left="420" w:leftChars="200"/>
    </w:pPr>
    <w:rPr>
      <w:sz w:val="24"/>
    </w:rPr>
  </w:style>
  <w:style w:type="paragraph" w:styleId="27">
    <w:name w:val="List Bullet 2"/>
    <w:basedOn w:val="1"/>
    <w:qFormat/>
    <w:uiPriority w:val="0"/>
    <w:pPr>
      <w:numPr>
        <w:ilvl w:val="0"/>
        <w:numId w:val="3"/>
      </w:numPr>
      <w:adjustRightInd w:val="0"/>
      <w:snapToGrid w:val="0"/>
      <w:spacing w:line="360" w:lineRule="auto"/>
    </w:pPr>
    <w:rPr>
      <w:sz w:val="24"/>
    </w:rPr>
  </w:style>
  <w:style w:type="paragraph" w:styleId="28">
    <w:name w:val="index 4"/>
    <w:basedOn w:val="1"/>
    <w:next w:val="1"/>
    <w:qFormat/>
    <w:uiPriority w:val="99"/>
    <w:pPr>
      <w:ind w:left="600" w:leftChars="600"/>
    </w:pPr>
  </w:style>
  <w:style w:type="paragraph" w:styleId="29">
    <w:name w:val="toc 5"/>
    <w:basedOn w:val="1"/>
    <w:next w:val="1"/>
    <w:qFormat/>
    <w:uiPriority w:val="0"/>
    <w:pPr>
      <w:ind w:left="1680" w:leftChars="800"/>
    </w:pPr>
  </w:style>
  <w:style w:type="paragraph" w:styleId="30">
    <w:name w:val="toc 3"/>
    <w:basedOn w:val="1"/>
    <w:next w:val="1"/>
    <w:qFormat/>
    <w:uiPriority w:val="39"/>
    <w:pPr>
      <w:ind w:left="840" w:leftChars="400"/>
    </w:pPr>
  </w:style>
  <w:style w:type="paragraph" w:styleId="31">
    <w:name w:val="Plain Text"/>
    <w:basedOn w:val="1"/>
    <w:link w:val="241"/>
    <w:qFormat/>
    <w:uiPriority w:val="0"/>
    <w:rPr>
      <w:rFonts w:ascii="宋体" w:hAnsi="Courier New"/>
      <w:sz w:val="21"/>
    </w:rPr>
  </w:style>
  <w:style w:type="paragraph" w:styleId="32">
    <w:name w:val="toc 8"/>
    <w:basedOn w:val="1"/>
    <w:next w:val="1"/>
    <w:qFormat/>
    <w:uiPriority w:val="0"/>
    <w:pPr>
      <w:ind w:left="2940" w:leftChars="1400"/>
    </w:pPr>
  </w:style>
  <w:style w:type="paragraph" w:styleId="33">
    <w:name w:val="Date"/>
    <w:basedOn w:val="1"/>
    <w:next w:val="1"/>
    <w:link w:val="75"/>
    <w:qFormat/>
    <w:uiPriority w:val="0"/>
  </w:style>
  <w:style w:type="paragraph" w:styleId="34">
    <w:name w:val="Body Text Indent 2"/>
    <w:basedOn w:val="1"/>
    <w:link w:val="76"/>
    <w:qFormat/>
    <w:uiPriority w:val="0"/>
    <w:pPr>
      <w:snapToGrid w:val="0"/>
      <w:spacing w:line="560" w:lineRule="atLeast"/>
      <w:ind w:firstLine="540"/>
    </w:pPr>
  </w:style>
  <w:style w:type="paragraph" w:styleId="35">
    <w:name w:val="Balloon Text"/>
    <w:basedOn w:val="1"/>
    <w:qFormat/>
    <w:uiPriority w:val="0"/>
    <w:rPr>
      <w:sz w:val="18"/>
    </w:rPr>
  </w:style>
  <w:style w:type="paragraph" w:styleId="36">
    <w:name w:val="footer"/>
    <w:basedOn w:val="1"/>
    <w:qFormat/>
    <w:uiPriority w:val="0"/>
    <w:pPr>
      <w:tabs>
        <w:tab w:val="center" w:pos="4153"/>
        <w:tab w:val="right" w:pos="8306"/>
      </w:tabs>
      <w:snapToGrid w:val="0"/>
      <w:jc w:val="left"/>
    </w:pPr>
    <w:rPr>
      <w:sz w:val="18"/>
    </w:rPr>
  </w:style>
  <w:style w:type="paragraph" w:styleId="37">
    <w:name w:val="header"/>
    <w:basedOn w:val="1"/>
    <w:qFormat/>
    <w:uiPriority w:val="0"/>
    <w:pPr>
      <w:pBdr>
        <w:bottom w:val="single" w:color="auto" w:sz="6" w:space="1"/>
      </w:pBdr>
      <w:tabs>
        <w:tab w:val="center" w:pos="4153"/>
        <w:tab w:val="right" w:pos="8306"/>
      </w:tabs>
      <w:snapToGrid w:val="0"/>
      <w:jc w:val="center"/>
    </w:pPr>
    <w:rPr>
      <w:sz w:val="18"/>
    </w:rPr>
  </w:style>
  <w:style w:type="paragraph" w:styleId="38">
    <w:name w:val="toc 1"/>
    <w:basedOn w:val="1"/>
    <w:next w:val="1"/>
    <w:qFormat/>
    <w:uiPriority w:val="0"/>
    <w:pPr>
      <w:spacing w:line="180" w:lineRule="auto"/>
      <w:jc w:val="center"/>
    </w:pPr>
    <w:rPr>
      <w:sz w:val="30"/>
    </w:rPr>
  </w:style>
  <w:style w:type="paragraph" w:styleId="39">
    <w:name w:val="List Continue 4"/>
    <w:basedOn w:val="1"/>
    <w:qFormat/>
    <w:uiPriority w:val="0"/>
    <w:pPr>
      <w:adjustRightInd w:val="0"/>
      <w:snapToGrid w:val="0"/>
      <w:spacing w:after="120" w:line="360" w:lineRule="auto"/>
      <w:ind w:left="1680" w:leftChars="800"/>
    </w:pPr>
    <w:rPr>
      <w:sz w:val="24"/>
    </w:rPr>
  </w:style>
  <w:style w:type="paragraph" w:styleId="40">
    <w:name w:val="toc 4"/>
    <w:basedOn w:val="1"/>
    <w:next w:val="1"/>
    <w:qFormat/>
    <w:uiPriority w:val="0"/>
    <w:pPr>
      <w:ind w:left="1260" w:leftChars="600"/>
    </w:pPr>
  </w:style>
  <w:style w:type="paragraph" w:styleId="41">
    <w:name w:val="footnote text"/>
    <w:basedOn w:val="1"/>
    <w:link w:val="77"/>
    <w:qFormat/>
    <w:uiPriority w:val="0"/>
    <w:pPr>
      <w:spacing w:line="360" w:lineRule="auto"/>
    </w:pPr>
    <w:rPr>
      <w:sz w:val="18"/>
    </w:rPr>
  </w:style>
  <w:style w:type="paragraph" w:styleId="42">
    <w:name w:val="toc 6"/>
    <w:basedOn w:val="1"/>
    <w:next w:val="1"/>
    <w:qFormat/>
    <w:uiPriority w:val="0"/>
    <w:pPr>
      <w:ind w:left="2100" w:leftChars="1000"/>
    </w:pPr>
  </w:style>
  <w:style w:type="paragraph" w:styleId="43">
    <w:name w:val="List 5"/>
    <w:basedOn w:val="1"/>
    <w:qFormat/>
    <w:uiPriority w:val="0"/>
    <w:pPr>
      <w:adjustRightInd w:val="0"/>
      <w:snapToGrid w:val="0"/>
      <w:spacing w:line="360" w:lineRule="auto"/>
      <w:ind w:left="100" w:leftChars="800" w:hanging="200" w:hangingChars="200"/>
    </w:pPr>
    <w:rPr>
      <w:sz w:val="24"/>
    </w:rPr>
  </w:style>
  <w:style w:type="paragraph" w:styleId="44">
    <w:name w:val="Body Text Indent 3"/>
    <w:basedOn w:val="1"/>
    <w:qFormat/>
    <w:uiPriority w:val="0"/>
    <w:pPr>
      <w:spacing w:line="360" w:lineRule="auto"/>
      <w:ind w:firstLine="632"/>
    </w:pPr>
    <w:rPr>
      <w:rFonts w:ascii="黑体" w:eastAsia="黑体"/>
    </w:rPr>
  </w:style>
  <w:style w:type="paragraph" w:styleId="45">
    <w:name w:val="table of figures"/>
    <w:basedOn w:val="1"/>
    <w:next w:val="1"/>
    <w:qFormat/>
    <w:uiPriority w:val="0"/>
    <w:pPr>
      <w:tabs>
        <w:tab w:val="right" w:leader="dot" w:pos="8640"/>
      </w:tabs>
      <w:spacing w:line="360" w:lineRule="auto"/>
      <w:ind w:left="400" w:hanging="400"/>
    </w:pPr>
    <w:rPr>
      <w:sz w:val="24"/>
    </w:rPr>
  </w:style>
  <w:style w:type="paragraph" w:styleId="46">
    <w:name w:val="toc 2"/>
    <w:basedOn w:val="1"/>
    <w:next w:val="1"/>
    <w:qFormat/>
    <w:uiPriority w:val="39"/>
    <w:pPr>
      <w:ind w:left="420" w:leftChars="200"/>
    </w:pPr>
  </w:style>
  <w:style w:type="paragraph" w:styleId="47">
    <w:name w:val="toc 9"/>
    <w:basedOn w:val="1"/>
    <w:next w:val="1"/>
    <w:qFormat/>
    <w:uiPriority w:val="0"/>
    <w:pPr>
      <w:ind w:left="3360" w:leftChars="1600"/>
    </w:pPr>
  </w:style>
  <w:style w:type="paragraph" w:styleId="48">
    <w:name w:val="Body Text 2"/>
    <w:basedOn w:val="1"/>
    <w:qFormat/>
    <w:uiPriority w:val="0"/>
    <w:pPr>
      <w:adjustRightInd w:val="0"/>
      <w:snapToGrid w:val="0"/>
      <w:spacing w:after="120" w:line="480" w:lineRule="auto"/>
    </w:pPr>
    <w:rPr>
      <w:sz w:val="24"/>
    </w:rPr>
  </w:style>
  <w:style w:type="paragraph" w:styleId="49">
    <w:name w:val="List 4"/>
    <w:basedOn w:val="1"/>
    <w:qFormat/>
    <w:uiPriority w:val="0"/>
    <w:pPr>
      <w:adjustRightInd w:val="0"/>
      <w:snapToGrid w:val="0"/>
      <w:spacing w:line="360" w:lineRule="auto"/>
      <w:ind w:left="100" w:leftChars="600" w:hanging="200" w:hangingChars="200"/>
    </w:pPr>
    <w:rPr>
      <w:sz w:val="24"/>
    </w:rPr>
  </w:style>
  <w:style w:type="paragraph" w:styleId="50">
    <w:name w:val="List Continue 2"/>
    <w:basedOn w:val="1"/>
    <w:qFormat/>
    <w:uiPriority w:val="0"/>
    <w:pPr>
      <w:adjustRightInd w:val="0"/>
      <w:snapToGrid w:val="0"/>
      <w:spacing w:after="120" w:line="360" w:lineRule="auto"/>
      <w:ind w:left="840" w:leftChars="400"/>
    </w:pPr>
    <w:rPr>
      <w:sz w:val="24"/>
    </w:rPr>
  </w:style>
  <w:style w:type="paragraph" w:styleId="51">
    <w:name w:val="Normal (Web)"/>
    <w:basedOn w:val="1"/>
    <w:qFormat/>
    <w:uiPriority w:val="0"/>
    <w:pPr>
      <w:widowControl/>
      <w:spacing w:before="100" w:beforeAutospacing="1" w:after="100" w:afterAutospacing="1"/>
      <w:jc w:val="left"/>
    </w:pPr>
    <w:rPr>
      <w:rFonts w:ascii="宋体" w:hAnsi="宋体"/>
      <w:kern w:val="0"/>
      <w:sz w:val="24"/>
    </w:rPr>
  </w:style>
  <w:style w:type="paragraph" w:styleId="52">
    <w:name w:val="List Continue 3"/>
    <w:basedOn w:val="1"/>
    <w:qFormat/>
    <w:uiPriority w:val="0"/>
    <w:pPr>
      <w:adjustRightInd w:val="0"/>
      <w:snapToGrid w:val="0"/>
      <w:spacing w:after="120" w:line="360" w:lineRule="auto"/>
      <w:ind w:left="1260" w:leftChars="600"/>
    </w:pPr>
    <w:rPr>
      <w:sz w:val="24"/>
    </w:rPr>
  </w:style>
  <w:style w:type="paragraph" w:styleId="53">
    <w:name w:val="index 1"/>
    <w:basedOn w:val="1"/>
    <w:next w:val="1"/>
    <w:qFormat/>
    <w:uiPriority w:val="0"/>
    <w:pPr>
      <w:adjustRightInd w:val="0"/>
      <w:spacing w:line="240" w:lineRule="atLeast"/>
      <w:textAlignment w:val="baseline"/>
    </w:pPr>
    <w:rPr>
      <w:rFonts w:ascii="宋体"/>
      <w:kern w:val="0"/>
      <w:sz w:val="21"/>
    </w:rPr>
  </w:style>
  <w:style w:type="paragraph" w:styleId="54">
    <w:name w:val="Title"/>
    <w:basedOn w:val="1"/>
    <w:qFormat/>
    <w:uiPriority w:val="0"/>
    <w:pPr>
      <w:widowControl/>
      <w:spacing w:after="240" w:line="360" w:lineRule="auto"/>
      <w:jc w:val="center"/>
    </w:pPr>
    <w:rPr>
      <w:rFonts w:ascii="Arial" w:hAnsi="Arial"/>
      <w:b/>
      <w:smallCaps/>
      <w:kern w:val="28"/>
      <w:sz w:val="36"/>
      <w:lang w:eastAsia="en-US"/>
    </w:rPr>
  </w:style>
  <w:style w:type="paragraph" w:styleId="55">
    <w:name w:val="annotation subject"/>
    <w:basedOn w:val="20"/>
    <w:next w:val="20"/>
    <w:link w:val="78"/>
    <w:qFormat/>
    <w:uiPriority w:val="0"/>
    <w:pPr>
      <w:adjustRightInd/>
      <w:spacing w:line="240" w:lineRule="auto"/>
      <w:textAlignment w:val="auto"/>
    </w:pPr>
  </w:style>
  <w:style w:type="paragraph" w:styleId="56">
    <w:name w:val="Body Text First Indent"/>
    <w:basedOn w:val="1"/>
    <w:qFormat/>
    <w:uiPriority w:val="0"/>
    <w:pPr>
      <w:spacing w:line="360" w:lineRule="auto"/>
      <w:ind w:firstLine="420"/>
    </w:pPr>
    <w:rPr>
      <w:rFonts w:ascii="宋体" w:hAnsi="宋体"/>
      <w:sz w:val="24"/>
    </w:rPr>
  </w:style>
  <w:style w:type="paragraph" w:styleId="57">
    <w:name w:val="Body Text First Indent 2"/>
    <w:basedOn w:val="23"/>
    <w:link w:val="79"/>
    <w:qFormat/>
    <w:uiPriority w:val="0"/>
    <w:pPr>
      <w:spacing w:after="120" w:line="240" w:lineRule="auto"/>
      <w:ind w:left="420" w:leftChars="200" w:firstLine="420" w:firstLineChars="200"/>
    </w:pPr>
  </w:style>
  <w:style w:type="table" w:styleId="59">
    <w:name w:val="Table Grid"/>
    <w:basedOn w:val="58"/>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61">
    <w:name w:val="Strong"/>
    <w:qFormat/>
    <w:uiPriority w:val="22"/>
    <w:rPr>
      <w:b/>
    </w:rPr>
  </w:style>
  <w:style w:type="character" w:styleId="62">
    <w:name w:val="page number"/>
    <w:qFormat/>
    <w:uiPriority w:val="0"/>
  </w:style>
  <w:style w:type="character" w:styleId="63">
    <w:name w:val="FollowedHyperlink"/>
    <w:qFormat/>
    <w:uiPriority w:val="0"/>
    <w:rPr>
      <w:color w:val="800080"/>
      <w:u w:val="single"/>
    </w:rPr>
  </w:style>
  <w:style w:type="character" w:styleId="64">
    <w:name w:val="Emphasis"/>
    <w:basedOn w:val="60"/>
    <w:qFormat/>
    <w:uiPriority w:val="0"/>
    <w:rPr>
      <w:i/>
    </w:rPr>
  </w:style>
  <w:style w:type="character" w:styleId="65">
    <w:name w:val="Hyperlink"/>
    <w:qFormat/>
    <w:uiPriority w:val="99"/>
    <w:rPr>
      <w:color w:val="0000FF"/>
      <w:u w:val="single"/>
    </w:rPr>
  </w:style>
  <w:style w:type="character" w:styleId="66">
    <w:name w:val="annotation reference"/>
    <w:qFormat/>
    <w:uiPriority w:val="0"/>
    <w:rPr>
      <w:sz w:val="21"/>
      <w:szCs w:val="21"/>
    </w:rPr>
  </w:style>
  <w:style w:type="character" w:styleId="67">
    <w:name w:val="footnote reference"/>
    <w:qFormat/>
    <w:uiPriority w:val="0"/>
    <w:rPr>
      <w:position w:val="6"/>
      <w:sz w:val="14"/>
      <w:vertAlign w:val="superscript"/>
    </w:rPr>
  </w:style>
  <w:style w:type="paragraph" w:customStyle="1" w:styleId="68">
    <w:name w:val="Default"/>
    <w:qFormat/>
    <w:uiPriority w:val="0"/>
    <w:pPr>
      <w:widowControl w:val="0"/>
      <w:autoSpaceDE w:val="0"/>
      <w:autoSpaceDN w:val="0"/>
      <w:adjustRightInd w:val="0"/>
    </w:pPr>
    <w:rPr>
      <w:rFonts w:ascii="宋体" w:hAnsi="Times New Roman" w:eastAsia="宋体" w:cs="Times New Roman"/>
      <w:color w:val="000000"/>
      <w:sz w:val="24"/>
      <w:lang w:val="en-US" w:eastAsia="zh-CN" w:bidi="ar-SA"/>
    </w:rPr>
  </w:style>
  <w:style w:type="paragraph" w:customStyle="1" w:styleId="69">
    <w:name w:val="标题 5（有编号）（绿盟科技）"/>
    <w:basedOn w:val="1"/>
    <w:next w:val="70"/>
    <w:qFormat/>
    <w:uiPriority w:val="0"/>
    <w:pPr>
      <w:keepNext/>
      <w:keepLines/>
      <w:numPr>
        <w:ilvl w:val="4"/>
        <w:numId w:val="4"/>
      </w:numPr>
      <w:spacing w:before="280" w:after="156" w:line="377" w:lineRule="auto"/>
      <w:outlineLvl w:val="4"/>
    </w:pPr>
    <w:rPr>
      <w:rFonts w:ascii="Arial" w:hAnsi="Arial" w:eastAsia="黑体"/>
      <w:b/>
      <w:sz w:val="24"/>
      <w:szCs w:val="28"/>
    </w:rPr>
  </w:style>
  <w:style w:type="paragraph" w:customStyle="1" w:styleId="70">
    <w:name w:val="正文（绿盟科技）"/>
    <w:qFormat/>
    <w:uiPriority w:val="0"/>
    <w:pPr>
      <w:spacing w:line="300" w:lineRule="auto"/>
    </w:pPr>
    <w:rPr>
      <w:rFonts w:ascii="Arial" w:hAnsi="Arial" w:eastAsia="宋体" w:cs="Times New Roman"/>
      <w:sz w:val="21"/>
      <w:szCs w:val="21"/>
      <w:lang w:val="en-US" w:eastAsia="zh-CN" w:bidi="ar-SA"/>
    </w:rPr>
  </w:style>
  <w:style w:type="character" w:customStyle="1" w:styleId="71">
    <w:name w:val="标题 2 字符1"/>
    <w:link w:val="4"/>
    <w:qFormat/>
    <w:uiPriority w:val="0"/>
    <w:rPr>
      <w:rFonts w:ascii="Arial" w:hAnsi="Arial" w:eastAsia="微软雅黑"/>
      <w:kern w:val="2"/>
      <w:sz w:val="24"/>
    </w:rPr>
  </w:style>
  <w:style w:type="character" w:customStyle="1" w:styleId="72">
    <w:name w:val="标题 3 字符"/>
    <w:link w:val="5"/>
    <w:qFormat/>
    <w:uiPriority w:val="0"/>
    <w:rPr>
      <w:rFonts w:eastAsia="宋体"/>
      <w:b/>
      <w:kern w:val="2"/>
      <w:sz w:val="32"/>
      <w:lang w:val="en-US" w:eastAsia="zh-CN"/>
    </w:rPr>
  </w:style>
  <w:style w:type="character" w:customStyle="1" w:styleId="73">
    <w:name w:val="批注文字 字符"/>
    <w:link w:val="20"/>
    <w:qFormat/>
    <w:uiPriority w:val="0"/>
    <w:rPr>
      <w:sz w:val="24"/>
    </w:rPr>
  </w:style>
  <w:style w:type="character" w:customStyle="1" w:styleId="74">
    <w:name w:val="正文文本缩进 字符"/>
    <w:link w:val="23"/>
    <w:qFormat/>
    <w:uiPriority w:val="0"/>
    <w:rPr>
      <w:kern w:val="2"/>
      <w:sz w:val="44"/>
    </w:rPr>
  </w:style>
  <w:style w:type="character" w:customStyle="1" w:styleId="75">
    <w:name w:val="日期 字符"/>
    <w:link w:val="33"/>
    <w:qFormat/>
    <w:uiPriority w:val="0"/>
    <w:rPr>
      <w:kern w:val="2"/>
      <w:sz w:val="28"/>
    </w:rPr>
  </w:style>
  <w:style w:type="character" w:customStyle="1" w:styleId="76">
    <w:name w:val="正文文本缩进 2 字符1"/>
    <w:link w:val="34"/>
    <w:qFormat/>
    <w:uiPriority w:val="0"/>
    <w:rPr>
      <w:kern w:val="2"/>
      <w:sz w:val="28"/>
    </w:rPr>
  </w:style>
  <w:style w:type="character" w:customStyle="1" w:styleId="77">
    <w:name w:val="脚注文本 字符"/>
    <w:link w:val="41"/>
    <w:qFormat/>
    <w:uiPriority w:val="0"/>
    <w:rPr>
      <w:kern w:val="2"/>
      <w:sz w:val="18"/>
    </w:rPr>
  </w:style>
  <w:style w:type="character" w:customStyle="1" w:styleId="78">
    <w:name w:val="批注主题 字符"/>
    <w:link w:val="55"/>
    <w:qFormat/>
    <w:uiPriority w:val="0"/>
  </w:style>
  <w:style w:type="character" w:customStyle="1" w:styleId="79">
    <w:name w:val="正文文本首行缩进 2 字符"/>
    <w:link w:val="57"/>
    <w:qFormat/>
    <w:uiPriority w:val="0"/>
  </w:style>
  <w:style w:type="character" w:customStyle="1" w:styleId="80">
    <w:name w:val="v151"/>
    <w:qFormat/>
    <w:uiPriority w:val="0"/>
    <w:rPr>
      <w:sz w:val="18"/>
    </w:rPr>
  </w:style>
  <w:style w:type="character" w:customStyle="1" w:styleId="81">
    <w:name w:val="Char Char7"/>
    <w:qFormat/>
    <w:uiPriority w:val="0"/>
    <w:rPr>
      <w:rFonts w:ascii="宋体" w:hAnsi="宋体" w:eastAsia="宋体"/>
      <w:kern w:val="2"/>
      <w:sz w:val="28"/>
    </w:rPr>
  </w:style>
  <w:style w:type="character" w:customStyle="1" w:styleId="82">
    <w:name w:val="小 Char"/>
    <w:qFormat/>
    <w:uiPriority w:val="0"/>
    <w:rPr>
      <w:rFonts w:ascii="宋体" w:hAnsi="Courier New" w:eastAsia="宋体"/>
      <w:kern w:val="2"/>
      <w:sz w:val="21"/>
      <w:lang w:val="en-US" w:eastAsia="zh-CN" w:bidi="ar-SA"/>
    </w:rPr>
  </w:style>
  <w:style w:type="character" w:customStyle="1" w:styleId="83">
    <w:name w:val="文字 Char"/>
    <w:link w:val="84"/>
    <w:qFormat/>
    <w:uiPriority w:val="0"/>
    <w:rPr>
      <w:rFonts w:ascii="宋体"/>
      <w:kern w:val="2"/>
      <w:sz w:val="28"/>
    </w:rPr>
  </w:style>
  <w:style w:type="paragraph" w:customStyle="1" w:styleId="84">
    <w:name w:val="文字"/>
    <w:basedOn w:val="1"/>
    <w:link w:val="83"/>
    <w:qFormat/>
    <w:uiPriority w:val="0"/>
    <w:pPr>
      <w:tabs>
        <w:tab w:val="left" w:pos="8520"/>
      </w:tabs>
      <w:spacing w:line="312" w:lineRule="auto"/>
      <w:ind w:right="-210" w:firstLine="556"/>
    </w:pPr>
    <w:rPr>
      <w:rFonts w:ascii="宋体"/>
    </w:rPr>
  </w:style>
  <w:style w:type="character" w:customStyle="1" w:styleId="85">
    <w:name w:val="content-white1"/>
    <w:qFormat/>
    <w:uiPriority w:val="0"/>
    <w:rPr>
      <w:rFonts w:ascii="_x000B__x000C_" w:hAnsi="_x000B__x000C_"/>
      <w:color w:val="auto"/>
      <w:sz w:val="18"/>
      <w:u w:val="none"/>
    </w:rPr>
  </w:style>
  <w:style w:type="character" w:customStyle="1" w:styleId="86">
    <w:name w:val="正文 + 三号 Char"/>
    <w:qFormat/>
    <w:uiPriority w:val="0"/>
    <w:rPr>
      <w:rFonts w:eastAsia="宋体"/>
      <w:kern w:val="2"/>
      <w:sz w:val="21"/>
      <w:lang w:val="en-US" w:eastAsia="zh-CN"/>
    </w:rPr>
  </w:style>
  <w:style w:type="character" w:customStyle="1" w:styleId="87">
    <w:name w:val="H2 Char"/>
    <w:qFormat/>
    <w:uiPriority w:val="0"/>
    <w:rPr>
      <w:rFonts w:ascii="Arial" w:hAnsi="Arial" w:eastAsia="宋体"/>
      <w:kern w:val="2"/>
      <w:sz w:val="28"/>
      <w:lang w:val="en-US" w:eastAsia="zh-CN"/>
    </w:rPr>
  </w:style>
  <w:style w:type="character" w:customStyle="1" w:styleId="88">
    <w:name w:val="Char Char3"/>
    <w:qFormat/>
    <w:uiPriority w:val="0"/>
    <w:rPr>
      <w:rFonts w:eastAsia="宋体"/>
      <w:kern w:val="2"/>
      <w:sz w:val="18"/>
      <w:lang w:val="en-US" w:eastAsia="zh-CN"/>
    </w:rPr>
  </w:style>
  <w:style w:type="character" w:customStyle="1" w:styleId="89">
    <w:name w:val="Char Char4"/>
    <w:qFormat/>
    <w:uiPriority w:val="0"/>
    <w:rPr>
      <w:rFonts w:eastAsia="宋体"/>
      <w:b/>
      <w:kern w:val="2"/>
      <w:sz w:val="21"/>
      <w:lang w:val="en-US" w:eastAsia="zh-CN"/>
    </w:rPr>
  </w:style>
  <w:style w:type="character" w:customStyle="1" w:styleId="90">
    <w:name w:val="Table Text Char1 Char"/>
    <w:qFormat/>
    <w:uiPriority w:val="0"/>
    <w:rPr>
      <w:rFonts w:ascii="Arial" w:hAnsi="Arial"/>
      <w:kern w:val="2"/>
      <w:sz w:val="18"/>
      <w:lang w:val="en-US" w:eastAsia="zh-CN" w:bidi="ar-SA"/>
    </w:rPr>
  </w:style>
  <w:style w:type="character" w:customStyle="1" w:styleId="91">
    <w:name w:val="Char Char5"/>
    <w:qFormat/>
    <w:uiPriority w:val="0"/>
    <w:rPr>
      <w:rFonts w:ascii="Arial" w:hAnsi="Arial" w:eastAsia="宋体"/>
      <w:b/>
      <w:smallCaps/>
      <w:kern w:val="28"/>
      <w:sz w:val="36"/>
      <w:lang w:val="en-US" w:eastAsia="en-US"/>
    </w:rPr>
  </w:style>
  <w:style w:type="character" w:customStyle="1" w:styleId="92">
    <w:name w:val="Char Char"/>
    <w:qFormat/>
    <w:uiPriority w:val="0"/>
    <w:rPr>
      <w:rFonts w:ascii="宋体" w:hAnsi="宋体" w:eastAsia="宋体"/>
      <w:kern w:val="2"/>
      <w:sz w:val="24"/>
      <w:lang w:val="en-US" w:eastAsia="zh-CN" w:bidi="ar-SA"/>
    </w:rPr>
  </w:style>
  <w:style w:type="character" w:customStyle="1" w:styleId="93">
    <w:name w:val="Table Heading Char Char"/>
    <w:qFormat/>
    <w:uiPriority w:val="0"/>
    <w:rPr>
      <w:rFonts w:ascii="Arial" w:hAnsi="Arial" w:eastAsia="黑体"/>
      <w:kern w:val="2"/>
      <w:sz w:val="18"/>
      <w:lang w:val="en-US" w:eastAsia="zh-CN"/>
    </w:rPr>
  </w:style>
  <w:style w:type="character" w:customStyle="1" w:styleId="94">
    <w:name w:val="Table Text Char Char Char Char"/>
    <w:link w:val="95"/>
    <w:qFormat/>
    <w:uiPriority w:val="0"/>
    <w:rPr>
      <w:rFonts w:ascii="Arial" w:hAnsi="Arial"/>
      <w:kern w:val="2"/>
      <w:sz w:val="18"/>
      <w:lang w:val="en-US" w:eastAsia="zh-CN" w:bidi="ar-SA"/>
    </w:rPr>
  </w:style>
  <w:style w:type="paragraph" w:customStyle="1" w:styleId="95">
    <w:name w:val="Table Text Char Char Char"/>
    <w:link w:val="94"/>
    <w:qFormat/>
    <w:uiPriority w:val="0"/>
    <w:pPr>
      <w:snapToGrid w:val="0"/>
      <w:spacing w:before="80" w:after="80"/>
    </w:pPr>
    <w:rPr>
      <w:rFonts w:ascii="Arial" w:hAnsi="Arial" w:eastAsia="宋体" w:cs="Times New Roman"/>
      <w:kern w:val="2"/>
      <w:sz w:val="18"/>
      <w:lang w:val="en-US" w:eastAsia="zh-CN" w:bidi="ar-SA"/>
    </w:rPr>
  </w:style>
  <w:style w:type="character" w:customStyle="1" w:styleId="96">
    <w:name w:val="Table Text Char"/>
    <w:link w:val="97"/>
    <w:qFormat/>
    <w:uiPriority w:val="0"/>
    <w:rPr>
      <w:rFonts w:ascii="Arial" w:hAnsi="Arial"/>
      <w:kern w:val="2"/>
      <w:sz w:val="18"/>
      <w:lang w:val="en-US" w:eastAsia="zh-CN" w:bidi="ar-SA"/>
    </w:rPr>
  </w:style>
  <w:style w:type="paragraph" w:customStyle="1" w:styleId="97">
    <w:name w:val="Table Text"/>
    <w:link w:val="96"/>
    <w:qFormat/>
    <w:uiPriority w:val="0"/>
    <w:pPr>
      <w:snapToGrid w:val="0"/>
      <w:spacing w:before="80" w:after="80"/>
    </w:pPr>
    <w:rPr>
      <w:rFonts w:ascii="Arial" w:hAnsi="Arial" w:eastAsia="宋体" w:cs="Times New Roman"/>
      <w:kern w:val="2"/>
      <w:sz w:val="18"/>
      <w:lang w:val="en-US" w:eastAsia="zh-CN" w:bidi="ar-SA"/>
    </w:rPr>
  </w:style>
  <w:style w:type="character" w:customStyle="1" w:styleId="98">
    <w:name w:val="Char Char2"/>
    <w:qFormat/>
    <w:uiPriority w:val="0"/>
    <w:rPr>
      <w:rFonts w:eastAsia="宋体"/>
      <w:kern w:val="2"/>
      <w:sz w:val="18"/>
      <w:lang w:val="en-US" w:eastAsia="zh-CN"/>
    </w:rPr>
  </w:style>
  <w:style w:type="character" w:customStyle="1" w:styleId="99">
    <w:name w:val="标书正文:  0.74 厘米 Char1"/>
    <w:qFormat/>
    <w:uiPriority w:val="0"/>
    <w:rPr>
      <w:rFonts w:eastAsia="宋体"/>
      <w:kern w:val="2"/>
      <w:sz w:val="24"/>
      <w:lang w:val="en-US" w:eastAsia="zh-CN"/>
    </w:rPr>
  </w:style>
  <w:style w:type="character" w:customStyle="1" w:styleId="100">
    <w:name w:val="样式 宋体"/>
    <w:qFormat/>
    <w:uiPriority w:val="0"/>
    <w:rPr>
      <w:rFonts w:ascii="宋体" w:hAnsi="宋体" w:eastAsia="宋体"/>
      <w:sz w:val="28"/>
    </w:rPr>
  </w:style>
  <w:style w:type="character" w:customStyle="1" w:styleId="101">
    <w:name w:val="未命名11"/>
    <w:qFormat/>
    <w:uiPriority w:val="0"/>
    <w:rPr>
      <w:color w:val="77FFFF"/>
      <w:sz w:val="24"/>
    </w:rPr>
  </w:style>
  <w:style w:type="character" w:customStyle="1" w:styleId="102">
    <w:name w:val="crowed11"/>
    <w:qFormat/>
    <w:uiPriority w:val="0"/>
    <w:rPr>
      <w:rFonts w:hint="default" w:ascii="_x000B__x000C_" w:hAnsi="_x000B__x000C_"/>
      <w:sz w:val="24"/>
    </w:rPr>
  </w:style>
  <w:style w:type="character" w:customStyle="1" w:styleId="103">
    <w:name w:val="Char Char6"/>
    <w:qFormat/>
    <w:uiPriority w:val="0"/>
    <w:rPr>
      <w:rFonts w:ascii="仿宋_GB2312" w:eastAsia="仿宋_GB2312"/>
      <w:kern w:val="2"/>
      <w:sz w:val="32"/>
    </w:rPr>
  </w:style>
  <w:style w:type="character" w:customStyle="1" w:styleId="104">
    <w:name w:val="title_emph1"/>
    <w:qFormat/>
    <w:uiPriority w:val="0"/>
    <w:rPr>
      <w:rFonts w:hint="default" w:ascii="Arial" w:hAnsi="Arial"/>
      <w:b/>
      <w:sz w:val="20"/>
    </w:rPr>
  </w:style>
  <w:style w:type="character" w:customStyle="1" w:styleId="105">
    <w:name w:val="font1"/>
    <w:qFormat/>
    <w:uiPriority w:val="0"/>
    <w:rPr>
      <w:color w:val="000000"/>
      <w:sz w:val="18"/>
    </w:rPr>
  </w:style>
  <w:style w:type="character" w:customStyle="1" w:styleId="106">
    <w:name w:val="Char Char11"/>
    <w:qFormat/>
    <w:uiPriority w:val="0"/>
    <w:rPr>
      <w:rFonts w:ascii="宋体"/>
      <w:kern w:val="2"/>
      <w:sz w:val="28"/>
    </w:rPr>
  </w:style>
  <w:style w:type="character" w:customStyle="1" w:styleId="107">
    <w:name w:val="top-det1"/>
    <w:qFormat/>
    <w:uiPriority w:val="0"/>
    <w:rPr>
      <w:b/>
      <w:color w:val="000000"/>
    </w:rPr>
  </w:style>
  <w:style w:type="paragraph" w:customStyle="1" w:styleId="108">
    <w:name w:val="二级列表"/>
    <w:basedOn w:val="109"/>
    <w:next w:val="109"/>
    <w:qFormat/>
    <w:uiPriority w:val="0"/>
    <w:pPr>
      <w:tabs>
        <w:tab w:val="left" w:pos="2120"/>
      </w:tabs>
      <w:ind w:firstLine="0" w:firstLineChars="0"/>
    </w:pPr>
    <w:rPr>
      <w:b/>
    </w:rPr>
  </w:style>
  <w:style w:type="paragraph" w:customStyle="1" w:styleId="109">
    <w:name w:val="段落正文"/>
    <w:basedOn w:val="1"/>
    <w:qFormat/>
    <w:uiPriority w:val="0"/>
    <w:pPr>
      <w:spacing w:before="156" w:beforeLines="50" w:line="360" w:lineRule="auto"/>
      <w:ind w:firstLine="200" w:firstLineChars="200"/>
    </w:pPr>
    <w:rPr>
      <w:spacing w:val="2"/>
      <w:sz w:val="24"/>
    </w:rPr>
  </w:style>
  <w:style w:type="paragraph" w:customStyle="1" w:styleId="110">
    <w:name w:val="标题3——2"/>
    <w:basedOn w:val="5"/>
    <w:next w:val="56"/>
    <w:qFormat/>
    <w:uiPriority w:val="0"/>
    <w:pPr>
      <w:tabs>
        <w:tab w:val="left" w:pos="1280"/>
        <w:tab w:val="right" w:leader="dot" w:pos="8777"/>
      </w:tabs>
      <w:spacing w:before="312" w:beforeLines="100" w:after="0" w:line="240" w:lineRule="auto"/>
      <w:ind w:left="851" w:hanging="851"/>
      <w:outlineLvl w:val="9"/>
    </w:pPr>
    <w:rPr>
      <w:rFonts w:ascii="黑体" w:hAnsi="宋体" w:eastAsia="黑体"/>
      <w:sz w:val="30"/>
    </w:rPr>
  </w:style>
  <w:style w:type="paragraph" w:customStyle="1" w:styleId="111">
    <w:name w:val="文本1"/>
    <w:basedOn w:val="1"/>
    <w:qFormat/>
    <w:uiPriority w:val="0"/>
    <w:pPr>
      <w:adjustRightInd w:val="0"/>
      <w:spacing w:line="312" w:lineRule="atLeast"/>
      <w:jc w:val="center"/>
      <w:textAlignment w:val="baseline"/>
    </w:pPr>
    <w:rPr>
      <w:kern w:val="0"/>
      <w:sz w:val="18"/>
    </w:rPr>
  </w:style>
  <w:style w:type="paragraph" w:customStyle="1" w:styleId="112">
    <w:name w:val="Title - Revision"/>
    <w:basedOn w:val="54"/>
    <w:qFormat/>
    <w:uiPriority w:val="0"/>
    <w:pPr>
      <w:spacing w:before="720"/>
    </w:pPr>
  </w:style>
  <w:style w:type="paragraph" w:customStyle="1" w:styleId="113">
    <w:name w:val="Table Text Char1"/>
    <w:qFormat/>
    <w:uiPriority w:val="0"/>
    <w:pPr>
      <w:snapToGrid w:val="0"/>
      <w:spacing w:before="80" w:after="80"/>
    </w:pPr>
    <w:rPr>
      <w:rFonts w:ascii="Arial" w:hAnsi="Arial" w:eastAsia="宋体" w:cs="Times New Roman"/>
      <w:kern w:val="2"/>
      <w:sz w:val="18"/>
      <w:lang w:val="en-US" w:eastAsia="zh-CN" w:bidi="ar-SA"/>
    </w:rPr>
  </w:style>
  <w:style w:type="paragraph" w:customStyle="1" w:styleId="114">
    <w:name w:val="项目"/>
    <w:basedOn w:val="1"/>
    <w:qFormat/>
    <w:uiPriority w:val="0"/>
    <w:pPr>
      <w:tabs>
        <w:tab w:val="left" w:pos="1280"/>
      </w:tabs>
      <w:spacing w:before="120" w:after="120" w:line="360" w:lineRule="auto"/>
      <w:ind w:left="-7" w:firstLine="567"/>
      <w:jc w:val="left"/>
      <w:textAlignment w:val="baseline"/>
    </w:pPr>
    <w:rPr>
      <w:rFonts w:ascii="宋体"/>
      <w:kern w:val="0"/>
      <w:sz w:val="24"/>
    </w:rPr>
  </w:style>
  <w:style w:type="paragraph" w:customStyle="1" w:styleId="115">
    <w:name w:val="二级条标题"/>
    <w:basedOn w:val="116"/>
    <w:next w:val="118"/>
    <w:qFormat/>
    <w:uiPriority w:val="0"/>
    <w:pPr>
      <w:ind w:left="840"/>
      <w:outlineLvl w:val="3"/>
    </w:pPr>
  </w:style>
  <w:style w:type="paragraph" w:customStyle="1" w:styleId="116">
    <w:name w:val="一级条标题"/>
    <w:basedOn w:val="117"/>
    <w:next w:val="118"/>
    <w:qFormat/>
    <w:uiPriority w:val="0"/>
    <w:pPr>
      <w:numPr>
        <w:numId w:val="0"/>
      </w:numPr>
      <w:spacing w:before="0" w:beforeLines="0" w:after="0" w:afterLines="0"/>
      <w:ind w:left="525"/>
      <w:outlineLvl w:val="2"/>
    </w:pPr>
    <w:rPr>
      <w:sz w:val="21"/>
    </w:rPr>
  </w:style>
  <w:style w:type="paragraph" w:customStyle="1" w:styleId="117">
    <w:name w:val="章标题"/>
    <w:next w:val="1"/>
    <w:qFormat/>
    <w:uiPriority w:val="0"/>
    <w:pPr>
      <w:numPr>
        <w:ilvl w:val="1"/>
        <w:numId w:val="5"/>
      </w:numPr>
      <w:spacing w:before="156" w:beforeLines="50" w:after="156" w:afterLines="50"/>
      <w:ind w:left="0"/>
      <w:jc w:val="both"/>
      <w:outlineLvl w:val="1"/>
    </w:pPr>
    <w:rPr>
      <w:rFonts w:ascii="黑体" w:hAnsi="Times New Roman" w:eastAsia="黑体" w:cs="Times New Roman"/>
      <w:sz w:val="24"/>
      <w:lang w:val="en-US" w:eastAsia="zh-CN" w:bidi="ar-SA"/>
    </w:rPr>
  </w:style>
  <w:style w:type="paragraph" w:customStyle="1" w:styleId="118">
    <w:name w:val="段"/>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paragraph" w:customStyle="1" w:styleId="119">
    <w:name w:val="1.正文"/>
    <w:basedOn w:val="1"/>
    <w:qFormat/>
    <w:uiPriority w:val="0"/>
    <w:pPr>
      <w:spacing w:line="360" w:lineRule="auto"/>
      <w:ind w:left="540" w:leftChars="225" w:firstLine="540" w:firstLineChars="225"/>
    </w:pPr>
    <w:rPr>
      <w:sz w:val="24"/>
    </w:rPr>
  </w:style>
  <w:style w:type="paragraph" w:customStyle="1" w:styleId="120">
    <w:name w:val="tabletext"/>
    <w:basedOn w:val="1"/>
    <w:qFormat/>
    <w:uiPriority w:val="0"/>
    <w:pPr>
      <w:widowControl/>
      <w:spacing w:before="100" w:beforeAutospacing="1" w:after="100" w:afterAutospacing="1"/>
      <w:jc w:val="left"/>
    </w:pPr>
    <w:rPr>
      <w:rFonts w:ascii="宋体" w:hAnsi="宋体" w:cs="宋体"/>
      <w:kern w:val="0"/>
      <w:sz w:val="24"/>
      <w:szCs w:val="24"/>
    </w:rPr>
  </w:style>
  <w:style w:type="paragraph" w:customStyle="1" w:styleId="121">
    <w:name w:val="编号正文"/>
    <w:basedOn w:val="122"/>
    <w:qFormat/>
    <w:uiPriority w:val="0"/>
    <w:pPr>
      <w:snapToGrid/>
      <w:spacing w:line="360" w:lineRule="auto"/>
      <w:ind w:left="1407" w:hanging="1047"/>
      <w:jc w:val="left"/>
    </w:pPr>
    <w:rPr>
      <w:rFonts w:eastAsia="仿宋_GB2312"/>
    </w:rPr>
  </w:style>
  <w:style w:type="paragraph" w:customStyle="1" w:styleId="122">
    <w:name w:val="文档正文"/>
    <w:basedOn w:val="1"/>
    <w:qFormat/>
    <w:uiPriority w:val="0"/>
    <w:pPr>
      <w:adjustRightInd w:val="0"/>
      <w:snapToGrid w:val="0"/>
      <w:spacing w:line="440" w:lineRule="exact"/>
      <w:ind w:firstLine="567"/>
      <w:textAlignment w:val="baseline"/>
    </w:pPr>
    <w:rPr>
      <w:rFonts w:ascii="Arial Narrow" w:hAnsi="Arial Narrow"/>
      <w:kern w:val="0"/>
      <w:sz w:val="24"/>
    </w:rPr>
  </w:style>
  <w:style w:type="paragraph" w:customStyle="1" w:styleId="123">
    <w:name w:val="样式3"/>
    <w:basedOn w:val="3"/>
    <w:next w:val="3"/>
    <w:qFormat/>
    <w:uiPriority w:val="0"/>
    <w:pPr>
      <w:keepLines/>
      <w:adjustRightInd w:val="0"/>
      <w:spacing w:before="340" w:after="330" w:line="576" w:lineRule="auto"/>
    </w:pPr>
    <w:rPr>
      <w:rFonts w:ascii="Times New Roman" w:eastAsia="黑体"/>
      <w:kern w:val="44"/>
      <w:sz w:val="44"/>
    </w:rPr>
  </w:style>
  <w:style w:type="paragraph" w:customStyle="1" w:styleId="124">
    <w:name w:val="Item Step in Table"/>
    <w:qFormat/>
    <w:uiPriority w:val="0"/>
    <w:pPr>
      <w:numPr>
        <w:ilvl w:val="0"/>
        <w:numId w:val="5"/>
      </w:numPr>
      <w:tabs>
        <w:tab w:val="left" w:pos="397"/>
      </w:tabs>
      <w:spacing w:before="40" w:after="40"/>
      <w:jc w:val="both"/>
    </w:pPr>
    <w:rPr>
      <w:rFonts w:ascii="Arial" w:hAnsi="Arial" w:eastAsia="宋体" w:cs="Times New Roman"/>
      <w:sz w:val="18"/>
      <w:lang w:val="en-US" w:eastAsia="zh-CN" w:bidi="ar-SA"/>
    </w:rPr>
  </w:style>
  <w:style w:type="paragraph" w:customStyle="1" w:styleId="125">
    <w:name w:val="默认段落字体 Para Char Char Char Char Char Char Char Char Char1 Char Char Char Char"/>
    <w:basedOn w:val="1"/>
    <w:qFormat/>
    <w:uiPriority w:val="0"/>
    <w:rPr>
      <w:rFonts w:ascii="Tahoma" w:hAnsi="Tahoma"/>
      <w:sz w:val="24"/>
    </w:rPr>
  </w:style>
  <w:style w:type="paragraph" w:customStyle="1" w:styleId="126">
    <w:name w:val="AA Numbering"/>
    <w:basedOn w:val="1"/>
    <w:qFormat/>
    <w:uiPriority w:val="0"/>
    <w:pPr>
      <w:widowControl/>
      <w:tabs>
        <w:tab w:val="left" w:pos="1134"/>
        <w:tab w:val="left" w:pos="1280"/>
      </w:tabs>
      <w:adjustRightInd w:val="0"/>
      <w:snapToGrid w:val="0"/>
      <w:spacing w:line="280" w:lineRule="atLeast"/>
      <w:jc w:val="left"/>
    </w:pPr>
    <w:rPr>
      <w:rFonts w:eastAsia="PMingLiU"/>
      <w:kern w:val="0"/>
      <w:sz w:val="24"/>
      <w:lang w:eastAsia="zh-TW"/>
    </w:rPr>
  </w:style>
  <w:style w:type="paragraph" w:customStyle="1" w:styleId="127">
    <w:name w:val="Char Char Char1 Char Char Char Char Char Char Char Char Char Char Char Char Char"/>
    <w:basedOn w:val="1"/>
    <w:qFormat/>
    <w:uiPriority w:val="0"/>
    <w:pPr>
      <w:widowControl/>
      <w:spacing w:after="160" w:line="240" w:lineRule="exact"/>
      <w:jc w:val="left"/>
    </w:pPr>
    <w:rPr>
      <w:rFonts w:ascii="Verdana" w:hAnsi="Verdana"/>
      <w:kern w:val="0"/>
      <w:sz w:val="18"/>
      <w:lang w:eastAsia="en-US"/>
    </w:rPr>
  </w:style>
  <w:style w:type="paragraph" w:customStyle="1" w:styleId="128">
    <w:name w:val="Char Char14 Char Char"/>
    <w:basedOn w:val="1"/>
    <w:qFormat/>
    <w:uiPriority w:val="0"/>
    <w:rPr>
      <w:sz w:val="21"/>
      <w:szCs w:val="24"/>
    </w:rPr>
  </w:style>
  <w:style w:type="paragraph" w:customStyle="1" w:styleId="129">
    <w:name w:val="Char Char Char Char Char"/>
    <w:basedOn w:val="1"/>
    <w:qFormat/>
    <w:uiPriority w:val="0"/>
    <w:pPr>
      <w:tabs>
        <w:tab w:val="left" w:pos="425"/>
      </w:tabs>
      <w:ind w:left="1620" w:hanging="360"/>
    </w:pPr>
    <w:rPr>
      <w:rFonts w:ascii="Tahoma" w:hAnsi="Tahoma"/>
      <w:sz w:val="24"/>
    </w:rPr>
  </w:style>
  <w:style w:type="paragraph" w:customStyle="1" w:styleId="130">
    <w:name w:val="Char2 Char Char Char Char Char Char"/>
    <w:basedOn w:val="1"/>
    <w:qFormat/>
    <w:uiPriority w:val="0"/>
    <w:rPr>
      <w:rFonts w:ascii="仿宋_GB2312"/>
      <w:b/>
      <w:sz w:val="30"/>
    </w:rPr>
  </w:style>
  <w:style w:type="paragraph" w:customStyle="1" w:styleId="131">
    <w:name w:val="_Style 128"/>
    <w:qFormat/>
    <w:uiPriority w:val="0"/>
    <w:rPr>
      <w:rFonts w:ascii="Times New Roman" w:hAnsi="Times New Roman" w:eastAsia="宋体" w:cs="Times New Roman"/>
      <w:kern w:val="2"/>
      <w:sz w:val="21"/>
      <w:lang w:val="en-US" w:eastAsia="zh-CN" w:bidi="ar-SA"/>
    </w:rPr>
  </w:style>
  <w:style w:type="paragraph" w:customStyle="1" w:styleId="132">
    <w:name w:val="正文格式 Char"/>
    <w:basedOn w:val="1"/>
    <w:qFormat/>
    <w:uiPriority w:val="0"/>
    <w:pPr>
      <w:widowControl/>
      <w:adjustRightInd w:val="0"/>
      <w:spacing w:line="440" w:lineRule="atLeast"/>
      <w:ind w:firstLine="510"/>
      <w:textAlignment w:val="baseline"/>
    </w:pPr>
    <w:rPr>
      <w:kern w:val="0"/>
      <w:sz w:val="24"/>
    </w:rPr>
  </w:style>
  <w:style w:type="paragraph" w:customStyle="1" w:styleId="133">
    <w:name w:val="正文 + 三号"/>
    <w:basedOn w:val="1"/>
    <w:qFormat/>
    <w:uiPriority w:val="0"/>
    <w:rPr>
      <w:sz w:val="21"/>
    </w:rPr>
  </w:style>
  <w:style w:type="paragraph" w:customStyle="1" w:styleId="134">
    <w:name w:val="样式 首行缩进:  0.74 厘米"/>
    <w:basedOn w:val="1"/>
    <w:qFormat/>
    <w:uiPriority w:val="0"/>
    <w:pPr>
      <w:spacing w:line="360" w:lineRule="auto"/>
      <w:ind w:firstLine="420"/>
    </w:pPr>
    <w:rPr>
      <w:sz w:val="24"/>
    </w:rPr>
  </w:style>
  <w:style w:type="paragraph" w:customStyle="1" w:styleId="135">
    <w:name w:val="样式 样式 首行缩进:  2 字符 + 首行缩进:  2 字符"/>
    <w:basedOn w:val="1"/>
    <w:qFormat/>
    <w:uiPriority w:val="0"/>
    <w:pPr>
      <w:numPr>
        <w:ilvl w:val="0"/>
        <w:numId w:val="6"/>
      </w:numPr>
      <w:tabs>
        <w:tab w:val="clear" w:pos="1230"/>
      </w:tabs>
      <w:spacing w:line="360" w:lineRule="auto"/>
      <w:ind w:firstLine="480" w:firstLineChars="200"/>
    </w:pPr>
    <w:rPr>
      <w:sz w:val="24"/>
    </w:rPr>
  </w:style>
  <w:style w:type="paragraph" w:customStyle="1" w:styleId="136">
    <w:name w:val="标题2"/>
    <w:basedOn w:val="4"/>
    <w:qFormat/>
    <w:uiPriority w:val="0"/>
    <w:pPr>
      <w:keepNext w:val="0"/>
      <w:keepLines w:val="0"/>
      <w:adjustRightInd w:val="0"/>
      <w:snapToGrid w:val="0"/>
      <w:spacing w:before="0" w:after="0" w:line="360" w:lineRule="auto"/>
      <w:ind w:firstLine="574" w:firstLineChars="196"/>
      <w:outlineLvl w:val="9"/>
    </w:pPr>
    <w:rPr>
      <w:rFonts w:ascii="宋体" w:hAnsi="宋体" w:eastAsia="宋体"/>
      <w:spacing w:val="6"/>
      <w:sz w:val="28"/>
      <w:u w:val="single"/>
    </w:rPr>
  </w:style>
  <w:style w:type="paragraph" w:customStyle="1" w:styleId="137">
    <w:name w:val="Item Step"/>
    <w:qFormat/>
    <w:uiPriority w:val="0"/>
    <w:pPr>
      <w:tabs>
        <w:tab w:val="left" w:pos="1644"/>
      </w:tabs>
      <w:ind w:left="1644" w:hanging="510"/>
      <w:outlineLvl w:val="4"/>
    </w:pPr>
    <w:rPr>
      <w:rFonts w:ascii="Arial" w:hAnsi="Arial" w:eastAsia="宋体" w:cs="Times New Roman"/>
      <w:sz w:val="21"/>
      <w:lang w:val="en-US" w:eastAsia="zh-CN" w:bidi="ar-SA"/>
    </w:rPr>
  </w:style>
  <w:style w:type="paragraph" w:customStyle="1" w:styleId="138">
    <w:name w:val="Table Contents"/>
    <w:basedOn w:val="2"/>
    <w:qFormat/>
    <w:uiPriority w:val="0"/>
    <w:pPr>
      <w:suppressAutoHyphens/>
      <w:jc w:val="left"/>
    </w:pPr>
    <w:rPr>
      <w:rFonts w:ascii="Times New Roman" w:eastAsia="Times New Roman"/>
      <w:kern w:val="0"/>
      <w:sz w:val="24"/>
    </w:rPr>
  </w:style>
  <w:style w:type="paragraph" w:customStyle="1" w:styleId="139">
    <w:name w:val="表格文本"/>
    <w:qFormat/>
    <w:uiPriority w:val="0"/>
    <w:pPr>
      <w:tabs>
        <w:tab w:val="decimal" w:pos="0"/>
      </w:tabs>
    </w:pPr>
    <w:rPr>
      <w:rFonts w:ascii="Arial" w:hAnsi="Arial" w:eastAsia="宋体" w:cs="Times New Roman"/>
      <w:sz w:val="21"/>
      <w:lang w:val="en-US" w:eastAsia="zh-CN" w:bidi="ar-SA"/>
    </w:rPr>
  </w:style>
  <w:style w:type="paragraph" w:customStyle="1" w:styleId="140">
    <w:name w:val="Char Char Char Char Char Char Char"/>
    <w:basedOn w:val="1"/>
    <w:qFormat/>
    <w:uiPriority w:val="0"/>
    <w:rPr>
      <w:rFonts w:ascii="Tahoma" w:hAnsi="Tahoma"/>
      <w:sz w:val="24"/>
    </w:rPr>
  </w:style>
  <w:style w:type="paragraph" w:customStyle="1" w:styleId="141">
    <w:name w:val="样式2"/>
    <w:basedOn w:val="6"/>
    <w:qFormat/>
    <w:uiPriority w:val="0"/>
    <w:pPr>
      <w:numPr>
        <w:ilvl w:val="0"/>
        <w:numId w:val="7"/>
      </w:numPr>
      <w:spacing w:before="560" w:line="400" w:lineRule="exact"/>
      <w:jc w:val="center"/>
      <w:outlineLvl w:val="0"/>
    </w:pPr>
    <w:rPr>
      <w:b w:val="0"/>
      <w:sz w:val="44"/>
    </w:rPr>
  </w:style>
  <w:style w:type="paragraph" w:customStyle="1" w:styleId="142">
    <w:name w:val="内容标题"/>
    <w:basedOn w:val="18"/>
    <w:qFormat/>
    <w:uiPriority w:val="0"/>
    <w:rPr>
      <w:rFonts w:ascii="Tahoma" w:hAnsi="Tahoma"/>
      <w:sz w:val="24"/>
    </w:rPr>
  </w:style>
  <w:style w:type="paragraph" w:customStyle="1" w:styleId="143">
    <w:name w:val="xl40"/>
    <w:basedOn w:val="1"/>
    <w:qFormat/>
    <w:uiPriority w:val="0"/>
    <w:pPr>
      <w:widowControl/>
      <w:pBdr>
        <w:left w:val="single" w:color="auto" w:sz="4" w:space="0"/>
        <w:right w:val="single" w:color="auto" w:sz="4" w:space="0"/>
      </w:pBdr>
      <w:spacing w:before="100" w:beforeAutospacing="1" w:after="100" w:afterAutospacing="1"/>
      <w:jc w:val="center"/>
    </w:pPr>
    <w:rPr>
      <w:rFonts w:ascii="宋体" w:hAnsi="宋体"/>
      <w:kern w:val="0"/>
      <w:sz w:val="24"/>
    </w:rPr>
  </w:style>
  <w:style w:type="paragraph" w:customStyle="1" w:styleId="144">
    <w:name w:val="1"/>
    <w:basedOn w:val="1"/>
    <w:next w:val="31"/>
    <w:qFormat/>
    <w:uiPriority w:val="0"/>
    <w:rPr>
      <w:rFonts w:ascii="宋体" w:hAnsi="Courier New"/>
      <w:sz w:val="21"/>
    </w:rPr>
  </w:style>
  <w:style w:type="paragraph" w:customStyle="1" w:styleId="145">
    <w:name w:val="列表项目"/>
    <w:basedOn w:val="1"/>
    <w:qFormat/>
    <w:uiPriority w:val="0"/>
    <w:pPr>
      <w:tabs>
        <w:tab w:val="left" w:pos="420"/>
      </w:tabs>
      <w:spacing w:line="288" w:lineRule="auto"/>
      <w:ind w:left="840" w:leftChars="200" w:hanging="420" w:hangingChars="200"/>
    </w:pPr>
    <w:rPr>
      <w:sz w:val="21"/>
    </w:rPr>
  </w:style>
  <w:style w:type="paragraph" w:customStyle="1" w:styleId="146">
    <w:name w:val="style1"/>
    <w:basedOn w:val="1"/>
    <w:qFormat/>
    <w:uiPriority w:val="0"/>
    <w:pPr>
      <w:widowControl/>
      <w:spacing w:before="100" w:beforeAutospacing="1" w:after="100" w:afterAutospacing="1"/>
      <w:jc w:val="left"/>
    </w:pPr>
    <w:rPr>
      <w:rFonts w:ascii="宋体" w:hAnsi="宋体"/>
      <w:kern w:val="0"/>
      <w:sz w:val="21"/>
    </w:rPr>
  </w:style>
  <w:style w:type="paragraph" w:customStyle="1" w:styleId="147">
    <w:name w:val="Char Char Char Char Char Char Char1"/>
    <w:basedOn w:val="18"/>
    <w:qFormat/>
    <w:uiPriority w:val="0"/>
    <w:rPr>
      <w:rFonts w:ascii="宋体" w:hAnsi="Tahoma"/>
    </w:rPr>
  </w:style>
  <w:style w:type="paragraph" w:customStyle="1" w:styleId="148">
    <w:name w:val="样式 标题 6第五层条 + 三号 段前: 0.5 行"/>
    <w:basedOn w:val="8"/>
    <w:qFormat/>
    <w:uiPriority w:val="0"/>
    <w:pPr>
      <w:widowControl/>
      <w:adjustRightInd/>
      <w:snapToGrid/>
      <w:spacing w:before="156" w:beforeLines="50"/>
      <w:jc w:val="left"/>
    </w:pPr>
    <w:rPr>
      <w:snapToGrid w:val="0"/>
      <w:kern w:val="24"/>
      <w:sz w:val="28"/>
    </w:rPr>
  </w:style>
  <w:style w:type="paragraph" w:customStyle="1" w:styleId="149">
    <w:name w:val="段 Char"/>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paragraph" w:customStyle="1" w:styleId="150">
    <w:name w:val="样式 正文首行缩进 2 + 首行缩进:  2 字符"/>
    <w:basedOn w:val="1"/>
    <w:qFormat/>
    <w:uiPriority w:val="0"/>
    <w:pPr>
      <w:numPr>
        <w:ilvl w:val="0"/>
        <w:numId w:val="8"/>
      </w:numPr>
      <w:adjustRightInd w:val="0"/>
      <w:snapToGrid w:val="0"/>
      <w:spacing w:line="360" w:lineRule="auto"/>
    </w:pPr>
    <w:rPr>
      <w:rFonts w:ascii="Arial" w:hAnsi="Arial"/>
      <w:b/>
      <w:sz w:val="24"/>
    </w:rPr>
  </w:style>
  <w:style w:type="paragraph" w:customStyle="1" w:styleId="151">
    <w:name w:val="样式 行距: 1.5 倍行距1"/>
    <w:basedOn w:val="1"/>
    <w:qFormat/>
    <w:uiPriority w:val="0"/>
    <w:pPr>
      <w:snapToGrid w:val="0"/>
    </w:pPr>
    <w:rPr>
      <w:sz w:val="21"/>
    </w:rPr>
  </w:style>
  <w:style w:type="paragraph" w:customStyle="1" w:styleId="152">
    <w:name w:val="样式 仿宋_GB2312 首行缩进:  2 字符"/>
    <w:basedOn w:val="1"/>
    <w:qFormat/>
    <w:uiPriority w:val="0"/>
    <w:pPr>
      <w:spacing w:line="600" w:lineRule="exact"/>
      <w:ind w:firstLine="420" w:firstLineChars="150"/>
      <w:jc w:val="left"/>
    </w:pPr>
    <w:rPr>
      <w:rFonts w:ascii="仿宋_GB2312" w:hAnsi="Arial" w:eastAsia="仿宋_GB2312"/>
      <w:color w:val="000000"/>
      <w:kern w:val="0"/>
      <w:lang w:val="zh-CN"/>
    </w:rPr>
  </w:style>
  <w:style w:type="paragraph" w:customStyle="1" w:styleId="153">
    <w:name w:val="00"/>
    <w:basedOn w:val="1"/>
    <w:qFormat/>
    <w:uiPriority w:val="0"/>
    <w:pPr>
      <w:autoSpaceDE w:val="0"/>
      <w:autoSpaceDN w:val="0"/>
      <w:adjustRightInd w:val="0"/>
      <w:jc w:val="left"/>
    </w:pPr>
    <w:rPr>
      <w:rFonts w:ascii="黑体" w:eastAsia="黑体"/>
      <w:b/>
      <w:kern w:val="0"/>
      <w:sz w:val="20"/>
    </w:rPr>
  </w:style>
  <w:style w:type="paragraph" w:customStyle="1" w:styleId="154">
    <w:name w:val="xl27"/>
    <w:basedOn w:val="1"/>
    <w:qFormat/>
    <w:uiPriority w:val="0"/>
    <w:pPr>
      <w:widowControl/>
      <w:pBdr>
        <w:left w:val="single" w:color="auto" w:sz="8" w:space="0"/>
        <w:bottom w:val="single" w:color="auto" w:sz="4" w:space="0"/>
        <w:right w:val="single" w:color="auto" w:sz="4" w:space="0"/>
      </w:pBdr>
      <w:spacing w:before="100" w:beforeAutospacing="1" w:after="100" w:afterAutospacing="1"/>
      <w:jc w:val="center"/>
      <w:textAlignment w:val="center"/>
    </w:pPr>
    <w:rPr>
      <w:rFonts w:ascii="宋体" w:hAnsi="宋体"/>
      <w:kern w:val="0"/>
      <w:sz w:val="21"/>
    </w:rPr>
  </w:style>
  <w:style w:type="paragraph" w:customStyle="1" w:styleId="155">
    <w:name w:val="Char Char Char Char"/>
    <w:basedOn w:val="1"/>
    <w:qFormat/>
    <w:uiPriority w:val="0"/>
    <w:pPr>
      <w:pageBreakBefore/>
      <w:widowControl/>
      <w:spacing w:after="160" w:line="240" w:lineRule="exact"/>
      <w:jc w:val="left"/>
    </w:pPr>
    <w:rPr>
      <w:rFonts w:ascii="Verdana" w:hAnsi="Verdana"/>
      <w:kern w:val="0"/>
      <w:sz w:val="20"/>
      <w:lang w:eastAsia="en-US"/>
    </w:rPr>
  </w:style>
  <w:style w:type="paragraph" w:customStyle="1" w:styleId="156">
    <w:name w:val="Char Char Char Char Char Char1 Char"/>
    <w:basedOn w:val="1"/>
    <w:qFormat/>
    <w:uiPriority w:val="0"/>
    <w:pPr>
      <w:widowControl/>
      <w:spacing w:after="160" w:line="240" w:lineRule="exact"/>
      <w:jc w:val="left"/>
    </w:pPr>
    <w:rPr>
      <w:rFonts w:ascii="Verdana" w:hAnsi="Verdana"/>
      <w:kern w:val="0"/>
      <w:sz w:val="21"/>
      <w:lang w:eastAsia="en-US"/>
    </w:rPr>
  </w:style>
  <w:style w:type="paragraph" w:customStyle="1" w:styleId="157">
    <w:name w:val="标准正文"/>
    <w:basedOn w:val="23"/>
    <w:qFormat/>
    <w:uiPriority w:val="0"/>
    <w:pPr>
      <w:spacing w:before="60" w:after="60" w:line="360" w:lineRule="auto"/>
      <w:ind w:left="0" w:firstLine="482"/>
    </w:pPr>
    <w:rPr>
      <w:rFonts w:ascii="Arial" w:hAnsi="Arial"/>
      <w:sz w:val="24"/>
    </w:rPr>
  </w:style>
  <w:style w:type="paragraph" w:customStyle="1" w:styleId="158">
    <w:name w:val="正文文本 21"/>
    <w:basedOn w:val="1"/>
    <w:qFormat/>
    <w:uiPriority w:val="0"/>
    <w:pPr>
      <w:adjustRightInd w:val="0"/>
      <w:spacing w:before="120" w:line="360" w:lineRule="auto"/>
      <w:ind w:firstLine="480"/>
      <w:textAlignment w:val="baseline"/>
    </w:pPr>
    <w:rPr>
      <w:sz w:val="24"/>
    </w:rPr>
  </w:style>
  <w:style w:type="paragraph" w:customStyle="1" w:styleId="159">
    <w:name w:val="样式1"/>
    <w:basedOn w:val="6"/>
    <w:qFormat/>
    <w:uiPriority w:val="0"/>
    <w:pPr>
      <w:tabs>
        <w:tab w:val="left" w:pos="720"/>
      </w:tabs>
      <w:spacing w:before="500" w:after="260" w:line="560" w:lineRule="atLeast"/>
      <w:ind w:left="420" w:hanging="420"/>
    </w:pPr>
  </w:style>
  <w:style w:type="paragraph" w:customStyle="1" w:styleId="160">
    <w:name w:val="正文4"/>
    <w:basedOn w:val="1"/>
    <w:qFormat/>
    <w:uiPriority w:val="0"/>
    <w:pPr>
      <w:tabs>
        <w:tab w:val="left" w:pos="1275"/>
      </w:tabs>
      <w:spacing w:before="60" w:after="60" w:line="360" w:lineRule="auto"/>
      <w:ind w:left="820" w:leftChars="400" w:hanging="705"/>
    </w:pPr>
    <w:rPr>
      <w:sz w:val="24"/>
    </w:rPr>
  </w:style>
  <w:style w:type="paragraph" w:customStyle="1" w:styleId="161">
    <w:name w:val="Char Char1"/>
    <w:basedOn w:val="1"/>
    <w:qFormat/>
    <w:uiPriority w:val="0"/>
    <w:pPr>
      <w:widowControl/>
      <w:spacing w:after="160" w:line="240" w:lineRule="exact"/>
      <w:jc w:val="left"/>
    </w:pPr>
    <w:rPr>
      <w:rFonts w:ascii="Verdana" w:hAnsi="Verdana"/>
      <w:kern w:val="0"/>
      <w:sz w:val="20"/>
      <w:lang w:eastAsia="en-US"/>
    </w:rPr>
  </w:style>
  <w:style w:type="paragraph" w:customStyle="1" w:styleId="162">
    <w:name w:val="正文格式"/>
    <w:basedOn w:val="1"/>
    <w:qFormat/>
    <w:uiPriority w:val="0"/>
    <w:pPr>
      <w:widowControl/>
      <w:adjustRightInd w:val="0"/>
      <w:snapToGrid w:val="0"/>
      <w:spacing w:before="60" w:line="360" w:lineRule="auto"/>
      <w:ind w:firstLine="480" w:firstLineChars="200"/>
      <w:jc w:val="left"/>
      <w:textAlignment w:val="baseline"/>
    </w:pPr>
    <w:rPr>
      <w:rFonts w:ascii="宋体" w:hAnsi="宋体"/>
      <w:color w:val="000000"/>
      <w:kern w:val="0"/>
      <w:sz w:val="24"/>
    </w:rPr>
  </w:style>
  <w:style w:type="paragraph" w:customStyle="1" w:styleId="163">
    <w:name w:val="文本框样式1"/>
    <w:basedOn w:val="1"/>
    <w:qFormat/>
    <w:uiPriority w:val="0"/>
    <w:pPr>
      <w:adjustRightInd w:val="0"/>
      <w:snapToGrid w:val="0"/>
      <w:spacing w:before="60" w:line="180" w:lineRule="exact"/>
      <w:jc w:val="center"/>
    </w:pPr>
    <w:rPr>
      <w:sz w:val="21"/>
    </w:rPr>
  </w:style>
  <w:style w:type="paragraph" w:customStyle="1" w:styleId="164">
    <w:name w:val="附录2"/>
    <w:basedOn w:val="1"/>
    <w:next w:val="1"/>
    <w:qFormat/>
    <w:uiPriority w:val="0"/>
    <w:pPr>
      <w:tabs>
        <w:tab w:val="left" w:pos="420"/>
        <w:tab w:val="left" w:pos="624"/>
      </w:tabs>
      <w:ind w:left="420" w:hanging="420"/>
      <w:outlineLvl w:val="1"/>
    </w:pPr>
    <w:rPr>
      <w:rFonts w:ascii="黑体" w:hAnsi="黑体" w:eastAsia="黑体"/>
      <w:b/>
      <w:sz w:val="32"/>
    </w:rPr>
  </w:style>
  <w:style w:type="paragraph" w:customStyle="1" w:styleId="165">
    <w:name w:val="附录1"/>
    <w:basedOn w:val="1"/>
    <w:next w:val="1"/>
    <w:qFormat/>
    <w:uiPriority w:val="0"/>
    <w:pPr>
      <w:tabs>
        <w:tab w:val="left" w:pos="1304"/>
      </w:tabs>
      <w:ind w:left="425" w:hanging="425"/>
      <w:outlineLvl w:val="0"/>
    </w:pPr>
    <w:rPr>
      <w:rFonts w:ascii="黑体" w:hAnsi="黑体" w:eastAsia="黑体"/>
      <w:b/>
      <w:sz w:val="44"/>
    </w:rPr>
  </w:style>
  <w:style w:type="paragraph" w:customStyle="1" w:styleId="166">
    <w:name w:val="Char Char Char Char Char Char Char Char Char Char Char Char Char"/>
    <w:basedOn w:val="1"/>
    <w:qFormat/>
    <w:uiPriority w:val="0"/>
    <w:pPr>
      <w:widowControl/>
      <w:spacing w:after="160" w:line="240" w:lineRule="exact"/>
      <w:jc w:val="left"/>
    </w:pPr>
    <w:rPr>
      <w:rFonts w:ascii="Verdana" w:hAnsi="Verdana" w:eastAsia="仿宋_GB2312"/>
      <w:kern w:val="0"/>
      <w:sz w:val="24"/>
      <w:lang w:eastAsia="en-US"/>
    </w:rPr>
  </w:style>
  <w:style w:type="paragraph" w:customStyle="1" w:styleId="167">
    <w:name w:val="表格1"/>
    <w:basedOn w:val="1"/>
    <w:next w:val="1"/>
    <w:qFormat/>
    <w:uiPriority w:val="0"/>
    <w:pPr>
      <w:kinsoku w:val="0"/>
      <w:wordWrap w:val="0"/>
      <w:overflowPunct w:val="0"/>
      <w:autoSpaceDE w:val="0"/>
      <w:autoSpaceDN w:val="0"/>
      <w:adjustRightInd w:val="0"/>
      <w:spacing w:line="288" w:lineRule="auto"/>
      <w:jc w:val="center"/>
      <w:textAlignment w:val="baseline"/>
    </w:pPr>
    <w:rPr>
      <w:rFonts w:ascii="宋体"/>
      <w:kern w:val="0"/>
      <w:sz w:val="18"/>
    </w:rPr>
  </w:style>
  <w:style w:type="paragraph" w:customStyle="1" w:styleId="168">
    <w:name w:val="关键词"/>
    <w:basedOn w:val="1"/>
    <w:next w:val="1"/>
    <w:qFormat/>
    <w:uiPriority w:val="0"/>
    <w:pPr>
      <w:spacing w:line="360" w:lineRule="auto"/>
    </w:pPr>
    <w:rPr>
      <w:rFonts w:eastAsia="黑体"/>
      <w:sz w:val="20"/>
    </w:rPr>
  </w:style>
  <w:style w:type="paragraph" w:customStyle="1" w:styleId="169">
    <w:name w:val="Title - Date"/>
    <w:basedOn w:val="54"/>
    <w:next w:val="1"/>
    <w:qFormat/>
    <w:uiPriority w:val="0"/>
    <w:pPr>
      <w:spacing w:before="240" w:after="720"/>
    </w:pPr>
    <w:rPr>
      <w:sz w:val="28"/>
    </w:rPr>
  </w:style>
  <w:style w:type="paragraph" w:customStyle="1" w:styleId="170">
    <w:name w:val="content"/>
    <w:basedOn w:val="1"/>
    <w:qFormat/>
    <w:uiPriority w:val="0"/>
    <w:pPr>
      <w:widowControl/>
      <w:spacing w:before="100" w:beforeAutospacing="1" w:after="100" w:afterAutospacing="1" w:line="280" w:lineRule="atLeast"/>
      <w:ind w:firstLine="375"/>
      <w:jc w:val="left"/>
    </w:pPr>
    <w:rPr>
      <w:rFonts w:ascii="宋体" w:hAnsi="宋体"/>
      <w:color w:val="000000"/>
      <w:kern w:val="0"/>
      <w:sz w:val="18"/>
    </w:rPr>
  </w:style>
  <w:style w:type="paragraph" w:customStyle="1" w:styleId="171">
    <w:name w:val="图标"/>
    <w:basedOn w:val="1"/>
    <w:next w:val="1"/>
    <w:qFormat/>
    <w:uiPriority w:val="0"/>
    <w:pPr>
      <w:tabs>
        <w:tab w:val="left" w:pos="420"/>
        <w:tab w:val="left" w:pos="567"/>
        <w:tab w:val="left" w:pos="720"/>
      </w:tabs>
      <w:autoSpaceDE w:val="0"/>
      <w:autoSpaceDN w:val="0"/>
      <w:adjustRightInd w:val="0"/>
      <w:snapToGrid w:val="0"/>
      <w:spacing w:before="120" w:after="120" w:line="320" w:lineRule="atLeast"/>
      <w:ind w:left="420" w:hanging="420"/>
      <w:jc w:val="center"/>
      <w:textAlignment w:val="baseline"/>
    </w:pPr>
    <w:rPr>
      <w:rFonts w:eastAsia="仿宋_GB2312"/>
      <w:kern w:val="0"/>
      <w:sz w:val="24"/>
    </w:rPr>
  </w:style>
  <w:style w:type="paragraph" w:customStyle="1" w:styleId="172">
    <w:name w:val="文档正文 Char Char Char Char"/>
    <w:basedOn w:val="1"/>
    <w:qFormat/>
    <w:uiPriority w:val="0"/>
    <w:pPr>
      <w:adjustRightInd w:val="0"/>
      <w:spacing w:line="440" w:lineRule="exact"/>
      <w:ind w:firstLine="420"/>
      <w:textAlignment w:val="baseline"/>
    </w:pPr>
    <w:rPr>
      <w:rFonts w:ascii="Arial Narrow" w:hAnsi="Arial Narrow"/>
      <w:kern w:val="0"/>
      <w:sz w:val="24"/>
    </w:rPr>
  </w:style>
  <w:style w:type="paragraph" w:customStyle="1" w:styleId="173">
    <w:name w:val="表号"/>
    <w:basedOn w:val="1"/>
    <w:qFormat/>
    <w:uiPriority w:val="0"/>
    <w:pPr>
      <w:numPr>
        <w:ilvl w:val="0"/>
        <w:numId w:val="9"/>
      </w:numPr>
      <w:tabs>
        <w:tab w:val="left" w:pos="648"/>
        <w:tab w:val="clear" w:pos="360"/>
      </w:tabs>
      <w:autoSpaceDE w:val="0"/>
      <w:autoSpaceDN w:val="0"/>
      <w:adjustRightInd w:val="0"/>
      <w:spacing w:before="210" w:after="210"/>
      <w:ind w:left="425" w:hanging="137"/>
      <w:jc w:val="center"/>
    </w:pPr>
    <w:rPr>
      <w:kern w:val="0"/>
      <w:sz w:val="21"/>
      <w:lang w:eastAsia="en-US"/>
    </w:rPr>
  </w:style>
  <w:style w:type="paragraph" w:customStyle="1" w:styleId="174">
    <w:name w:val="小标题 1"/>
    <w:basedOn w:val="1"/>
    <w:qFormat/>
    <w:uiPriority w:val="0"/>
    <w:pPr>
      <w:autoSpaceDE w:val="0"/>
      <w:autoSpaceDN w:val="0"/>
      <w:adjustRightInd w:val="0"/>
      <w:spacing w:line="360" w:lineRule="atLeast"/>
    </w:pPr>
    <w:rPr>
      <w:rFonts w:ascii="文鼎粗黑" w:eastAsia="文鼎粗黑"/>
      <w:kern w:val="0"/>
      <w:sz w:val="22"/>
    </w:rPr>
  </w:style>
  <w:style w:type="paragraph" w:customStyle="1" w:styleId="175">
    <w:name w:val="Style Heading 3h3Heading 3 - oldLevel 3 HeadH3level_3PIM 3se..."/>
    <w:basedOn w:val="5"/>
    <w:qFormat/>
    <w:uiPriority w:val="0"/>
    <w:pPr>
      <w:numPr>
        <w:ilvl w:val="2"/>
        <w:numId w:val="10"/>
      </w:numPr>
      <w:tabs>
        <w:tab w:val="left" w:pos="709"/>
        <w:tab w:val="left" w:pos="1620"/>
      </w:tabs>
    </w:pPr>
  </w:style>
  <w:style w:type="paragraph" w:customStyle="1" w:styleId="176">
    <w:name w:val="样式4"/>
    <w:basedOn w:val="6"/>
    <w:qFormat/>
    <w:uiPriority w:val="0"/>
    <w:pPr>
      <w:adjustRightInd w:val="0"/>
      <w:snapToGrid w:val="0"/>
    </w:pPr>
  </w:style>
  <w:style w:type="paragraph" w:customStyle="1" w:styleId="177">
    <w:name w:val="摘要"/>
    <w:basedOn w:val="1"/>
    <w:next w:val="4"/>
    <w:qFormat/>
    <w:uiPriority w:val="0"/>
    <w:pPr>
      <w:spacing w:line="360" w:lineRule="auto"/>
    </w:pPr>
    <w:rPr>
      <w:rFonts w:eastAsia="黑体"/>
      <w:sz w:val="20"/>
    </w:rPr>
  </w:style>
  <w:style w:type="paragraph" w:customStyle="1" w:styleId="178">
    <w:name w:val="Char Char 字元 字元 字元 Char Char Char Char"/>
    <w:basedOn w:val="1"/>
    <w:qFormat/>
    <w:uiPriority w:val="0"/>
    <w:pPr>
      <w:adjustRightInd w:val="0"/>
      <w:spacing w:line="360" w:lineRule="auto"/>
    </w:pPr>
    <w:rPr>
      <w:kern w:val="0"/>
      <w:sz w:val="24"/>
    </w:rPr>
  </w:style>
  <w:style w:type="paragraph" w:customStyle="1" w:styleId="179">
    <w:name w:val="可研正文"/>
    <w:basedOn w:val="2"/>
    <w:qFormat/>
    <w:uiPriority w:val="0"/>
    <w:pPr>
      <w:adjustRightInd w:val="0"/>
      <w:snapToGrid w:val="0"/>
      <w:spacing w:line="440" w:lineRule="exact"/>
      <w:ind w:firstLine="567"/>
    </w:pPr>
    <w:rPr>
      <w:sz w:val="28"/>
    </w:rPr>
  </w:style>
  <w:style w:type="paragraph" w:customStyle="1" w:styleId="180">
    <w:name w:val="没有缩进（为图形使用）"/>
    <w:basedOn w:val="1"/>
    <w:qFormat/>
    <w:uiPriority w:val="0"/>
    <w:pPr>
      <w:spacing w:before="120" w:after="120" w:line="360" w:lineRule="auto"/>
    </w:pPr>
    <w:rPr>
      <w:sz w:val="24"/>
    </w:rPr>
  </w:style>
  <w:style w:type="paragraph" w:customStyle="1" w:styleId="181">
    <w:name w:val="样式 样式 正文首行缩进 2 + 左  0 字符 + 首行缩进:  2.57 字符"/>
    <w:basedOn w:val="1"/>
    <w:next w:val="1"/>
    <w:qFormat/>
    <w:uiPriority w:val="0"/>
    <w:pPr>
      <w:adjustRightInd w:val="0"/>
      <w:snapToGrid w:val="0"/>
      <w:spacing w:after="120"/>
      <w:ind w:firstLine="540" w:firstLineChars="257"/>
    </w:pPr>
    <w:rPr>
      <w:sz w:val="21"/>
    </w:rPr>
  </w:style>
  <w:style w:type="paragraph" w:customStyle="1" w:styleId="182">
    <w:name w:val="标题5"/>
    <w:basedOn w:val="1"/>
    <w:qFormat/>
    <w:uiPriority w:val="0"/>
    <w:pPr>
      <w:tabs>
        <w:tab w:val="left" w:pos="0"/>
      </w:tabs>
      <w:autoSpaceDE w:val="0"/>
      <w:autoSpaceDN w:val="0"/>
      <w:adjustRightInd w:val="0"/>
      <w:snapToGrid w:val="0"/>
      <w:spacing w:line="320" w:lineRule="atLeast"/>
    </w:pPr>
    <w:rPr>
      <w:rFonts w:ascii="宋体"/>
      <w:kern w:val="0"/>
      <w:sz w:val="21"/>
    </w:rPr>
  </w:style>
  <w:style w:type="paragraph" w:customStyle="1" w:styleId="183">
    <w:name w:val="标书正文:  0.74 厘米"/>
    <w:basedOn w:val="1"/>
    <w:qFormat/>
    <w:uiPriority w:val="0"/>
    <w:pPr>
      <w:snapToGrid w:val="0"/>
      <w:spacing w:line="360" w:lineRule="auto"/>
      <w:ind w:firstLine="420"/>
    </w:pPr>
    <w:rPr>
      <w:sz w:val="24"/>
    </w:rPr>
  </w:style>
  <w:style w:type="paragraph" w:customStyle="1" w:styleId="184">
    <w:name w:val="样式 正文缩进正文（首行缩进两字）表正文正文非缩进特点标题4段1 + 首行缩进:  2 字符"/>
    <w:basedOn w:val="16"/>
    <w:qFormat/>
    <w:uiPriority w:val="0"/>
    <w:pPr>
      <w:ind w:firstLine="480" w:firstLineChars="200"/>
    </w:pPr>
  </w:style>
  <w:style w:type="paragraph" w:customStyle="1" w:styleId="185">
    <w:name w:val="Pull Quote"/>
    <w:basedOn w:val="1"/>
    <w:qFormat/>
    <w:uiPriority w:val="0"/>
    <w:pPr>
      <w:pBdr>
        <w:top w:val="single" w:color="auto" w:sz="18" w:space="12"/>
        <w:left w:val="single" w:color="FFFFFF" w:sz="6" w:space="12"/>
        <w:bottom w:val="single" w:color="auto" w:sz="6" w:space="12"/>
        <w:right w:val="single" w:color="FFFFFF" w:sz="6" w:space="12"/>
      </w:pBdr>
      <w:shd w:val="pct10" w:color="auto" w:fill="auto"/>
      <w:spacing w:before="120" w:after="240" w:line="288" w:lineRule="auto"/>
      <w:ind w:left="144" w:right="144"/>
      <w:jc w:val="center"/>
    </w:pPr>
    <w:rPr>
      <w:b/>
      <w:i/>
      <w:sz w:val="24"/>
    </w:rPr>
  </w:style>
  <w:style w:type="paragraph" w:customStyle="1" w:styleId="186">
    <w:name w:val="Char1 Char Char Char"/>
    <w:basedOn w:val="1"/>
    <w:qFormat/>
    <w:uiPriority w:val="0"/>
    <w:rPr>
      <w:rFonts w:ascii="Tahoma" w:hAnsi="Tahoma"/>
      <w:sz w:val="24"/>
    </w:rPr>
  </w:style>
  <w:style w:type="paragraph" w:customStyle="1" w:styleId="187">
    <w:name w:val="样式 标题 1章标题Heading 0Section HeadPIM 1H1h11st levell11H1..."/>
    <w:basedOn w:val="3"/>
    <w:qFormat/>
    <w:uiPriority w:val="0"/>
    <w:pPr>
      <w:keepLines/>
      <w:pageBreakBefore/>
      <w:tabs>
        <w:tab w:val="left" w:pos="432"/>
      </w:tabs>
      <w:autoSpaceDE w:val="0"/>
      <w:autoSpaceDN w:val="0"/>
      <w:adjustRightInd w:val="0"/>
      <w:spacing w:before="340" w:after="330" w:line="578" w:lineRule="atLeast"/>
      <w:textAlignment w:val="bottom"/>
    </w:pPr>
    <w:rPr>
      <w:rFonts w:hAnsi="宋体" w:eastAsia="黑体"/>
      <w:kern w:val="44"/>
      <w:sz w:val="36"/>
    </w:rPr>
  </w:style>
  <w:style w:type="paragraph" w:customStyle="1" w:styleId="188">
    <w:name w:val="文章正文"/>
    <w:basedOn w:val="1"/>
    <w:qFormat/>
    <w:uiPriority w:val="0"/>
    <w:pPr>
      <w:ind w:firstLine="560" w:firstLineChars="200"/>
    </w:pPr>
    <w:rPr>
      <w:rFonts w:ascii="仿宋_GB2312" w:hAnsi="宋体" w:eastAsia="仿宋_GB2312"/>
      <w:color w:val="000000"/>
    </w:rPr>
  </w:style>
  <w:style w:type="paragraph" w:customStyle="1" w:styleId="189">
    <w:name w:val="样式 宋体 五号 两端对齐 行距: 单倍行距"/>
    <w:basedOn w:val="1"/>
    <w:qFormat/>
    <w:uiPriority w:val="0"/>
    <w:pPr>
      <w:adjustRightInd w:val="0"/>
      <w:textAlignment w:val="baseline"/>
    </w:pPr>
    <w:rPr>
      <w:rFonts w:ascii="宋体" w:hAnsi="宋体"/>
      <w:kern w:val="0"/>
      <w:sz w:val="21"/>
    </w:rPr>
  </w:style>
  <w:style w:type="paragraph" w:customStyle="1" w:styleId="190">
    <w:name w:val="xl53"/>
    <w:basedOn w:val="1"/>
    <w:qFormat/>
    <w:uiPriority w:val="0"/>
    <w:pPr>
      <w:widowControl/>
      <w:pBdr>
        <w:left w:val="single" w:color="auto" w:sz="4" w:space="0"/>
        <w:bottom w:val="single" w:color="auto" w:sz="4" w:space="0"/>
      </w:pBdr>
      <w:spacing w:before="100" w:beforeAutospacing="1" w:after="100" w:afterAutospacing="1"/>
      <w:jc w:val="center"/>
      <w:textAlignment w:val="center"/>
    </w:pPr>
    <w:rPr>
      <w:rFonts w:ascii="宋体" w:hAnsi="宋体"/>
      <w:kern w:val="0"/>
      <w:sz w:val="24"/>
    </w:rPr>
  </w:style>
  <w:style w:type="paragraph" w:customStyle="1" w:styleId="191">
    <w:name w:val="Char Char1 Char"/>
    <w:basedOn w:val="1"/>
    <w:qFormat/>
    <w:uiPriority w:val="0"/>
    <w:rPr>
      <w:rFonts w:ascii="Tahoma" w:hAnsi="Tahoma"/>
      <w:sz w:val="24"/>
      <w:szCs w:val="24"/>
    </w:rPr>
  </w:style>
  <w:style w:type="paragraph" w:customStyle="1" w:styleId="192">
    <w:name w:val="Item List"/>
    <w:qFormat/>
    <w:uiPriority w:val="0"/>
    <w:pPr>
      <w:numPr>
        <w:ilvl w:val="0"/>
        <w:numId w:val="11"/>
      </w:numPr>
      <w:spacing w:line="300" w:lineRule="auto"/>
      <w:jc w:val="both"/>
    </w:pPr>
    <w:rPr>
      <w:rFonts w:ascii="Arial" w:hAnsi="Arial" w:eastAsia="宋体" w:cs="Times New Roman"/>
      <w:sz w:val="21"/>
      <w:lang w:val="en-US" w:eastAsia="zh-CN" w:bidi="ar-SA"/>
    </w:rPr>
  </w:style>
  <w:style w:type="paragraph" w:customStyle="1" w:styleId="193">
    <w:name w:val="附录4"/>
    <w:basedOn w:val="1"/>
    <w:next w:val="1"/>
    <w:qFormat/>
    <w:uiPriority w:val="0"/>
    <w:pPr>
      <w:widowControl/>
      <w:tabs>
        <w:tab w:val="left" w:pos="1134"/>
      </w:tabs>
      <w:spacing w:line="300" w:lineRule="auto"/>
      <w:ind w:left="1361" w:hanging="1361"/>
      <w:outlineLvl w:val="3"/>
    </w:pPr>
    <w:rPr>
      <w:rFonts w:ascii="Arial" w:hAnsi="Arial" w:eastAsia="黑体"/>
      <w:kern w:val="0"/>
    </w:rPr>
  </w:style>
  <w:style w:type="paragraph" w:customStyle="1" w:styleId="194">
    <w:name w:val="Char"/>
    <w:basedOn w:val="1"/>
    <w:qFormat/>
    <w:uiPriority w:val="0"/>
    <w:pPr>
      <w:spacing w:line="240" w:lineRule="atLeast"/>
      <w:ind w:left="420" w:firstLine="420"/>
    </w:pPr>
    <w:rPr>
      <w:kern w:val="0"/>
      <w:sz w:val="21"/>
    </w:rPr>
  </w:style>
  <w:style w:type="paragraph" w:customStyle="1" w:styleId="195">
    <w:name w:val="_"/>
    <w:basedOn w:val="1"/>
    <w:qFormat/>
    <w:uiPriority w:val="0"/>
    <w:pPr>
      <w:adjustRightInd w:val="0"/>
      <w:spacing w:line="360" w:lineRule="auto"/>
      <w:ind w:left="480" w:firstLine="200" w:firstLineChars="200"/>
      <w:textAlignment w:val="baseline"/>
    </w:pPr>
    <w:rPr>
      <w:kern w:val="0"/>
      <w:sz w:val="24"/>
    </w:rPr>
  </w:style>
  <w:style w:type="paragraph" w:customStyle="1" w:styleId="196">
    <w:name w:val="Char1 Char Char Char1"/>
    <w:basedOn w:val="1"/>
    <w:qFormat/>
    <w:uiPriority w:val="0"/>
    <w:rPr>
      <w:rFonts w:ascii="Tahoma" w:hAnsi="Tahoma"/>
      <w:sz w:val="30"/>
    </w:rPr>
  </w:style>
  <w:style w:type="paragraph" w:customStyle="1" w:styleId="197">
    <w:name w:val="表头文本"/>
    <w:qFormat/>
    <w:uiPriority w:val="0"/>
    <w:pPr>
      <w:jc w:val="center"/>
    </w:pPr>
    <w:rPr>
      <w:rFonts w:ascii="Arial" w:hAnsi="Arial" w:eastAsia="宋体" w:cs="Times New Roman"/>
      <w:b/>
      <w:sz w:val="21"/>
      <w:lang w:val="en-US" w:eastAsia="zh-CN" w:bidi="ar-SA"/>
    </w:rPr>
  </w:style>
  <w:style w:type="paragraph" w:customStyle="1" w:styleId="198">
    <w:name w:val="CSS1级正文 Char"/>
    <w:basedOn w:val="2"/>
    <w:qFormat/>
    <w:uiPriority w:val="0"/>
    <w:pPr>
      <w:adjustRightInd w:val="0"/>
      <w:snapToGrid w:val="0"/>
      <w:spacing w:line="360" w:lineRule="auto"/>
      <w:ind w:firstLine="480"/>
    </w:pPr>
    <w:rPr>
      <w:rFonts w:ascii="Times New Roman" w:eastAsia="宋体"/>
      <w:sz w:val="24"/>
    </w:rPr>
  </w:style>
  <w:style w:type="paragraph" w:customStyle="1" w:styleId="199">
    <w:name w:val="Char Char Char"/>
    <w:basedOn w:val="1"/>
    <w:qFormat/>
    <w:uiPriority w:val="0"/>
    <w:rPr>
      <w:rFonts w:ascii="Tahoma" w:hAnsi="Tahoma"/>
      <w:sz w:val="24"/>
    </w:rPr>
  </w:style>
  <w:style w:type="paragraph" w:customStyle="1" w:styleId="200">
    <w:name w:val="Char Char1 Char Char Char Char Char Char Char Char Char Char Char Char Char Char"/>
    <w:basedOn w:val="1"/>
    <w:qFormat/>
    <w:uiPriority w:val="0"/>
    <w:pPr>
      <w:widowControl/>
      <w:spacing w:after="160" w:line="240" w:lineRule="exact"/>
      <w:jc w:val="left"/>
    </w:pPr>
    <w:rPr>
      <w:rFonts w:ascii="Verdana" w:hAnsi="Verdana"/>
      <w:kern w:val="0"/>
      <w:sz w:val="20"/>
      <w:lang w:eastAsia="en-US"/>
    </w:rPr>
  </w:style>
  <w:style w:type="paragraph" w:customStyle="1" w:styleId="201">
    <w:name w:val="Table Description"/>
    <w:next w:val="1"/>
    <w:qFormat/>
    <w:uiPriority w:val="0"/>
    <w:pPr>
      <w:keepNext/>
      <w:snapToGrid w:val="0"/>
      <w:spacing w:before="160" w:after="80"/>
      <w:ind w:left="1134"/>
      <w:jc w:val="center"/>
    </w:pPr>
    <w:rPr>
      <w:rFonts w:ascii="Arial" w:hAnsi="Arial" w:eastAsia="黑体" w:cs="Times New Roman"/>
      <w:sz w:val="18"/>
      <w:lang w:val="en-US" w:eastAsia="zh-CN" w:bidi="ar-SA"/>
    </w:rPr>
  </w:style>
  <w:style w:type="paragraph" w:customStyle="1" w:styleId="202">
    <w:name w:val="样式 标题 1 + 居中 段前: 6 磅 段后: 6 磅 行距: 1.5 倍行距"/>
    <w:basedOn w:val="3"/>
    <w:qFormat/>
    <w:uiPriority w:val="0"/>
    <w:pPr>
      <w:keepLines/>
      <w:adjustRightInd w:val="0"/>
      <w:spacing w:before="120" w:after="120" w:line="360" w:lineRule="auto"/>
      <w:jc w:val="center"/>
    </w:pPr>
    <w:rPr>
      <w:rFonts w:ascii="Times New Roman"/>
      <w:kern w:val="44"/>
      <w:sz w:val="32"/>
    </w:rPr>
  </w:style>
  <w:style w:type="paragraph" w:customStyle="1" w:styleId="203">
    <w:name w:val="默认段落字体 Para Char Char Char Char Char Char Char"/>
    <w:basedOn w:val="1"/>
    <w:qFormat/>
    <w:uiPriority w:val="0"/>
    <w:rPr>
      <w:rFonts w:ascii="Tahoma" w:hAnsi="Tahoma"/>
      <w:sz w:val="24"/>
    </w:rPr>
  </w:style>
  <w:style w:type="paragraph" w:customStyle="1" w:styleId="204">
    <w:name w:val="IN Feature"/>
    <w:next w:val="205"/>
    <w:qFormat/>
    <w:uiPriority w:val="0"/>
    <w:pPr>
      <w:keepNext/>
      <w:keepLines/>
      <w:spacing w:before="240" w:after="240"/>
      <w:outlineLvl w:val="7"/>
    </w:pPr>
    <w:rPr>
      <w:rFonts w:ascii="Arial" w:hAnsi="Arial" w:eastAsia="黑体" w:cs="Times New Roman"/>
      <w:sz w:val="21"/>
      <w:lang w:val="en-US" w:eastAsia="zh-CN" w:bidi="ar-SA"/>
    </w:rPr>
  </w:style>
  <w:style w:type="paragraph" w:customStyle="1" w:styleId="205">
    <w:name w:val="IN Step"/>
    <w:basedOn w:val="1"/>
    <w:qFormat/>
    <w:uiPriority w:val="0"/>
    <w:pPr>
      <w:keepLines/>
      <w:widowControl/>
      <w:tabs>
        <w:tab w:val="left" w:pos="1134"/>
      </w:tabs>
      <w:spacing w:before="80" w:after="80" w:line="300" w:lineRule="auto"/>
      <w:ind w:left="1134" w:hanging="907"/>
      <w:outlineLvl w:val="8"/>
    </w:pPr>
    <w:rPr>
      <w:rFonts w:ascii="Arial" w:hAnsi="Arial"/>
      <w:kern w:val="0"/>
      <w:sz w:val="21"/>
    </w:rPr>
  </w:style>
  <w:style w:type="paragraph" w:customStyle="1" w:styleId="206">
    <w:name w:val="首行缩进"/>
    <w:basedOn w:val="1"/>
    <w:qFormat/>
    <w:uiPriority w:val="0"/>
    <w:pPr>
      <w:numPr>
        <w:ilvl w:val="0"/>
        <w:numId w:val="12"/>
      </w:numPr>
      <w:spacing w:line="360" w:lineRule="auto"/>
    </w:pPr>
    <w:rPr>
      <w:rFonts w:eastAsia="仿宋_GB2312"/>
    </w:rPr>
  </w:style>
  <w:style w:type="paragraph" w:customStyle="1" w:styleId="207">
    <w:name w:val="正文字缩2字"/>
    <w:basedOn w:val="1"/>
    <w:qFormat/>
    <w:uiPriority w:val="0"/>
    <w:pPr>
      <w:spacing w:before="60" w:after="60" w:line="360" w:lineRule="auto"/>
      <w:ind w:left="200" w:leftChars="200" w:firstLine="200" w:firstLineChars="200"/>
    </w:pPr>
    <w:rPr>
      <w:sz w:val="24"/>
    </w:rPr>
  </w:style>
  <w:style w:type="paragraph" w:customStyle="1" w:styleId="208">
    <w:name w:val="正文表格"/>
    <w:basedOn w:val="1"/>
    <w:qFormat/>
    <w:uiPriority w:val="0"/>
    <w:pPr>
      <w:adjustRightInd w:val="0"/>
      <w:spacing w:before="40" w:after="40"/>
    </w:pPr>
    <w:rPr>
      <w:sz w:val="24"/>
    </w:rPr>
  </w:style>
  <w:style w:type="paragraph" w:customStyle="1" w:styleId="209">
    <w:name w:val="表文字"/>
    <w:qFormat/>
    <w:uiPriority w:val="0"/>
    <w:rPr>
      <w:rFonts w:ascii="宋体" w:hAnsi="Times New Roman" w:eastAsia="宋体" w:cs="Times New Roman"/>
      <w:kern w:val="2"/>
      <w:lang w:val="en-US" w:eastAsia="zh-CN" w:bidi="ar-SA"/>
    </w:rPr>
  </w:style>
  <w:style w:type="paragraph" w:customStyle="1" w:styleId="210">
    <w:name w:val="表格内文字"/>
    <w:basedOn w:val="31"/>
    <w:qFormat/>
    <w:uiPriority w:val="0"/>
    <w:pPr>
      <w:adjustRightInd w:val="0"/>
    </w:pPr>
    <w:rPr>
      <w:color w:val="000000"/>
      <w:lang w:val="en-GB"/>
    </w:rPr>
  </w:style>
  <w:style w:type="paragraph" w:customStyle="1" w:styleId="211">
    <w:name w:val="正文文本缩进 21"/>
    <w:basedOn w:val="1"/>
    <w:qFormat/>
    <w:uiPriority w:val="0"/>
    <w:pPr>
      <w:adjustRightInd w:val="0"/>
      <w:spacing w:before="120"/>
      <w:ind w:firstLine="420"/>
      <w:textAlignment w:val="baseline"/>
    </w:pPr>
    <w:rPr>
      <w:sz w:val="24"/>
    </w:rPr>
  </w:style>
  <w:style w:type="paragraph" w:customStyle="1" w:styleId="212">
    <w:name w:val="标题无"/>
    <w:basedOn w:val="1"/>
    <w:qFormat/>
    <w:uiPriority w:val="0"/>
    <w:pPr>
      <w:spacing w:line="360" w:lineRule="auto"/>
    </w:pPr>
    <w:rPr>
      <w:sz w:val="24"/>
    </w:rPr>
  </w:style>
  <w:style w:type="paragraph" w:customStyle="1" w:styleId="213">
    <w:name w:val="af"/>
    <w:basedOn w:val="1"/>
    <w:qFormat/>
    <w:uiPriority w:val="0"/>
    <w:pPr>
      <w:widowControl/>
      <w:spacing w:line="300" w:lineRule="atLeast"/>
      <w:jc w:val="left"/>
    </w:pPr>
    <w:rPr>
      <w:rFonts w:ascii="宋体" w:hAnsi="宋体"/>
      <w:kern w:val="0"/>
      <w:sz w:val="18"/>
    </w:rPr>
  </w:style>
  <w:style w:type="paragraph" w:customStyle="1" w:styleId="214">
    <w:name w:val="简单回函地址"/>
    <w:basedOn w:val="1"/>
    <w:qFormat/>
    <w:uiPriority w:val="0"/>
    <w:pPr>
      <w:adjustRightInd w:val="0"/>
      <w:snapToGrid w:val="0"/>
      <w:spacing w:line="360" w:lineRule="auto"/>
    </w:pPr>
    <w:rPr>
      <w:sz w:val="24"/>
    </w:rPr>
  </w:style>
  <w:style w:type="paragraph" w:customStyle="1" w:styleId="215">
    <w:name w:val="文档正文 Char Char Char Char Char"/>
    <w:basedOn w:val="1"/>
    <w:qFormat/>
    <w:uiPriority w:val="0"/>
    <w:pPr>
      <w:adjustRightInd w:val="0"/>
      <w:spacing w:line="440" w:lineRule="exact"/>
      <w:ind w:firstLine="420"/>
      <w:textAlignment w:val="baseline"/>
    </w:pPr>
    <w:rPr>
      <w:rFonts w:ascii="Arial Narrow" w:hAnsi="Arial Narrow"/>
      <w:kern w:val="0"/>
      <w:sz w:val="24"/>
    </w:rPr>
  </w:style>
  <w:style w:type="paragraph" w:customStyle="1" w:styleId="216">
    <w:name w:val="正文（首行不缩进）"/>
    <w:basedOn w:val="1"/>
    <w:qFormat/>
    <w:uiPriority w:val="0"/>
    <w:pPr>
      <w:autoSpaceDE w:val="0"/>
      <w:autoSpaceDN w:val="0"/>
      <w:adjustRightInd w:val="0"/>
      <w:spacing w:line="360" w:lineRule="auto"/>
      <w:jc w:val="left"/>
    </w:pPr>
    <w:rPr>
      <w:kern w:val="0"/>
      <w:sz w:val="21"/>
    </w:rPr>
  </w:style>
  <w:style w:type="paragraph" w:customStyle="1" w:styleId="217">
    <w:name w:val="正文1"/>
    <w:basedOn w:val="1"/>
    <w:qFormat/>
    <w:uiPriority w:val="0"/>
    <w:pPr>
      <w:spacing w:line="300" w:lineRule="auto"/>
      <w:ind w:firstLine="200" w:firstLineChars="200"/>
    </w:pPr>
    <w:rPr>
      <w:sz w:val="24"/>
    </w:rPr>
  </w:style>
  <w:style w:type="paragraph" w:customStyle="1" w:styleId="218">
    <w:name w:val="Figure Description"/>
    <w:next w:val="1"/>
    <w:qFormat/>
    <w:uiPriority w:val="0"/>
    <w:pPr>
      <w:snapToGrid w:val="0"/>
      <w:spacing w:before="80" w:after="320"/>
      <w:ind w:left="1134"/>
      <w:jc w:val="center"/>
    </w:pPr>
    <w:rPr>
      <w:rFonts w:ascii="Arial" w:hAnsi="Arial" w:eastAsia="黑体" w:cs="Times New Roman"/>
      <w:sz w:val="18"/>
      <w:lang w:val="en-US" w:eastAsia="zh-CN" w:bidi="ar-SA"/>
    </w:rPr>
  </w:style>
  <w:style w:type="paragraph" w:customStyle="1" w:styleId="219">
    <w:name w:val="普通正文"/>
    <w:basedOn w:val="1"/>
    <w:qFormat/>
    <w:uiPriority w:val="0"/>
    <w:pPr>
      <w:adjustRightInd w:val="0"/>
      <w:spacing w:before="120" w:after="120" w:line="360" w:lineRule="auto"/>
      <w:ind w:firstLine="480"/>
      <w:jc w:val="left"/>
      <w:textAlignment w:val="baseline"/>
    </w:pPr>
    <w:rPr>
      <w:rFonts w:ascii="Arial" w:hAnsi="Arial"/>
      <w:kern w:val="0"/>
      <w:sz w:val="24"/>
    </w:rPr>
  </w:style>
  <w:style w:type="paragraph" w:customStyle="1" w:styleId="220">
    <w:name w:val="表头样式"/>
    <w:basedOn w:val="1"/>
    <w:qFormat/>
    <w:uiPriority w:val="0"/>
    <w:pPr>
      <w:autoSpaceDE w:val="0"/>
      <w:autoSpaceDN w:val="0"/>
      <w:adjustRightInd w:val="0"/>
      <w:spacing w:line="360" w:lineRule="auto"/>
      <w:jc w:val="left"/>
    </w:pPr>
    <w:rPr>
      <w:b/>
      <w:kern w:val="0"/>
      <w:sz w:val="21"/>
    </w:rPr>
  </w:style>
  <w:style w:type="paragraph" w:customStyle="1" w:styleId="221">
    <w:name w:val="图片文字"/>
    <w:basedOn w:val="1"/>
    <w:qFormat/>
    <w:uiPriority w:val="0"/>
    <w:pPr>
      <w:spacing w:line="240" w:lineRule="atLeast"/>
      <w:jc w:val="center"/>
    </w:pPr>
    <w:rPr>
      <w:sz w:val="21"/>
    </w:rPr>
  </w:style>
  <w:style w:type="paragraph" w:customStyle="1" w:styleId="222">
    <w:name w:val="xl23"/>
    <w:basedOn w:val="1"/>
    <w:qFormat/>
    <w:uiPriority w:val="0"/>
    <w:pPr>
      <w:widowControl/>
      <w:spacing w:before="100" w:beforeAutospacing="1" w:after="100" w:afterAutospacing="1" w:line="360" w:lineRule="auto"/>
      <w:textAlignment w:val="top"/>
    </w:pPr>
    <w:rPr>
      <w:kern w:val="0"/>
      <w:sz w:val="24"/>
    </w:rPr>
  </w:style>
  <w:style w:type="paragraph" w:customStyle="1" w:styleId="223">
    <w:name w:val="附录3"/>
    <w:basedOn w:val="1"/>
    <w:next w:val="1"/>
    <w:qFormat/>
    <w:uiPriority w:val="0"/>
    <w:pPr>
      <w:tabs>
        <w:tab w:val="left" w:pos="851"/>
      </w:tabs>
      <w:ind w:left="425" w:hanging="425"/>
      <w:outlineLvl w:val="2"/>
    </w:pPr>
    <w:rPr>
      <w:rFonts w:eastAsia="黑体"/>
      <w:b/>
      <w:sz w:val="32"/>
    </w:rPr>
  </w:style>
  <w:style w:type="paragraph" w:customStyle="1" w:styleId="224">
    <w:name w:val="È±Ê¡ÎÄ±¾"/>
    <w:basedOn w:val="1"/>
    <w:qFormat/>
    <w:uiPriority w:val="0"/>
    <w:pPr>
      <w:widowControl/>
      <w:overflowPunct w:val="0"/>
      <w:autoSpaceDE w:val="0"/>
      <w:autoSpaceDN w:val="0"/>
      <w:adjustRightInd w:val="0"/>
      <w:jc w:val="left"/>
      <w:textAlignment w:val="baseline"/>
    </w:pPr>
    <w:rPr>
      <w:kern w:val="0"/>
      <w:sz w:val="24"/>
    </w:rPr>
  </w:style>
  <w:style w:type="paragraph" w:customStyle="1" w:styleId="225">
    <w:name w:val="首行缩进 1"/>
    <w:basedOn w:val="1"/>
    <w:qFormat/>
    <w:uiPriority w:val="0"/>
    <w:pPr>
      <w:spacing w:after="120" w:line="360" w:lineRule="auto"/>
      <w:ind w:firstLine="200" w:firstLineChars="200"/>
    </w:pPr>
    <w:rPr>
      <w:sz w:val="24"/>
    </w:rPr>
  </w:style>
  <w:style w:type="paragraph" w:customStyle="1" w:styleId="226">
    <w:name w:val="Char11"/>
    <w:basedOn w:val="1"/>
    <w:qFormat/>
    <w:uiPriority w:val="0"/>
    <w:pPr>
      <w:spacing w:line="240" w:lineRule="atLeast"/>
      <w:ind w:left="420" w:firstLine="420"/>
    </w:pPr>
    <w:rPr>
      <w:kern w:val="0"/>
      <w:sz w:val="21"/>
    </w:rPr>
  </w:style>
  <w:style w:type="paragraph" w:customStyle="1" w:styleId="227">
    <w:name w:val="司法正文"/>
    <w:qFormat/>
    <w:uiPriority w:val="0"/>
    <w:pPr>
      <w:widowControl w:val="0"/>
      <w:ind w:firstLine="200" w:firstLineChars="200"/>
      <w:jc w:val="both"/>
    </w:pPr>
    <w:rPr>
      <w:rFonts w:ascii="Times New Roman" w:hAnsi="Times New Roman" w:eastAsia="仿宋_GB2312" w:cs="Times New Roman"/>
      <w:sz w:val="32"/>
      <w:lang w:val="en-US" w:eastAsia="zh-CN" w:bidi="ar-SA"/>
    </w:rPr>
  </w:style>
  <w:style w:type="paragraph" w:customStyle="1" w:styleId="228">
    <w:name w:val="Table Text Char Char"/>
    <w:qFormat/>
    <w:uiPriority w:val="0"/>
    <w:pPr>
      <w:snapToGrid w:val="0"/>
      <w:spacing w:before="80" w:after="80"/>
    </w:pPr>
    <w:rPr>
      <w:rFonts w:ascii="Arial" w:hAnsi="Arial" w:eastAsia="宋体" w:cs="Times New Roman"/>
      <w:kern w:val="2"/>
      <w:sz w:val="18"/>
      <w:lang w:val="en-US" w:eastAsia="zh-CN" w:bidi="ar-SA"/>
    </w:rPr>
  </w:style>
  <w:style w:type="paragraph" w:customStyle="1" w:styleId="229">
    <w:name w:val="样式1xz"/>
    <w:basedOn w:val="1"/>
    <w:qFormat/>
    <w:uiPriority w:val="0"/>
    <w:pPr>
      <w:tabs>
        <w:tab w:val="left" w:pos="1050"/>
        <w:tab w:val="right" w:leader="dot" w:pos="8296"/>
      </w:tabs>
    </w:pPr>
    <w:rPr>
      <w:caps/>
      <w:spacing w:val="20"/>
      <w:sz w:val="24"/>
    </w:rPr>
  </w:style>
  <w:style w:type="paragraph" w:customStyle="1" w:styleId="230">
    <w:name w:val="缺省文本"/>
    <w:basedOn w:val="1"/>
    <w:qFormat/>
    <w:uiPriority w:val="0"/>
    <w:pPr>
      <w:tabs>
        <w:tab w:val="left" w:pos="1260"/>
      </w:tabs>
      <w:autoSpaceDE w:val="0"/>
      <w:autoSpaceDN w:val="0"/>
      <w:adjustRightInd w:val="0"/>
      <w:spacing w:line="360" w:lineRule="auto"/>
      <w:jc w:val="left"/>
    </w:pPr>
    <w:rPr>
      <w:kern w:val="0"/>
      <w:sz w:val="24"/>
    </w:rPr>
  </w:style>
  <w:style w:type="paragraph" w:customStyle="1" w:styleId="231">
    <w:name w:val="Char1"/>
    <w:basedOn w:val="1"/>
    <w:qFormat/>
    <w:uiPriority w:val="0"/>
    <w:rPr>
      <w:sz w:val="21"/>
    </w:rPr>
  </w:style>
  <w:style w:type="paragraph" w:customStyle="1" w:styleId="232">
    <w:name w:val="Note"/>
    <w:basedOn w:val="1"/>
    <w:qFormat/>
    <w:uiPriority w:val="0"/>
    <w:pPr>
      <w:pBdr>
        <w:top w:val="single" w:color="auto" w:sz="12" w:space="3"/>
        <w:bottom w:val="single" w:color="auto" w:sz="12" w:space="3"/>
      </w:pBdr>
      <w:spacing w:line="360" w:lineRule="auto"/>
    </w:pPr>
    <w:rPr>
      <w:sz w:val="24"/>
    </w:rPr>
  </w:style>
  <w:style w:type="paragraph" w:customStyle="1" w:styleId="233">
    <w:name w:val="Char Char Char Char Char Char Char Char Char Char Char Char Char Char Char Char"/>
    <w:basedOn w:val="1"/>
    <w:qFormat/>
    <w:uiPriority w:val="0"/>
    <w:pPr>
      <w:tabs>
        <w:tab w:val="left" w:pos="360"/>
      </w:tabs>
    </w:pPr>
    <w:rPr>
      <w:sz w:val="24"/>
    </w:rPr>
  </w:style>
  <w:style w:type="paragraph" w:customStyle="1" w:styleId="234">
    <w:name w:val="样式 宋体 五号 行距: 单倍行距"/>
    <w:basedOn w:val="1"/>
    <w:qFormat/>
    <w:uiPriority w:val="0"/>
    <w:pPr>
      <w:adjustRightInd w:val="0"/>
      <w:jc w:val="left"/>
    </w:pPr>
    <w:rPr>
      <w:rFonts w:ascii="宋体" w:hAnsi="宋体"/>
      <w:kern w:val="0"/>
      <w:sz w:val="21"/>
    </w:rPr>
  </w:style>
  <w:style w:type="paragraph" w:customStyle="1" w:styleId="235">
    <w:name w:val="操作步骤"/>
    <w:basedOn w:val="1"/>
    <w:qFormat/>
    <w:uiPriority w:val="0"/>
    <w:pPr>
      <w:numPr>
        <w:ilvl w:val="0"/>
        <w:numId w:val="13"/>
      </w:numPr>
      <w:autoSpaceDE w:val="0"/>
      <w:autoSpaceDN w:val="0"/>
      <w:adjustRightInd w:val="0"/>
      <w:snapToGrid w:val="0"/>
      <w:spacing w:line="40" w:lineRule="atLeast"/>
      <w:textAlignment w:val="bottom"/>
    </w:pPr>
    <w:rPr>
      <w:rFonts w:ascii="昆仑楷体" w:eastAsia="楷体_GB2312"/>
      <w:kern w:val="0"/>
      <w:sz w:val="21"/>
    </w:rPr>
  </w:style>
  <w:style w:type="paragraph" w:customStyle="1" w:styleId="236">
    <w:name w:val="Table Heading"/>
    <w:qFormat/>
    <w:uiPriority w:val="0"/>
    <w:pPr>
      <w:keepNext/>
      <w:snapToGrid w:val="0"/>
      <w:spacing w:before="80" w:after="80"/>
      <w:jc w:val="center"/>
    </w:pPr>
    <w:rPr>
      <w:rFonts w:ascii="Arial" w:hAnsi="Arial" w:eastAsia="黑体" w:cs="Times New Roman"/>
      <w:sz w:val="18"/>
      <w:lang w:val="en-US" w:eastAsia="zh-CN" w:bidi="ar-SA"/>
    </w:rPr>
  </w:style>
  <w:style w:type="paragraph" w:customStyle="1" w:styleId="237">
    <w:name w:val="bt"/>
    <w:basedOn w:val="1"/>
    <w:next w:val="2"/>
    <w:qFormat/>
    <w:uiPriority w:val="0"/>
    <w:pPr>
      <w:overflowPunct w:val="0"/>
      <w:autoSpaceDE w:val="0"/>
      <w:autoSpaceDN w:val="0"/>
      <w:adjustRightInd w:val="0"/>
      <w:snapToGrid w:val="0"/>
      <w:spacing w:before="100" w:after="100" w:line="240" w:lineRule="atLeast"/>
      <w:ind w:left="2880" w:hanging="360"/>
      <w:textAlignment w:val="baseline"/>
    </w:pPr>
    <w:rPr>
      <w:rFonts w:ascii="宋体"/>
      <w:kern w:val="0"/>
      <w:sz w:val="20"/>
    </w:rPr>
  </w:style>
  <w:style w:type="paragraph" w:customStyle="1" w:styleId="238">
    <w:name w:val="图例"/>
    <w:basedOn w:val="1"/>
    <w:qFormat/>
    <w:uiPriority w:val="0"/>
    <w:pPr>
      <w:spacing w:before="120" w:after="120" w:line="360" w:lineRule="auto"/>
      <w:jc w:val="center"/>
    </w:pPr>
    <w:rPr>
      <w:rFonts w:eastAsia="仿宋_GB2312"/>
      <w:b/>
      <w:sz w:val="24"/>
    </w:rPr>
  </w:style>
  <w:style w:type="character" w:customStyle="1" w:styleId="239">
    <w:name w:val="标题 2 字符"/>
    <w:qFormat/>
    <w:uiPriority w:val="0"/>
    <w:rPr>
      <w:rFonts w:ascii="Arial" w:hAnsi="Arial" w:eastAsia="黑体"/>
      <w:b/>
      <w:kern w:val="2"/>
      <w:sz w:val="32"/>
    </w:rPr>
  </w:style>
  <w:style w:type="character" w:customStyle="1" w:styleId="240">
    <w:name w:val="正文文本缩进 2 字符"/>
    <w:qFormat/>
    <w:uiPriority w:val="0"/>
    <w:rPr>
      <w:kern w:val="2"/>
      <w:sz w:val="28"/>
    </w:rPr>
  </w:style>
  <w:style w:type="character" w:customStyle="1" w:styleId="241">
    <w:name w:val="纯文本 字符"/>
    <w:basedOn w:val="60"/>
    <w:link w:val="31"/>
    <w:qFormat/>
    <w:uiPriority w:val="0"/>
    <w:rPr>
      <w:rFonts w:hint="eastAsia" w:ascii="宋体" w:hAnsi="Courier New" w:eastAsia="宋体" w:cs="宋体"/>
      <w:kern w:val="2"/>
      <w:sz w:val="21"/>
    </w:rPr>
  </w:style>
  <w:style w:type="paragraph" w:styleId="242">
    <w:name w:val="List Paragraph"/>
    <w:basedOn w:val="1"/>
    <w:qFormat/>
    <w:uiPriority w:val="34"/>
    <w:pPr>
      <w:widowControl/>
      <w:adjustRightInd w:val="0"/>
      <w:snapToGrid w:val="0"/>
      <w:spacing w:after="200"/>
      <w:ind w:firstLine="420" w:firstLineChars="200"/>
      <w:jc w:val="left"/>
    </w:pPr>
    <w:rPr>
      <w:rFonts w:ascii="Tahoma" w:hAnsi="Tahoma" w:eastAsia="微软雅黑" w:cstheme="minorBidi"/>
      <w:kern w:val="0"/>
      <w:sz w:val="22"/>
      <w:szCs w:val="22"/>
    </w:rPr>
  </w:style>
  <w:style w:type="paragraph" w:customStyle="1" w:styleId="243">
    <w:name w:val="WPSOffice手动目录 1"/>
    <w:qFormat/>
    <w:uiPriority w:val="0"/>
    <w:pPr>
      <w:ind w:leftChars="0"/>
    </w:pPr>
    <w:rPr>
      <w:rFonts w:ascii="Times New Roman" w:hAnsi="Times New Roman" w:eastAsia="宋体" w:cs="Times New Roman"/>
      <w:sz w:val="20"/>
      <w:szCs w:val="20"/>
    </w:rPr>
  </w:style>
  <w:style w:type="paragraph" w:customStyle="1" w:styleId="244">
    <w:name w:val="WPSOffice手动目录 2"/>
    <w:qFormat/>
    <w:uiPriority w:val="0"/>
    <w:pPr>
      <w:ind w:leftChars="200"/>
    </w:pPr>
    <w:rPr>
      <w:rFonts w:ascii="Times New Roman" w:hAnsi="Times New Roman" w:eastAsia="宋体" w:cs="Times New Roman"/>
      <w:sz w:val="20"/>
      <w:szCs w:val="20"/>
    </w:rPr>
  </w:style>
  <w:style w:type="character" w:customStyle="1" w:styleId="245">
    <w:name w:val="标题 1 Char"/>
    <w:link w:val="3"/>
    <w:qFormat/>
    <w:uiPriority w:val="0"/>
    <w:rPr>
      <w:rFonts w:ascii="宋体" w:hAnsi="宋体" w:eastAsia="微软雅黑"/>
      <w:b/>
      <w:sz w:val="24"/>
    </w:rPr>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8" Type="http://schemas.openxmlformats.org/officeDocument/2006/relationships/fontTable" Target="fontTable.xml"/><Relationship Id="rId17" Type="http://schemas.openxmlformats.org/officeDocument/2006/relationships/numbering" Target="numbering.xml"/><Relationship Id="rId16" Type="http://schemas.openxmlformats.org/officeDocument/2006/relationships/customXml" Target="../customXml/item1.xml"/><Relationship Id="rId15" Type="http://schemas.openxmlformats.org/officeDocument/2006/relationships/theme" Target="theme/theme1.xml"/><Relationship Id="rId14" Type="http://schemas.openxmlformats.org/officeDocument/2006/relationships/footer" Target="footer9.xml"/><Relationship Id="rId13" Type="http://schemas.openxmlformats.org/officeDocument/2006/relationships/header" Target="header3.xml"/><Relationship Id="rId12" Type="http://schemas.openxmlformats.org/officeDocument/2006/relationships/footer" Target="footer8.xml"/><Relationship Id="rId11" Type="http://schemas.openxmlformats.org/officeDocument/2006/relationships/footer" Target="footer7.xml"/><Relationship Id="rId10" Type="http://schemas.openxmlformats.org/officeDocument/2006/relationships/footer" Target="footer6.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Manager>罗成</Manager>
  <Company>重庆市政府采购中心</Company>
  <Pages>27</Pages>
  <Words>2042</Words>
  <Characters>11644</Characters>
  <Lines>97</Lines>
  <Paragraphs>27</Paragraphs>
  <TotalTime>2</TotalTime>
  <ScaleCrop>false</ScaleCrop>
  <LinksUpToDate>false</LinksUpToDate>
  <CharactersWithSpaces>13659</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2024-10-15T03:18:00Z</dcterms:created>
  <dc:creator>周媛媛</dc:creator>
  <cp:lastModifiedBy>Administrator</cp:lastModifiedBy>
  <cp:lastPrinted>2015-03-25T02:14:00Z</cp:lastPrinted>
  <dcterms:modified xsi:type="dcterms:W3CDTF">2026-07-28T03:26:12Z</dcterms:modified>
  <dc:title>竞争性谈判文件</dc:title>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CFE7792B1B0949F7A04BE4751E5F5573</vt:lpwstr>
  </property>
</Properties>
</file>