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YSB260292</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除颤仪/除颤监护仪</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2789052"/>
      <w:bookmarkStart w:id="1" w:name="_Toc24037"/>
      <w:bookmarkStart w:id="2" w:name="_Toc106030870"/>
      <w:bookmarkStart w:id="3" w:name="_Toc11641050"/>
      <w:bookmarkStart w:id="4" w:name="_Toc27110"/>
      <w:bookmarkStart w:id="5" w:name="_Toc76462316"/>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除颤仪/除颤监护仪</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06030871"/>
      <w:bookmarkStart w:id="7" w:name="_Toc313893526"/>
      <w:bookmarkStart w:id="8" w:name="_Toc76462317"/>
      <w:bookmarkStart w:id="9" w:name="_Toc13094"/>
      <w:bookmarkStart w:id="10" w:name="_Toc317775175"/>
      <w:bookmarkStart w:id="11" w:name="_Toc3856"/>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YSB260292</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sz w:val="21"/>
                <w:szCs w:val="21"/>
                <w:lang w:val="en-US" w:eastAsia="zh-CN"/>
              </w:rPr>
              <w:t>除颤仪/除颤监护仪</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12.5</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106030873"/>
      <w:bookmarkStart w:id="19" w:name="_Toc4480"/>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9183"/>
      <w:bookmarkStart w:id="22" w:name="_Toc106030874"/>
      <w:bookmarkStart w:id="23" w:name="_Toc76462320"/>
      <w:bookmarkStart w:id="24" w:name="_Toc2795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所提供产品不属于医疗器械的无需提供上述</w:t>
      </w:r>
      <w:r>
        <w:rPr>
          <w:rFonts w:hint="eastAsia" w:ascii="微软雅黑" w:hAnsi="微软雅黑" w:eastAsia="微软雅黑" w:cs="微软雅黑"/>
          <w:sz w:val="24"/>
          <w:szCs w:val="24"/>
          <w:lang w:eastAsia="zh-CN"/>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rPr>
        <w:t>材料</w:t>
      </w:r>
      <w:r>
        <w:rPr>
          <w:rFonts w:hint="eastAsia" w:ascii="微软雅黑" w:hAnsi="微软雅黑" w:eastAsia="微软雅黑" w:cs="微软雅黑"/>
          <w:sz w:val="24"/>
          <w:szCs w:val="24"/>
          <w:lang w:eastAsia="zh-CN"/>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5660334"/>
      <w:bookmarkStart w:id="26" w:name="_Toc6178"/>
      <w:bookmarkStart w:id="27" w:name="_Toc11956"/>
      <w:bookmarkStart w:id="28" w:name="_Toc106034625"/>
      <w:bookmarkStart w:id="29" w:name="_Toc521053053"/>
      <w:bookmarkStart w:id="30" w:name="_Toc525047161"/>
      <w:bookmarkStart w:id="31" w:name="_Toc26664"/>
      <w:bookmarkStart w:id="32" w:name="_Toc1284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106034626"/>
      <w:bookmarkStart w:id="34" w:name="_Toc4355"/>
      <w:bookmarkStart w:id="35" w:name="_Toc65660335"/>
      <w:bookmarkStart w:id="36" w:name="_Toc525047162"/>
      <w:bookmarkStart w:id="37" w:name="_Toc521053054"/>
      <w:bookmarkStart w:id="38" w:name="_Toc2945"/>
      <w:bookmarkStart w:id="39" w:name="_Toc24100"/>
      <w:bookmarkStart w:id="40" w:name="_Toc1546"/>
      <w:r>
        <w:rPr>
          <w:rFonts w:hint="eastAsia" w:ascii="微软雅黑" w:hAnsi="微软雅黑" w:eastAsia="微软雅黑" w:cs="微软雅黑"/>
          <w:sz w:val="24"/>
        </w:rPr>
        <w:t>五、</w:t>
      </w:r>
      <w:bookmarkEnd w:id="33"/>
      <w:bookmarkEnd w:id="34"/>
      <w:bookmarkEnd w:id="35"/>
      <w:bookmarkEnd w:id="36"/>
      <w:bookmarkEnd w:id="37"/>
      <w:bookmarkEnd w:id="38"/>
      <w:bookmarkStart w:id="41" w:name="_Toc16269"/>
      <w:bookmarkStart w:id="42" w:name="_Toc521053055"/>
      <w:bookmarkStart w:id="43" w:name="_Toc65660336"/>
      <w:bookmarkStart w:id="44" w:name="_Toc525047163"/>
      <w:bookmarkStart w:id="45" w:name="_Toc6563"/>
      <w:bookmarkStart w:id="46" w:name="_Toc106034627"/>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21079"/>
      <w:bookmarkStart w:id="48" w:name="_Toc521053056"/>
      <w:bookmarkStart w:id="49" w:name="_Toc24901"/>
      <w:bookmarkStart w:id="50" w:name="_Toc10415"/>
      <w:bookmarkStart w:id="51" w:name="_Toc106034628"/>
      <w:bookmarkStart w:id="52" w:name="_Toc1733"/>
      <w:bookmarkStart w:id="53" w:name="_Toc65660337"/>
      <w:bookmarkStart w:id="54" w:name="_Toc525047164"/>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5461"/>
      <w:bookmarkStart w:id="56" w:name="_Toc26176"/>
      <w:bookmarkStart w:id="57" w:name="_Toc8649"/>
      <w:bookmarkStart w:id="58" w:name="_Toc12959"/>
      <w:bookmarkStart w:id="59" w:name="_Toc75793504"/>
      <w:bookmarkStart w:id="60" w:name="_Toc32686"/>
      <w:bookmarkStart w:id="61" w:name="_Toc25639"/>
      <w:bookmarkStart w:id="62" w:name="_Toc1625"/>
      <w:bookmarkStart w:id="63" w:name="_Toc23143"/>
      <w:bookmarkStart w:id="64" w:name="_Toc1492"/>
      <w:bookmarkStart w:id="65" w:name="_Toc725"/>
      <w:bookmarkStart w:id="66" w:name="_Toc2422"/>
      <w:bookmarkStart w:id="67" w:name="_Toc2070"/>
      <w:bookmarkStart w:id="68" w:name="_Toc19886"/>
      <w:bookmarkStart w:id="69" w:name="_Toc11017"/>
      <w:bookmarkStart w:id="70" w:name="_Toc106030380"/>
      <w:bookmarkStart w:id="71" w:name="_Toc22327"/>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4531"/>
      <w:bookmarkStart w:id="74" w:name="_Toc106030381"/>
      <w:bookmarkStart w:id="75" w:name="_Toc20979"/>
      <w:bookmarkStart w:id="76" w:name="_Toc7027"/>
      <w:bookmarkStart w:id="77" w:name="_Toc23504"/>
      <w:bookmarkStart w:id="78" w:name="_Toc29985"/>
      <w:bookmarkStart w:id="79" w:name="_Toc75793505"/>
      <w:bookmarkStart w:id="80" w:name="_Toc4913"/>
      <w:bookmarkStart w:id="81" w:name="_Toc9261"/>
      <w:bookmarkStart w:id="82" w:name="_Toc4519"/>
      <w:bookmarkStart w:id="83" w:name="_Toc23656"/>
      <w:bookmarkStart w:id="84" w:name="_Toc14433"/>
      <w:bookmarkStart w:id="85" w:name="_Toc22910"/>
      <w:bookmarkStart w:id="86" w:name="_Toc11703"/>
      <w:bookmarkStart w:id="87" w:name="_Toc19238"/>
      <w:bookmarkStart w:id="88" w:name="_Toc8370"/>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除颤仪/除颤监护仪</w:t>
            </w:r>
          </w:p>
        </w:tc>
        <w:tc>
          <w:tcPr>
            <w:tcW w:w="1462" w:type="dxa"/>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3台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rPr>
      </w:pPr>
      <w:bookmarkStart w:id="89" w:name="_Toc18675"/>
      <w:bookmarkStart w:id="90" w:name="_Toc15696"/>
      <w:bookmarkStart w:id="91" w:name="_Toc23975"/>
      <w:bookmarkStart w:id="92" w:name="_Toc21817"/>
      <w:bookmarkStart w:id="93" w:name="_Toc28205"/>
      <w:bookmarkStart w:id="94" w:name="_Toc12568"/>
      <w:bookmarkStart w:id="95" w:name="_Toc26453"/>
      <w:bookmarkStart w:id="96" w:name="_Toc27067"/>
      <w:bookmarkStart w:id="97" w:name="_Toc695"/>
      <w:bookmarkStart w:id="98" w:name="_Toc10143"/>
      <w:bookmarkStart w:id="99" w:name="_Toc5751"/>
      <w:bookmarkStart w:id="100" w:name="_Toc106030382"/>
      <w:bookmarkStart w:id="101" w:name="_Toc75793506"/>
      <w:bookmarkStart w:id="102" w:name="_Toc7792"/>
      <w:bookmarkStart w:id="103" w:name="_Toc18800"/>
      <w:bookmarkStart w:id="104" w:name="_Toc32262"/>
      <w:bookmarkStart w:id="105" w:name="_Toc18903"/>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pStyle w:val="2"/>
        <w:ind w:firstLine="480" w:firstLineChars="200"/>
        <w:rPr>
          <w:rFonts w:hint="eastAsia" w:ascii="微软雅黑" w:hAnsi="微软雅黑" w:eastAsia="微软雅黑" w:cs="微软雅黑"/>
          <w:kern w:val="2"/>
          <w:sz w:val="24"/>
          <w:szCs w:val="24"/>
          <w:lang w:val="en-US" w:eastAsia="zh-CN" w:bidi="ar-SA"/>
        </w:rPr>
      </w:pPr>
      <w:bookmarkStart w:id="106" w:name="_Toc76462327"/>
      <w:bookmarkStart w:id="107" w:name="_Toc12473"/>
      <w:bookmarkStart w:id="108" w:name="_Toc7791"/>
      <w:bookmarkStart w:id="109" w:name="_Toc106030882"/>
      <w:r>
        <w:rPr>
          <w:rFonts w:hint="eastAsia" w:ascii="微软雅黑" w:hAnsi="微软雅黑" w:eastAsia="微软雅黑" w:cs="微软雅黑"/>
          <w:kern w:val="2"/>
          <w:sz w:val="24"/>
          <w:szCs w:val="24"/>
          <w:lang w:val="en-US" w:eastAsia="zh-CN" w:bidi="ar-SA"/>
        </w:rPr>
        <w:t>参数一：（数量：1台，单台限价：2 万元）</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1.电极板支持能量选择、充电和放电三步操作，满足单人除颤操作。</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2.具备手动除颤、心电监护、呼吸监护、自动体外除颤(AED)功能，AED功能适用于成人和儿童（含29天以上婴儿）。</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3.重量:≤6kg(标配，含电池)。</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4.彩色电容触摸屏≥7英寸，分辨率≥800×480像素，可显示≥3通道监护参数波形，支持手势操作、自动亮度调节。</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5.支持中文操作界面。</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6.除颤采用双相波技术，具备自动阻抗补偿功能。</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7.手动除颤分为同步和非同步两种方式，能量分21档以上，可通过体外电极板进行能量选择，最大能量可达360J及以上。</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8.体外除颤电极板同时支持成人和小儿，一体化设计，支持快速切换。</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9.支持旋钮式开机，除颤充电迅速，充电至200J≤5s，除颤后心电基线恢复时间≤2.5s。</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10.从开始AED分析到放电准备就绪≤10s。</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11.支持病人接触状态和阻抗值实时显示。</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12.标配体外起搏功能，起搏分为固定和按需两种模式。具备降速起搏功能。</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13.可选配CPR辅助功能，提供即时的按压反馈，设备界面提供按压深度、频率实时参数显示。</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14.通过心电电极片可监测的心律失常分析种类≥20种。</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15.可选配监护功能:血氧饱和度、无创血压、呼吸末二氧化碳。</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16.脉率范围:20-300bpm。</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17.无创血压收缩压测量范围:40-270mmHg(成人)、40-200mmHg(小儿)、40-135mmHg(新生儿)，舒张压测量范围:10-210mmHg(成人)、10-150mmHg(小儿)，10-100mmHg(新生儿)</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18.具各生理报整和技术报整功能。诵过声音文字和灯光3种方式讲行报警</w:t>
      </w:r>
    </w:p>
    <w:p>
      <w:pPr>
        <w:pStyle w:val="2"/>
        <w:ind w:firstLine="480" w:firstLineChars="200"/>
        <w:rPr>
          <w:rFonts w:hint="default"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19.配置要求：</w:t>
      </w:r>
    </w:p>
    <w:tbl>
      <w:tblPr>
        <w:tblStyle w:val="58"/>
        <w:tblW w:w="5582"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6"/>
        <w:gridCol w:w="3150"/>
        <w:gridCol w:w="859"/>
        <w:gridCol w:w="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64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序号</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配置</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数量</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64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主机</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64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2</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体外电极板(成人/儿童)</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2</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4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3</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AC电源线(国标)</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4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4</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锂电池</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4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5</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心电主电缆导联线（3导联）</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4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6</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心电导联线（3导联）</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4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7</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热敏打印纸</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46"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8</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电极片连接线</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4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9</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心电电极片</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46"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10</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一次性使用除颤电极片（成人/儿童）</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包</w:t>
            </w:r>
          </w:p>
        </w:tc>
      </w:tr>
    </w:tbl>
    <w:p>
      <w:pPr>
        <w:pStyle w:val="2"/>
        <w:ind w:firstLine="480" w:firstLineChars="200"/>
        <w:rPr>
          <w:rFonts w:hint="eastAsia" w:ascii="微软雅黑" w:hAnsi="微软雅黑" w:eastAsia="微软雅黑" w:cs="微软雅黑"/>
          <w:kern w:val="2"/>
          <w:sz w:val="24"/>
          <w:szCs w:val="24"/>
          <w:lang w:val="en-US" w:eastAsia="zh-CN" w:bidi="ar-SA"/>
        </w:rPr>
      </w:pPr>
    </w:p>
    <w:p>
      <w:pPr>
        <w:pStyle w:val="2"/>
        <w:ind w:firstLine="480" w:firstLineChars="200"/>
        <w:rPr>
          <w:rFonts w:hint="eastAsia" w:ascii="微软雅黑" w:hAnsi="微软雅黑" w:eastAsia="微软雅黑" w:cs="微软雅黑"/>
          <w:kern w:val="2"/>
          <w:sz w:val="24"/>
          <w:szCs w:val="24"/>
          <w:lang w:val="en-US" w:eastAsia="zh-CN" w:bidi="ar-SA"/>
        </w:rPr>
      </w:pP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参数二：（数量：1台，单台限价：6 万元）</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1.电极板支持能量选择，充电和放电三步操作，满足单人除颤操作。</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2.具备手动除颤、心电监护、呼吸监护、自动体外除颤(AED)功能，AED功能适用于成人和儿童（含29天以上婴儿）。</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3.重量:≤6kg(标配，含电池)。</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4.彩色电容触摸屏≥7英寸，分辨率≥800×480像素，可显示≥3通道监护参数波形，支持手势操作、自动亮度调节。</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5.支持中文操作界面。</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6.除颤采用双相波技术，具备自动阻抗补偿功能。</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7.手动除颤分为同步和非同步两种方式，能量分21档以上，可通过体外电极板进行能量选择，最大能量可达360J及以上。</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8.体外除颤电极板同时支持成人和小儿，一体化设计，支持快速切换。</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9.支持旋钮式开机，除颤充电迅速，充电至200J≤5s，除颤后心电基线恢复时间≤2.5s。</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10.从开始AED分析到放电准备就绪≤10s。</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11.支持病人接触状态和阻抗值实时显示。</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12.标配体外起搏功能，起搏分为固定和按需两种模式。具备降速起搏功能。</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13.可选配CPR辅助功能，提供即时的按压反馈，设备界面提供按压深度、频率实时参数显示。</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14.通过心电电极片可监测的心律失常分析种类≥20种。</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15.可选配监护功能:血氧饱和度、无创血压、呼吸末二氧化碳。</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16.脉率范围:20-300bpm。</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17.无创血压收缩压测量范围:40-270mmHg(成人)、40-200mmHg(小儿)、40-135mmHg(新生儿)，舒张压测量范围:10-210mmHg(成人)、10-150mmHg(小儿)，10-100mmHg(新生儿)</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18.具各生理报整和技术报整功能。诵过声音文字和灯光3种方式讲行报警</w:t>
      </w:r>
    </w:p>
    <w:p>
      <w:pPr>
        <w:pStyle w:val="2"/>
        <w:ind w:firstLine="480" w:firstLineChars="200"/>
        <w:rPr>
          <w:rFonts w:hint="default"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19.配置要求：</w:t>
      </w:r>
    </w:p>
    <w:tbl>
      <w:tblPr>
        <w:tblStyle w:val="58"/>
        <w:tblW w:w="53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6"/>
        <w:gridCol w:w="2760"/>
        <w:gridCol w:w="690"/>
        <w:gridCol w:w="9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序号</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配置</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数量</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除颤仪主机</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2</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体外电极板(成人/儿童)（可粘贴）</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2</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3</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体内电极板(成人/儿童)</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2</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4</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AC电源线(国标)</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5</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锂电池</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6</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心电主电缆导联线(5导联)</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7</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心电导联线(5导联)</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8</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血氧传感器</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9</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体温探头（可重复，体表）</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10</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热敏打印纸</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11</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NIBP导气管</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12</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血压袖带（可重复）</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个</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13</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电极片连接线</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14</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心电电极片</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966"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15</w:t>
            </w:r>
          </w:p>
        </w:tc>
        <w:tc>
          <w:tcPr>
            <w:tcW w:w="276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一次性使用除颤电极片(成人/儿童)</w:t>
            </w:r>
          </w:p>
        </w:tc>
        <w:tc>
          <w:tcPr>
            <w:tcW w:w="69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54"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包</w:t>
            </w:r>
          </w:p>
        </w:tc>
      </w:tr>
    </w:tbl>
    <w:p>
      <w:pPr>
        <w:pStyle w:val="2"/>
        <w:ind w:firstLine="480" w:firstLineChars="200"/>
        <w:rPr>
          <w:rFonts w:hint="eastAsia" w:ascii="微软雅黑" w:hAnsi="微软雅黑" w:eastAsia="微软雅黑" w:cs="微软雅黑"/>
          <w:kern w:val="2"/>
          <w:sz w:val="24"/>
          <w:szCs w:val="24"/>
          <w:lang w:val="en-US" w:eastAsia="zh-CN" w:bidi="ar-SA"/>
        </w:rPr>
      </w:pP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参数三：（数量：1台，单台限价：4.5万元）</w:t>
      </w:r>
    </w:p>
    <w:p>
      <w:pPr>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用途：用于满足婴幼儿、儿童及青少年急救与监护需求。</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电极板支持能量选择，充电和放电三步操作，满足单人除颤操作。</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具备手动除颤、心电监护、呼吸监护、自动体外除颤（AED）功能，AED功能适用于婴儿、儿童及成人。</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重量：≤6kg。</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彩色电容触摸屏≥7英寸, 分辨率≥800×600像素。</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支持手势操作、自动亮度调节。</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支持中文操作界面。</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除颤采用双相波技术，具备自动阻抗补偿功能。</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手动除颤分为同步和非同步两种方式，能调节能量。能量档位不低于15档，可通过体外电极板进行能量选择，最大能量可达360J。</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体外除颤电极板同时支持成人和小儿，一体化设计。</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支持接触状态和阻抗值实时显示。</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具备全面的心律失常分析功能。</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脉率范围：40-300bpm。</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具备生理报警和技术报警功能，通过不少于声音、文字和灯光3种方式进行报警。</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抢救结束后自动生成抢救报告。</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支持培训模式，包含CPR操作培训、抢救操作培训；可支持提供培训考核系统，支持多台设备同时接入进行在线培训、考核。</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关机状态下设备支持每天定时自动运行自检，支持定期自动大能量自检。</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设备自检后支持对于自检报告进行自动打印或按需打印。</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具备良好的防尘防水性能，防尘防水级别IP55。</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标配1块外置智能锂电池，可支持200J除颤≥250次。</w:t>
      </w:r>
    </w:p>
    <w:p>
      <w:pPr>
        <w:numPr>
          <w:ilvl w:val="0"/>
          <w:numId w:val="15"/>
        </w:numPr>
        <w:spacing w:line="360" w:lineRule="auto"/>
        <w:ind w:left="425" w:leftChars="0" w:hanging="425" w:firstLineChars="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20.可存储24小时连续ECG波形，数据能导出至电脑查看。</w:t>
      </w:r>
    </w:p>
    <w:p>
      <w:pPr>
        <w:numPr>
          <w:ilvl w:val="0"/>
          <w:numId w:val="15"/>
        </w:numPr>
        <w:spacing w:line="360" w:lineRule="auto"/>
        <w:ind w:left="425" w:leftChars="0" w:hanging="425" w:firstLineChars="0"/>
        <w:rPr>
          <w:rFonts w:hint="default"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21.配置要求：</w:t>
      </w:r>
    </w:p>
    <w:tbl>
      <w:tblPr>
        <w:tblStyle w:val="58"/>
        <w:tblW w:w="5766"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0"/>
        <w:gridCol w:w="3150"/>
        <w:gridCol w:w="859"/>
        <w:gridCol w:w="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83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序号</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配置</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数量</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83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主机</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83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2</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体外电极板(成人/儿童)</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3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3</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AC电源线(国标)</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3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4</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锂电池</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3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5</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心电主电缆导联线（5导联）</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9" w:hRule="atLeast"/>
        </w:trPr>
        <w:tc>
          <w:tcPr>
            <w:tcW w:w="83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6</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心电导联线（5导联）</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3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7</w:t>
            </w:r>
          </w:p>
        </w:tc>
        <w:tc>
          <w:tcPr>
            <w:tcW w:w="3150"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热敏打印纸</w:t>
            </w:r>
          </w:p>
        </w:tc>
        <w:tc>
          <w:tcPr>
            <w:tcW w:w="859"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3</w:t>
            </w:r>
          </w:p>
        </w:tc>
        <w:tc>
          <w:tcPr>
            <w:tcW w:w="927" w:type="dxa"/>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30"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8</w:t>
            </w:r>
          </w:p>
        </w:tc>
        <w:tc>
          <w:tcPr>
            <w:tcW w:w="3150" w:type="dxa"/>
            <w:shd w:val="clear" w:color="auto" w:fill="auto"/>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电极片连接线</w:t>
            </w:r>
          </w:p>
        </w:tc>
        <w:tc>
          <w:tcPr>
            <w:tcW w:w="859" w:type="dxa"/>
            <w:shd w:val="clear" w:color="auto" w:fill="auto"/>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shd w:val="clear" w:color="auto" w:fill="auto"/>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30"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9</w:t>
            </w:r>
          </w:p>
        </w:tc>
        <w:tc>
          <w:tcPr>
            <w:tcW w:w="3150" w:type="dxa"/>
            <w:shd w:val="clear" w:color="auto" w:fill="auto"/>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心电电极片</w:t>
            </w:r>
          </w:p>
        </w:tc>
        <w:tc>
          <w:tcPr>
            <w:tcW w:w="859" w:type="dxa"/>
            <w:shd w:val="clear" w:color="auto" w:fill="auto"/>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shd w:val="clear" w:color="auto" w:fill="auto"/>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30" w:type="dxa"/>
            <w:vAlign w:val="center"/>
          </w:tcPr>
          <w:p>
            <w:pPr>
              <w:pStyle w:val="144"/>
              <w:keepNext w:val="0"/>
              <w:keepLines w:val="0"/>
              <w:suppressLineNumbers w:val="0"/>
              <w:spacing w:before="0" w:beforeAutospacing="0" w:after="0" w:afterAutospacing="0" w:line="400" w:lineRule="exact"/>
              <w:ind w:left="0" w:right="0"/>
              <w:jc w:val="center"/>
              <w:rPr>
                <w:rFonts w:hint="default"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10</w:t>
            </w:r>
          </w:p>
        </w:tc>
        <w:tc>
          <w:tcPr>
            <w:tcW w:w="3150" w:type="dxa"/>
            <w:shd w:val="clear" w:color="auto" w:fill="auto"/>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一次性使用除颤电极片（成人/儿童）</w:t>
            </w:r>
          </w:p>
        </w:tc>
        <w:tc>
          <w:tcPr>
            <w:tcW w:w="859" w:type="dxa"/>
            <w:shd w:val="clear" w:color="auto" w:fill="auto"/>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1</w:t>
            </w:r>
          </w:p>
        </w:tc>
        <w:tc>
          <w:tcPr>
            <w:tcW w:w="927" w:type="dxa"/>
            <w:shd w:val="clear" w:color="auto" w:fill="auto"/>
            <w:vAlign w:val="center"/>
          </w:tcPr>
          <w:p>
            <w:pPr>
              <w:pStyle w:val="144"/>
              <w:keepNext w:val="0"/>
              <w:keepLines w:val="0"/>
              <w:suppressLineNumbers w:val="0"/>
              <w:spacing w:before="0" w:beforeAutospacing="0" w:after="0" w:afterAutospacing="0" w:line="400" w:lineRule="exact"/>
              <w:ind w:left="0" w:right="0"/>
              <w:jc w:val="cente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包</w:t>
            </w:r>
          </w:p>
        </w:tc>
      </w:tr>
    </w:tbl>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以上参数要求请提供相应官网截图/产品彩页/产品说明书/检验报告等佐证材料（需生产厂家盖章、投标人盖章）。</w:t>
      </w:r>
    </w:p>
    <w:p>
      <w:pPr>
        <w:snapToGrid w:val="0"/>
        <w:spacing w:line="400" w:lineRule="exact"/>
        <w:ind w:firstLine="560" w:firstLineChars="200"/>
        <w:rPr>
          <w:rFonts w:hint="eastAsia" w:ascii="宋体" w:hAnsi="宋体" w:cs="宋体"/>
          <w:lang w:val="en-US" w:eastAsia="zh-CN"/>
        </w:rPr>
      </w:pP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交货期：参数一、二定标后30个日历日内将设备运到采购人指定交货地点；参数三接到需求科室通知30日历日内将</w:t>
            </w:r>
            <w:bookmarkStart w:id="189" w:name="_GoBack"/>
            <w:bookmarkEnd w:id="189"/>
            <w:r>
              <w:rPr>
                <w:rFonts w:hint="eastAsia" w:ascii="微软雅黑" w:hAnsi="微软雅黑" w:eastAsia="微软雅黑" w:cs="微软雅黑"/>
                <w:color w:val="auto"/>
                <w:kern w:val="2"/>
                <w:sz w:val="21"/>
                <w:szCs w:val="21"/>
                <w:lang w:val="en-US" w:eastAsia="zh-CN" w:bidi="ar-SA"/>
              </w:rPr>
              <w:t>设备运到采购人指定交货地点。</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交货地点：重庆医科大学附属儿童医院</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参数一、二：质保期不低于5年；</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参数三：质保期不低于5年；</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质保期内免费维修维保，免费更换所有需要的配件，质保期外免费维修，采购人只支付维修设备配件等费用，不得支付维修产生的差旅费等费用。</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2.</w:t>
            </w:r>
            <w:r>
              <w:rPr>
                <w:rFonts w:hint="eastAsia" w:ascii="微软雅黑" w:hAnsi="微软雅黑" w:eastAsia="微软雅黑" w:cs="微软雅黑"/>
                <w:color w:val="auto"/>
                <w:kern w:val="2"/>
                <w:sz w:val="21"/>
                <w:szCs w:val="21"/>
                <w:lang w:val="de-DE" w:eastAsia="zh-CN" w:bidi="ar-SA"/>
              </w:rPr>
              <w:t>机器故障应2</w:t>
            </w:r>
            <w:r>
              <w:rPr>
                <w:rFonts w:hint="eastAsia" w:ascii="微软雅黑" w:hAnsi="微软雅黑" w:eastAsia="微软雅黑" w:cs="微软雅黑"/>
                <w:color w:val="auto"/>
                <w:kern w:val="2"/>
                <w:sz w:val="21"/>
                <w:szCs w:val="21"/>
                <w:lang w:val="en-US" w:eastAsia="zh-CN" w:bidi="ar-SA"/>
              </w:rPr>
              <w:t>小时</w:t>
            </w:r>
            <w:r>
              <w:rPr>
                <w:rFonts w:hint="eastAsia" w:ascii="微软雅黑" w:hAnsi="微软雅黑" w:eastAsia="微软雅黑" w:cs="微软雅黑"/>
                <w:color w:val="auto"/>
                <w:kern w:val="2"/>
                <w:sz w:val="21"/>
                <w:szCs w:val="21"/>
                <w:lang w:val="de-DE" w:eastAsia="zh-CN" w:bidi="ar-SA"/>
              </w:rPr>
              <w:t>内故障响应，</w:t>
            </w:r>
            <w:r>
              <w:rPr>
                <w:rFonts w:hint="eastAsia" w:ascii="微软雅黑" w:hAnsi="微软雅黑" w:eastAsia="微软雅黑" w:cs="微软雅黑"/>
                <w:color w:val="auto"/>
                <w:kern w:val="2"/>
                <w:sz w:val="21"/>
                <w:szCs w:val="21"/>
                <w:lang w:val="en-US" w:eastAsia="zh-CN" w:bidi="ar-SA"/>
              </w:rPr>
              <w:t>4小时</w:t>
            </w:r>
            <w:r>
              <w:rPr>
                <w:rFonts w:hint="eastAsia" w:ascii="微软雅黑" w:hAnsi="微软雅黑" w:eastAsia="微软雅黑" w:cs="微软雅黑"/>
                <w:color w:val="auto"/>
                <w:kern w:val="2"/>
                <w:sz w:val="21"/>
                <w:szCs w:val="21"/>
                <w:lang w:val="de-DE" w:eastAsia="zh-CN" w:bidi="ar-SA"/>
              </w:rPr>
              <w:t>内到达现场解决故障。</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3.不能解决故障则应48小时内提供备用机或解决方案。</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4.</w:t>
            </w:r>
            <w:r>
              <w:rPr>
                <w:rFonts w:hint="eastAsia" w:ascii="微软雅黑" w:hAnsi="微软雅黑" w:eastAsia="微软雅黑" w:cs="微软雅黑"/>
                <w:color w:val="auto"/>
                <w:kern w:val="2"/>
                <w:sz w:val="21"/>
                <w:szCs w:val="21"/>
                <w:lang w:val="de-DE" w:eastAsia="zh-CN" w:bidi="ar-SA"/>
              </w:rPr>
              <w:t>提供维修技术资料。</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5.</w:t>
            </w:r>
            <w:r>
              <w:rPr>
                <w:rFonts w:hint="eastAsia" w:ascii="微软雅黑" w:hAnsi="微软雅黑" w:eastAsia="微软雅黑" w:cs="微软雅黑"/>
                <w:color w:val="auto"/>
                <w:kern w:val="2"/>
                <w:sz w:val="21"/>
                <w:szCs w:val="21"/>
                <w:lang w:val="de-DE" w:eastAsia="zh-CN" w:bidi="ar-SA"/>
              </w:rPr>
              <w:t>维修工程师免费上门安装、培训。</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6.</w:t>
            </w:r>
            <w:r>
              <w:rPr>
                <w:rFonts w:hint="eastAsia" w:ascii="微软雅黑" w:hAnsi="微软雅黑" w:eastAsia="微软雅黑" w:cs="微软雅黑"/>
                <w:color w:val="auto"/>
                <w:kern w:val="2"/>
                <w:sz w:val="21"/>
                <w:szCs w:val="21"/>
                <w:lang w:val="de-DE" w:eastAsia="zh-CN" w:bidi="ar-SA"/>
              </w:rPr>
              <w:t>一年不低于4次定期维护保养，</w:t>
            </w:r>
            <w:r>
              <w:rPr>
                <w:rFonts w:hint="eastAsia" w:ascii="微软雅黑" w:hAnsi="微软雅黑" w:eastAsia="微软雅黑" w:cs="微软雅黑"/>
                <w:color w:val="auto"/>
                <w:kern w:val="2"/>
                <w:sz w:val="21"/>
                <w:szCs w:val="21"/>
                <w:lang w:val="en-US" w:eastAsia="zh-CN" w:bidi="ar-SA"/>
              </w:rPr>
              <w:t>有故障情况发生，终身免费上门维修</w:t>
            </w:r>
            <w:r>
              <w:rPr>
                <w:rFonts w:hint="eastAsia" w:ascii="微软雅黑" w:hAnsi="微软雅黑" w:eastAsia="微软雅黑" w:cs="微软雅黑"/>
                <w:color w:val="auto"/>
                <w:kern w:val="2"/>
                <w:sz w:val="21"/>
                <w:szCs w:val="21"/>
                <w:lang w:val="de-DE" w:eastAsia="zh-CN" w:bidi="ar-SA"/>
              </w:rPr>
              <w:t>。</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7.</w:t>
            </w:r>
            <w:r>
              <w:rPr>
                <w:rFonts w:hint="eastAsia" w:ascii="微软雅黑" w:hAnsi="微软雅黑" w:eastAsia="微软雅黑" w:cs="微软雅黑"/>
                <w:color w:val="auto"/>
                <w:kern w:val="2"/>
                <w:sz w:val="21"/>
                <w:szCs w:val="21"/>
                <w:lang w:val="de-DE" w:eastAsia="zh-CN" w:bidi="ar-SA"/>
              </w:rPr>
              <w:t>有西南地区本地化服务机构和服务人员证明并且能够提供证明材料（公司的营业证等复印件加盖公章）。</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1.该项目可在投标现场进行二次报价。</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1.中标人</w:t>
            </w:r>
            <w:r>
              <w:rPr>
                <w:rFonts w:hint="default" w:ascii="微软雅黑" w:hAnsi="微软雅黑" w:eastAsia="微软雅黑" w:cs="微软雅黑"/>
                <w:color w:val="auto"/>
                <w:kern w:val="2"/>
                <w:sz w:val="21"/>
                <w:szCs w:val="21"/>
                <w:lang w:val="en-US" w:eastAsia="zh-CN" w:bidi="ar-SA"/>
              </w:rPr>
              <w:t>按采购合同交货并安装调试完成，经验收合格后采购人出具项目验收报告；</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2.中标人</w:t>
            </w:r>
            <w:r>
              <w:rPr>
                <w:rFonts w:hint="default" w:ascii="微软雅黑" w:hAnsi="微软雅黑" w:eastAsia="微软雅黑" w:cs="微软雅黑"/>
                <w:color w:val="auto"/>
                <w:kern w:val="2"/>
                <w:sz w:val="21"/>
                <w:szCs w:val="21"/>
                <w:lang w:val="en-US" w:eastAsia="zh-CN" w:bidi="ar-SA"/>
              </w:rPr>
              <w:t>向采购人开具发票，采购人于</w:t>
            </w:r>
            <w:r>
              <w:rPr>
                <w:rFonts w:hint="eastAsia" w:ascii="微软雅黑" w:hAnsi="微软雅黑" w:eastAsia="微软雅黑" w:cs="微软雅黑"/>
                <w:color w:val="auto"/>
                <w:kern w:val="2"/>
                <w:sz w:val="21"/>
                <w:szCs w:val="21"/>
                <w:lang w:val="en-US" w:eastAsia="zh-CN" w:bidi="ar-SA"/>
              </w:rPr>
              <w:t>2个月</w:t>
            </w:r>
            <w:r>
              <w:rPr>
                <w:rFonts w:hint="default" w:ascii="微软雅黑" w:hAnsi="微软雅黑" w:eastAsia="微软雅黑" w:cs="微软雅黑"/>
                <w:color w:val="auto"/>
                <w:kern w:val="2"/>
                <w:sz w:val="21"/>
                <w:szCs w:val="21"/>
                <w:lang w:val="en-US" w:eastAsia="zh-CN" w:bidi="ar-SA"/>
              </w:rPr>
              <w:t>内以转账方式向</w:t>
            </w:r>
            <w:r>
              <w:rPr>
                <w:rFonts w:hint="eastAsia" w:ascii="微软雅黑" w:hAnsi="微软雅黑" w:eastAsia="微软雅黑" w:cs="微软雅黑"/>
                <w:color w:val="auto"/>
                <w:kern w:val="2"/>
                <w:sz w:val="21"/>
                <w:szCs w:val="21"/>
                <w:lang w:val="en-US" w:eastAsia="zh-CN" w:bidi="ar-SA"/>
              </w:rPr>
              <w:t>中标人</w:t>
            </w:r>
            <w:r>
              <w:rPr>
                <w:rFonts w:hint="default" w:ascii="微软雅黑" w:hAnsi="微软雅黑" w:eastAsia="微软雅黑" w:cs="微软雅黑"/>
                <w:color w:val="auto"/>
                <w:kern w:val="2"/>
                <w:sz w:val="21"/>
                <w:szCs w:val="21"/>
                <w:lang w:val="en-US" w:eastAsia="zh-CN" w:bidi="ar-SA"/>
              </w:rPr>
              <w:t>支付合同全款</w:t>
            </w:r>
            <w:r>
              <w:rPr>
                <w:rFonts w:hint="eastAsia" w:ascii="微软雅黑" w:hAnsi="微软雅黑" w:eastAsia="微软雅黑" w:cs="微软雅黑"/>
                <w:color w:val="auto"/>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1.投标人必须在响应文件中对以上条款和服务承诺明确列出，承诺内容必须达到本篇及协商文件其他条款的要求。</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10" w:name="_Toc106030887"/>
      <w:bookmarkStart w:id="111" w:name="_Toc6692"/>
      <w:bookmarkStart w:id="112" w:name="_Toc7646233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3" w:name="_Toc19431"/>
      <w:r>
        <w:rPr>
          <w:rFonts w:hint="eastAsia" w:ascii="微软雅黑" w:hAnsi="微软雅黑" w:eastAsia="微软雅黑" w:cs="微软雅黑"/>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14958"/>
      <w:bookmarkStart w:id="115" w:name="_Toc106030888"/>
      <w:bookmarkStart w:id="116" w:name="_Toc76462333"/>
      <w:bookmarkStart w:id="117" w:name="_Toc26127"/>
      <w:r>
        <w:rPr>
          <w:rFonts w:hint="eastAsia" w:ascii="微软雅黑" w:hAnsi="微软雅黑" w:eastAsia="微软雅黑" w:cs="微软雅黑"/>
          <w:sz w:val="24"/>
        </w:rPr>
        <w:t>一、公开比选采购程序</w:t>
      </w:r>
      <w:bookmarkEnd w:id="114"/>
      <w:bookmarkEnd w:id="115"/>
      <w:bookmarkEnd w:id="116"/>
      <w:bookmarkEnd w:id="11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7374"/>
      <w:r>
        <w:rPr>
          <w:rFonts w:hint="eastAsia" w:ascii="微软雅黑" w:hAnsi="微软雅黑" w:eastAsia="微软雅黑" w:cs="微软雅黑"/>
          <w:sz w:val="24"/>
        </w:rPr>
        <w:t>二、评标方法</w:t>
      </w:r>
      <w:bookmarkEnd w:id="11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19" w:name="_Toc76462334"/>
      <w:bookmarkStart w:id="120" w:name="_Toc30944"/>
      <w:bookmarkStart w:id="121" w:name="_Toc106030889"/>
      <w:bookmarkStart w:id="122" w:name="_Toc24315"/>
      <w:bookmarkStart w:id="123" w:name="_Toc102227320"/>
      <w:bookmarkStart w:id="124" w:name="_Toc342913394"/>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19"/>
      <w:bookmarkEnd w:id="120"/>
      <w:bookmarkEnd w:id="121"/>
      <w:bookmarkEnd w:id="122"/>
    </w:p>
    <w:p>
      <w:pPr>
        <w:snapToGrid w:val="0"/>
        <w:spacing w:line="400" w:lineRule="exact"/>
        <w:ind w:firstLine="480" w:firstLineChars="200"/>
        <w:rPr>
          <w:rFonts w:hint="eastAsia" w:ascii="微软雅黑" w:hAnsi="微软雅黑" w:eastAsia="微软雅黑" w:cs="微软雅黑"/>
          <w:sz w:val="24"/>
          <w:szCs w:val="24"/>
        </w:rPr>
      </w:pPr>
      <w:bookmarkStart w:id="125" w:name="_Toc76462335"/>
      <w:bookmarkStart w:id="126" w:name="_Toc31497"/>
      <w:bookmarkStart w:id="127"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8" w:name="_Toc17606"/>
      <w:r>
        <w:rPr>
          <w:rFonts w:hint="eastAsia" w:ascii="微软雅黑" w:hAnsi="微软雅黑" w:eastAsia="微软雅黑" w:cs="微软雅黑"/>
          <w:sz w:val="24"/>
        </w:rPr>
        <w:t>四、无效响应</w:t>
      </w:r>
      <w:bookmarkEnd w:id="125"/>
      <w:bookmarkEnd w:id="126"/>
      <w:bookmarkEnd w:id="127"/>
      <w:bookmarkEnd w:id="12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76462336"/>
      <w:bookmarkStart w:id="130" w:name="_Toc10687"/>
      <w:bookmarkStart w:id="131" w:name="_Toc106030891"/>
      <w:bookmarkStart w:id="132" w:name="_Toc12222"/>
      <w:r>
        <w:rPr>
          <w:rFonts w:hint="eastAsia" w:ascii="微软雅黑" w:hAnsi="微软雅黑" w:eastAsia="微软雅黑" w:cs="微软雅黑"/>
          <w:sz w:val="24"/>
        </w:rPr>
        <w:t>五、</w:t>
      </w:r>
      <w:bookmarkEnd w:id="123"/>
      <w:bookmarkEnd w:id="124"/>
      <w:bookmarkEnd w:id="129"/>
      <w:bookmarkEnd w:id="130"/>
      <w:bookmarkEnd w:id="131"/>
      <w:bookmarkEnd w:id="13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3家的除外</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3" w:name="_Toc102227313"/>
      <w:bookmarkStart w:id="134" w:name="_Toc29948"/>
      <w:bookmarkStart w:id="135" w:name="_Toc76462337"/>
      <w:bookmarkStart w:id="136" w:name="_Toc13119"/>
      <w:bookmarkStart w:id="137" w:name="_Toc106030892"/>
      <w:r>
        <w:rPr>
          <w:rFonts w:hint="eastAsia" w:ascii="微软雅黑" w:hAnsi="微软雅黑" w:eastAsia="微软雅黑" w:cs="微软雅黑"/>
          <w:sz w:val="44"/>
        </w:rPr>
        <w:t>第五篇  投标人须知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76462338"/>
      <w:bookmarkStart w:id="139" w:name="_Toc342913389"/>
      <w:bookmarkStart w:id="140" w:name="_Toc26717"/>
      <w:bookmarkStart w:id="141" w:name="_Toc106030893"/>
      <w:bookmarkStart w:id="142" w:name="_Toc20271"/>
      <w:r>
        <w:rPr>
          <w:rFonts w:hint="eastAsia" w:ascii="微软雅黑" w:hAnsi="微软雅黑" w:eastAsia="微软雅黑" w:cs="微软雅黑"/>
          <w:sz w:val="24"/>
        </w:rPr>
        <w:t>一、公开比选费用</w:t>
      </w:r>
      <w:bookmarkEnd w:id="138"/>
      <w:bookmarkEnd w:id="139"/>
      <w:bookmarkEnd w:id="140"/>
      <w:bookmarkEnd w:id="141"/>
      <w:bookmarkEnd w:id="142"/>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76462339"/>
      <w:bookmarkStart w:id="144" w:name="_Toc342913391"/>
      <w:bookmarkStart w:id="145" w:name="_Toc106030894"/>
      <w:bookmarkStart w:id="146" w:name="_Toc15712"/>
      <w:bookmarkStart w:id="147" w:name="_Toc27891"/>
      <w:r>
        <w:rPr>
          <w:rFonts w:hint="eastAsia" w:ascii="微软雅黑" w:hAnsi="微软雅黑" w:eastAsia="微软雅黑" w:cs="微软雅黑"/>
          <w:sz w:val="24"/>
        </w:rPr>
        <w:t>二、公开比选采购文件</w:t>
      </w:r>
      <w:bookmarkEnd w:id="143"/>
      <w:bookmarkEnd w:id="144"/>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8" w:name="_Toc318166429"/>
      <w:bookmarkStart w:id="149" w:name="_Toc318159160"/>
      <w:bookmarkStart w:id="150" w:name="_Toc318159349"/>
      <w:bookmarkStart w:id="151" w:name="_Toc318159780"/>
    </w:p>
    <w:bookmarkEnd w:id="148"/>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102227318"/>
      <w:bookmarkStart w:id="153" w:name="_Toc20510"/>
      <w:bookmarkStart w:id="154" w:name="_Toc26007"/>
      <w:bookmarkStart w:id="155" w:name="_Toc106030895"/>
      <w:bookmarkStart w:id="156" w:name="_Toc342913392"/>
      <w:bookmarkStart w:id="157" w:name="_Toc76462340"/>
      <w:bookmarkStart w:id="158" w:name="_Toc179714297"/>
      <w:r>
        <w:rPr>
          <w:rFonts w:hint="eastAsia" w:ascii="微软雅黑" w:hAnsi="微软雅黑" w:eastAsia="微软雅黑" w:cs="微软雅黑"/>
          <w:sz w:val="24"/>
        </w:rPr>
        <w:t>三、比选要求</w:t>
      </w:r>
      <w:bookmarkEnd w:id="152"/>
      <w:bookmarkEnd w:id="153"/>
      <w:bookmarkEnd w:id="154"/>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6435"/>
      <w:bookmarkStart w:id="160" w:name="_Toc76462341"/>
      <w:bookmarkStart w:id="161" w:name="_Toc32166"/>
      <w:bookmarkStart w:id="162" w:name="_Toc10603089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9"/>
      <w:bookmarkEnd w:id="160"/>
      <w:bookmarkEnd w:id="161"/>
      <w:bookmarkEnd w:id="16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21532"/>
      <w:bookmarkStart w:id="164" w:name="_Toc106030897"/>
      <w:bookmarkStart w:id="165" w:name="_Toc342913395"/>
      <w:bookmarkStart w:id="166" w:name="_Toc102227321"/>
      <w:bookmarkStart w:id="167" w:name="_Toc2729"/>
      <w:bookmarkStart w:id="168" w:name="_Toc76462342"/>
      <w:r>
        <w:rPr>
          <w:rFonts w:hint="eastAsia" w:ascii="微软雅黑" w:hAnsi="微软雅黑" w:eastAsia="微软雅黑" w:cs="微软雅黑"/>
          <w:sz w:val="24"/>
        </w:rPr>
        <w:t>五、成交通知</w:t>
      </w:r>
      <w:bookmarkEnd w:id="163"/>
      <w:bookmarkEnd w:id="164"/>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9" w:name="_Toc4796"/>
      <w:bookmarkStart w:id="170" w:name="_Toc106030898"/>
      <w:bookmarkStart w:id="171" w:name="_Toc76462343"/>
      <w:bookmarkStart w:id="172" w:name="_Toc21448"/>
      <w:r>
        <w:rPr>
          <w:rFonts w:hint="eastAsia" w:ascii="微软雅黑" w:hAnsi="微软雅黑" w:eastAsia="微软雅黑" w:cs="微软雅黑"/>
          <w:sz w:val="24"/>
        </w:rPr>
        <w:t>六、质疑处理</w:t>
      </w:r>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3" w:name="_Toc106030899"/>
      <w:bookmarkStart w:id="174" w:name="_Toc28334"/>
      <w:bookmarkStart w:id="175"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6" w:name="_Toc23896"/>
      <w:r>
        <w:rPr>
          <w:rFonts w:hint="eastAsia" w:ascii="微软雅黑" w:hAnsi="微软雅黑" w:eastAsia="微软雅黑" w:cs="微软雅黑"/>
          <w:sz w:val="24"/>
        </w:rPr>
        <w:t>七、</w:t>
      </w:r>
      <w:bookmarkEnd w:id="173"/>
      <w:bookmarkEnd w:id="174"/>
      <w:bookmarkEnd w:id="175"/>
      <w:bookmarkStart w:id="177" w:name="_Toc102227322"/>
      <w:bookmarkStart w:id="178" w:name="_Toc3372"/>
      <w:bookmarkStart w:id="179" w:name="_Toc76462346"/>
      <w:bookmarkStart w:id="180" w:name="_Toc342913396"/>
      <w:bookmarkStart w:id="181" w:name="_Toc106030901"/>
      <w:bookmarkStart w:id="182" w:name="_Toc11641055"/>
      <w:bookmarkStart w:id="183" w:name="_Toc12789059"/>
      <w:r>
        <w:rPr>
          <w:rFonts w:hint="eastAsia" w:ascii="微软雅黑" w:hAnsi="微软雅黑" w:eastAsia="微软雅黑" w:cs="微软雅黑"/>
          <w:sz w:val="24"/>
        </w:rPr>
        <w:t>签订</w:t>
      </w:r>
      <w:bookmarkEnd w:id="177"/>
      <w:r>
        <w:rPr>
          <w:rFonts w:hint="eastAsia" w:ascii="微软雅黑" w:hAnsi="微软雅黑" w:eastAsia="微软雅黑" w:cs="微软雅黑"/>
          <w:sz w:val="24"/>
        </w:rPr>
        <w:t>合同</w:t>
      </w:r>
      <w:bookmarkEnd w:id="176"/>
      <w:bookmarkEnd w:id="178"/>
      <w:bookmarkEnd w:id="179"/>
      <w:bookmarkEnd w:id="180"/>
      <w:bookmarkEnd w:id="181"/>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2"/>
      <w:bookmarkEnd w:id="183"/>
    </w:p>
    <w:p>
      <w:pPr>
        <w:pStyle w:val="4"/>
        <w:spacing w:before="200" w:after="200" w:line="240" w:lineRule="auto"/>
        <w:jc w:val="center"/>
        <w:rPr>
          <w:rFonts w:hint="eastAsia" w:ascii="微软雅黑" w:hAnsi="微软雅黑" w:eastAsia="微软雅黑" w:cs="微软雅黑"/>
          <w:b/>
          <w:sz w:val="44"/>
          <w:szCs w:val="20"/>
        </w:rPr>
      </w:pPr>
      <w:bookmarkStart w:id="184" w:name="_Hlt41879464"/>
      <w:bookmarkEnd w:id="184"/>
      <w:bookmarkStart w:id="185" w:name="_Toc27984"/>
      <w:bookmarkStart w:id="186" w:name="_Toc21717"/>
      <w:bookmarkStart w:id="187" w:name="_Toc106030905"/>
      <w:bookmarkStart w:id="188" w:name="_Toc76462349"/>
      <w:r>
        <w:rPr>
          <w:rFonts w:hint="eastAsia" w:ascii="微软雅黑" w:hAnsi="微软雅黑" w:eastAsia="微软雅黑" w:cs="微软雅黑"/>
          <w:b/>
          <w:sz w:val="44"/>
          <w:szCs w:val="20"/>
        </w:rPr>
        <w:t>第六篇  响应文件编制要求</w:t>
      </w:r>
      <w:bookmarkEnd w:id="185"/>
      <w:bookmarkEnd w:id="186"/>
      <w:bookmarkEnd w:id="187"/>
      <w:bookmarkEnd w:id="18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其他与项目有关的资料</w:t>
      </w:r>
    </w:p>
    <w:p>
      <w:pPr>
        <w:spacing w:line="360" w:lineRule="auto"/>
        <w:jc w:val="both"/>
        <w:outlineLvl w:val="0"/>
        <w:rPr>
          <w:rFonts w:hint="eastAsia" w:ascii="微软雅黑" w:hAnsi="微软雅黑" w:eastAsia="微软雅黑" w:cs="微软雅黑"/>
          <w:lang w:eastAsia="zh-CN"/>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0A296C"/>
    <w:multiLevelType w:val="singleLevel"/>
    <w:tmpl w:val="FC0A296C"/>
    <w:lvl w:ilvl="0" w:tentative="0">
      <w:start w:val="1"/>
      <w:numFmt w:val="decimal"/>
      <w:lvlText w:val="%1."/>
      <w:lvlJc w:val="left"/>
      <w:pPr>
        <w:ind w:left="425" w:hanging="425"/>
      </w:pPr>
      <w:rPr>
        <w:rFonts w:hint="default"/>
      </w:rPr>
    </w:lvl>
  </w:abstractNum>
  <w:abstractNum w:abstractNumId="1">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4">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30620E3"/>
    <w:rsid w:val="04631E70"/>
    <w:rsid w:val="05986724"/>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3747A80"/>
    <w:rsid w:val="143E2110"/>
    <w:rsid w:val="147A5E14"/>
    <w:rsid w:val="14D11CFB"/>
    <w:rsid w:val="15935DB5"/>
    <w:rsid w:val="15BB3449"/>
    <w:rsid w:val="16404E7B"/>
    <w:rsid w:val="167215B9"/>
    <w:rsid w:val="17324323"/>
    <w:rsid w:val="1743251A"/>
    <w:rsid w:val="17A1211B"/>
    <w:rsid w:val="18ED7A84"/>
    <w:rsid w:val="19255AF5"/>
    <w:rsid w:val="1A7E6296"/>
    <w:rsid w:val="1B9F0D6B"/>
    <w:rsid w:val="1EE0720C"/>
    <w:rsid w:val="1F0D01CA"/>
    <w:rsid w:val="1FB21338"/>
    <w:rsid w:val="21226BB2"/>
    <w:rsid w:val="21864056"/>
    <w:rsid w:val="222348FC"/>
    <w:rsid w:val="22F860AB"/>
    <w:rsid w:val="23DB3147"/>
    <w:rsid w:val="242C5890"/>
    <w:rsid w:val="2486441F"/>
    <w:rsid w:val="25013478"/>
    <w:rsid w:val="25A07F04"/>
    <w:rsid w:val="263535D3"/>
    <w:rsid w:val="26E678A2"/>
    <w:rsid w:val="28426BC2"/>
    <w:rsid w:val="2863744A"/>
    <w:rsid w:val="29601F8B"/>
    <w:rsid w:val="296F02CD"/>
    <w:rsid w:val="2AA01F44"/>
    <w:rsid w:val="2B712B53"/>
    <w:rsid w:val="2C43216E"/>
    <w:rsid w:val="2CB45BA1"/>
    <w:rsid w:val="2CD472B8"/>
    <w:rsid w:val="2DB02B6B"/>
    <w:rsid w:val="2E966F2B"/>
    <w:rsid w:val="2EB54030"/>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46528DF"/>
    <w:rsid w:val="44890FF5"/>
    <w:rsid w:val="44F64ED7"/>
    <w:rsid w:val="452C7897"/>
    <w:rsid w:val="45D24AA7"/>
    <w:rsid w:val="46151D23"/>
    <w:rsid w:val="46212B96"/>
    <w:rsid w:val="46BB1B1D"/>
    <w:rsid w:val="46D026EE"/>
    <w:rsid w:val="475E104C"/>
    <w:rsid w:val="47AA1B14"/>
    <w:rsid w:val="47DF47C8"/>
    <w:rsid w:val="47E44DA2"/>
    <w:rsid w:val="47F14C9F"/>
    <w:rsid w:val="494C6B8D"/>
    <w:rsid w:val="497B7CB3"/>
    <w:rsid w:val="4A8845CE"/>
    <w:rsid w:val="4AE01270"/>
    <w:rsid w:val="4B2D12E0"/>
    <w:rsid w:val="4BEB6B31"/>
    <w:rsid w:val="4CAB5FE1"/>
    <w:rsid w:val="4D06649A"/>
    <w:rsid w:val="4DD36371"/>
    <w:rsid w:val="4EEC1F3B"/>
    <w:rsid w:val="4F070047"/>
    <w:rsid w:val="4F3C244F"/>
    <w:rsid w:val="4FCD30B4"/>
    <w:rsid w:val="50067945"/>
    <w:rsid w:val="5115115D"/>
    <w:rsid w:val="521E4A24"/>
    <w:rsid w:val="524005FC"/>
    <w:rsid w:val="52D92ACB"/>
    <w:rsid w:val="53B4776F"/>
    <w:rsid w:val="53DF1E3A"/>
    <w:rsid w:val="540F25CE"/>
    <w:rsid w:val="545B425C"/>
    <w:rsid w:val="558E730F"/>
    <w:rsid w:val="56B82C10"/>
    <w:rsid w:val="573C43EC"/>
    <w:rsid w:val="57722F85"/>
    <w:rsid w:val="57857077"/>
    <w:rsid w:val="58EA1C45"/>
    <w:rsid w:val="59A45271"/>
    <w:rsid w:val="59D52FEA"/>
    <w:rsid w:val="5CA67F0E"/>
    <w:rsid w:val="5DAD4E7C"/>
    <w:rsid w:val="5E16050E"/>
    <w:rsid w:val="5E3D2C1E"/>
    <w:rsid w:val="5EE04623"/>
    <w:rsid w:val="5F7C4D42"/>
    <w:rsid w:val="60CB5C8F"/>
    <w:rsid w:val="60F2760D"/>
    <w:rsid w:val="61743609"/>
    <w:rsid w:val="61DB1F11"/>
    <w:rsid w:val="6379050D"/>
    <w:rsid w:val="648E3C9A"/>
    <w:rsid w:val="64DA4767"/>
    <w:rsid w:val="65170F5B"/>
    <w:rsid w:val="65215328"/>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2026-06-05T02:38:56Z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