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00"/>
        </w:rPr>
      </w:pP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公开比选</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采购文件</w:t>
      </w:r>
    </w:p>
    <w:p>
      <w:pPr>
        <w:pStyle w:val="69"/>
        <w:spacing w:before="100" w:after="100" w:line="300" w:lineRule="auto"/>
        <w:jc w:val="center"/>
        <w:rPr>
          <w:rFonts w:hint="eastAsia" w:ascii="微软雅黑" w:hAnsi="微软雅黑" w:eastAsia="微软雅黑" w:cs="微软雅黑"/>
          <w:sz w:val="32"/>
        </w:rPr>
      </w:pPr>
      <w:r>
        <w:rPr>
          <w:rFonts w:hint="eastAsia" w:ascii="微软雅黑" w:hAnsi="微软雅黑" w:eastAsia="微软雅黑" w:cs="微软雅黑"/>
          <w:b w:val="0"/>
          <w:sz w:val="130"/>
          <w:szCs w:val="130"/>
        </w:rPr>
        <w:t xml:space="preserve">   </w:t>
      </w:r>
    </w:p>
    <w:p>
      <w:pPr>
        <w:pStyle w:val="70"/>
        <w:rPr>
          <w:rFonts w:hint="eastAsia" w:ascii="微软雅黑" w:hAnsi="微软雅黑" w:eastAsia="微软雅黑" w:cs="微软雅黑"/>
          <w:kern w:val="2"/>
          <w:sz w:val="44"/>
          <w:szCs w:val="44"/>
        </w:rPr>
      </w:pPr>
    </w:p>
    <w:p>
      <w:pPr>
        <w:pStyle w:val="70"/>
        <w:rPr>
          <w:rFonts w:hint="eastAsia" w:ascii="微软雅黑" w:hAnsi="微软雅黑" w:eastAsia="微软雅黑" w:cs="微软雅黑"/>
          <w:kern w:val="2"/>
          <w:sz w:val="44"/>
          <w:szCs w:val="44"/>
        </w:rPr>
      </w:pPr>
    </w:p>
    <w:p>
      <w:pPr>
        <w:spacing w:line="360" w:lineRule="auto"/>
        <w:ind w:firstLine="1800" w:firstLineChars="500"/>
        <w:outlineLvl w:val="0"/>
        <w:rPr>
          <w:rFonts w:hint="eastAsia" w:ascii="微软雅黑" w:hAnsi="微软雅黑" w:eastAsia="微软雅黑" w:cs="微软雅黑"/>
          <w:color w:val="auto"/>
          <w:sz w:val="36"/>
          <w:szCs w:val="36"/>
          <w:u w:val="single"/>
          <w:lang w:val="en-US" w:eastAsia="zh-CN"/>
        </w:rPr>
      </w:pPr>
      <w:r>
        <w:rPr>
          <w:rFonts w:hint="eastAsia" w:ascii="微软雅黑" w:hAnsi="微软雅黑" w:eastAsia="微软雅黑" w:cs="微软雅黑"/>
          <w:color w:val="auto"/>
          <w:sz w:val="36"/>
          <w:szCs w:val="36"/>
        </w:rPr>
        <w:t>项目编号：</w:t>
      </w:r>
      <w:r>
        <w:rPr>
          <w:rFonts w:hint="eastAsia" w:ascii="微软雅黑" w:hAnsi="微软雅黑" w:eastAsia="微软雅黑" w:cs="微软雅黑"/>
          <w:color w:val="auto"/>
          <w:sz w:val="36"/>
          <w:szCs w:val="36"/>
          <w:u w:val="single"/>
          <w:lang w:val="en-US" w:eastAsia="zh-CN"/>
        </w:rPr>
        <w:t>YSB260301</w:t>
      </w:r>
    </w:p>
    <w:p>
      <w:pPr>
        <w:spacing w:line="360" w:lineRule="auto"/>
        <w:ind w:firstLine="1800" w:firstLineChars="500"/>
        <w:outlineLvl w:val="0"/>
        <w:rPr>
          <w:rFonts w:hint="eastAsia" w:ascii="微软雅黑" w:hAnsi="微软雅黑" w:eastAsia="微软雅黑" w:cs="微软雅黑"/>
          <w:color w:val="auto"/>
          <w:sz w:val="36"/>
          <w:szCs w:val="36"/>
          <w:u w:val="single"/>
          <w:lang w:val="en-US" w:eastAsia="zh-CN"/>
        </w:rPr>
      </w:pPr>
      <w:r>
        <w:rPr>
          <w:rFonts w:hint="eastAsia" w:ascii="微软雅黑" w:hAnsi="微软雅黑" w:eastAsia="微软雅黑" w:cs="微软雅黑"/>
          <w:color w:val="auto"/>
          <w:sz w:val="36"/>
          <w:szCs w:val="36"/>
        </w:rPr>
        <w:t>项目名称：</w:t>
      </w:r>
      <w:r>
        <w:rPr>
          <w:rFonts w:hint="eastAsia" w:ascii="微软雅黑" w:hAnsi="微软雅黑" w:eastAsia="微软雅黑" w:cs="微软雅黑"/>
          <w:color w:val="auto"/>
          <w:sz w:val="36"/>
          <w:szCs w:val="36"/>
          <w:u w:val="single"/>
        </w:rPr>
        <w:t>生物安全柜</w:t>
      </w:r>
    </w:p>
    <w:p>
      <w:pPr>
        <w:spacing w:line="700" w:lineRule="exact"/>
        <w:rPr>
          <w:rFonts w:hint="eastAsia" w:ascii="微软雅黑" w:hAnsi="微软雅黑" w:eastAsia="微软雅黑" w:cs="微软雅黑"/>
          <w:b/>
          <w:color w:val="auto"/>
          <w:sz w:val="36"/>
          <w:szCs w:val="36"/>
        </w:rPr>
      </w:pPr>
    </w:p>
    <w:p>
      <w:pPr>
        <w:spacing w:line="500" w:lineRule="exact"/>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重庆医科大学附属儿童医院</w:t>
      </w:r>
    </w:p>
    <w:p>
      <w:pPr>
        <w:spacing w:line="720" w:lineRule="exact"/>
        <w:jc w:val="center"/>
        <w:outlineLvl w:val="0"/>
        <w:rPr>
          <w:rFonts w:hint="eastAsia" w:ascii="微软雅黑" w:hAnsi="微软雅黑" w:eastAsia="微软雅黑" w:cs="微软雅黑"/>
          <w:sz w:val="48"/>
          <w:szCs w:val="32"/>
        </w:rPr>
      </w:pPr>
      <w:r>
        <w:rPr>
          <w:rFonts w:hint="eastAsia" w:ascii="微软雅黑" w:hAnsi="微软雅黑" w:eastAsia="微软雅黑" w:cs="微软雅黑"/>
          <w:sz w:val="36"/>
          <w:szCs w:val="36"/>
        </w:rPr>
        <w:t>202</w:t>
      </w:r>
      <w:r>
        <w:rPr>
          <w:rFonts w:hint="eastAsia" w:ascii="微软雅黑" w:hAnsi="微软雅黑" w:eastAsia="微软雅黑" w:cs="微软雅黑"/>
          <w:sz w:val="36"/>
          <w:szCs w:val="36"/>
          <w:lang w:val="en-US" w:eastAsia="zh-CN"/>
        </w:rPr>
        <w:t>6</w:t>
      </w:r>
      <w:r>
        <w:rPr>
          <w:rFonts w:hint="eastAsia" w:ascii="微软雅黑" w:hAnsi="微软雅黑" w:eastAsia="微软雅黑" w:cs="微软雅黑"/>
          <w:sz w:val="36"/>
          <w:szCs w:val="36"/>
        </w:rPr>
        <w:t>年</w:t>
      </w:r>
      <w:r>
        <w:rPr>
          <w:rFonts w:hint="eastAsia" w:ascii="微软雅黑" w:hAnsi="微软雅黑" w:eastAsia="微软雅黑" w:cs="微软雅黑"/>
          <w:sz w:val="36"/>
          <w:szCs w:val="36"/>
          <w:lang w:val="en-US" w:eastAsia="zh-CN"/>
        </w:rPr>
        <w:t>6</w:t>
      </w:r>
      <w:r>
        <w:rPr>
          <w:rFonts w:hint="eastAsia" w:ascii="微软雅黑" w:hAnsi="微软雅黑" w:eastAsia="微软雅黑" w:cs="微软雅黑"/>
          <w:sz w:val="36"/>
          <w:szCs w:val="36"/>
        </w:rPr>
        <w:t>月</w:t>
      </w:r>
    </w:p>
    <w:p>
      <w:pPr>
        <w:spacing w:line="720" w:lineRule="exact"/>
        <w:jc w:val="center"/>
        <w:outlineLvl w:val="0"/>
        <w:rPr>
          <w:rFonts w:hint="eastAsia" w:ascii="微软雅黑" w:hAnsi="微软雅黑" w:eastAsia="微软雅黑" w:cs="微软雅黑"/>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sz w:val="44"/>
          <w:szCs w:val="28"/>
        </w:rPr>
      </w:pPr>
      <w:r>
        <w:rPr>
          <w:rFonts w:hint="eastAsia" w:ascii="微软雅黑" w:hAnsi="微软雅黑" w:eastAsia="微软雅黑" w:cs="微软雅黑"/>
          <w:sz w:val="44"/>
          <w:szCs w:val="28"/>
        </w:rPr>
        <w:t>目   录</w:t>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"_Toc27110"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第一篇  采购邀请书</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_Toc27110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"_Toc13094"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一、公开比选采购内容</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_Toc13094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"_Toc14168"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二、投标人资格条件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_Toc14168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"_Toc9183"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三、比选有关说明</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_Toc9183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"_Toc26664"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四、保证金</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_Toc26664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"_Toc24100"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五、其它</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_Toc24100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"_Toc21079"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六、联系方式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_Toc21079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3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rPr>
        <w:t xml:space="preserve">    </w:t>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"_Toc22327"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第二篇 项目技术（质量）需求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_Toc22327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"_Toc14433"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一、项目一览表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_Toc14433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"_Toc18675"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二、项目技术需求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_Toc18675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"_Toc12473"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第三篇  项目商务需求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_Toc12473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"_Toc19431"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第四篇  公开比选程序及方法、评审标准、无效响应和采购终止</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_Toc19431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"_Toc26127"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一、公开比选采购程序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_Toc26127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"_Toc27374"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二、评标方法</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_Toc27374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"_Toc24315"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三、评审标准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_Toc24315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"_Toc17606"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四、无效响应</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_Toc17606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"_Toc12222"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五、采购终止</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_Toc12222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"_Toc13119"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第五篇  投标人须知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_Toc13119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"_Toc20271"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一、公开比选采购费用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_Toc20271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"_Toc27891"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二、公开比选采购文件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_Toc27891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"_Toc20510"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三、比选要求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_Toc20510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"_Toc32166"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的确认和变更</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_Toc32166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"_Toc2729"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五、成交通知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_Toc2729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"_Toc4796"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六、质疑处理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_Toc4796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"_Toc23896"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七、签订合同</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_Toc23896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"_Toc17526"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第六篇  响应文件编制要求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_Toc17526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"_Toc11260"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_Toc11260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"_Toc2495"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二、服务部分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_Toc2495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"_Toc12962"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_Toc12962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"_Toc13280"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_Toc13280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"_Toc13605"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五、其他资料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_Toc13605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02"/>
        </w:tabs>
        <w:spacing w:line="480" w:lineRule="exact"/>
        <w:ind w:left="560"/>
        <w:jc w:val="center"/>
        <w:rPr>
          <w:rFonts w:hint="eastAsia" w:ascii="微软雅黑" w:hAnsi="微软雅黑" w:eastAsia="微软雅黑" w:cs="微软雅黑"/>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szCs w:val="24"/>
        </w:rPr>
        <w:fldChar w:fldCharType="end"/>
      </w:r>
    </w:p>
    <w:p>
      <w:pPr>
        <w:pStyle w:val="4"/>
        <w:spacing w:before="200" w:after="200" w:line="240" w:lineRule="auto"/>
        <w:jc w:val="center"/>
        <w:rPr>
          <w:rFonts w:hint="eastAsia" w:ascii="微软雅黑" w:hAnsi="微软雅黑" w:eastAsia="微软雅黑" w:cs="微软雅黑"/>
          <w:sz w:val="44"/>
        </w:rPr>
      </w:pPr>
      <w:bookmarkStart w:id="0" w:name="_Toc11641050"/>
      <w:bookmarkStart w:id="1" w:name="_Toc12789052"/>
      <w:bookmarkStart w:id="2" w:name="_Toc76462316"/>
      <w:bookmarkStart w:id="3" w:name="_Toc27110"/>
      <w:bookmarkStart w:id="4" w:name="_Toc106030870"/>
      <w:bookmarkStart w:id="5" w:name="_Toc24037"/>
      <w:r>
        <w:rPr>
          <w:rFonts w:hint="eastAsia" w:ascii="微软雅黑" w:hAnsi="微软雅黑" w:eastAsia="微软雅黑" w:cs="微软雅黑"/>
          <w:sz w:val="44"/>
        </w:rPr>
        <w:t>第一篇  采购邀请书</w:t>
      </w:r>
      <w:bookmarkEnd w:id="0"/>
      <w:bookmarkEnd w:id="1"/>
      <w:bookmarkEnd w:id="2"/>
      <w:bookmarkEnd w:id="3"/>
      <w:bookmarkEnd w:id="4"/>
      <w:bookmarkEnd w:id="5"/>
    </w:p>
    <w:p>
      <w:pPr>
        <w:rPr>
          <w:rFonts w:hint="eastAsia" w:ascii="微软雅黑" w:hAnsi="微软雅黑" w:eastAsia="微软雅黑" w:cs="微软雅黑"/>
        </w:rPr>
      </w:pPr>
      <w:r>
        <w:rPr>
          <w:rFonts w:hint="eastAsia" w:ascii="微软雅黑" w:hAnsi="微软雅黑" w:eastAsia="微软雅黑" w:cs="微软雅黑"/>
          <w:sz w:val="24"/>
          <w:szCs w:val="24"/>
        </w:rPr>
        <w:t xml:space="preserve">    重庆医科大学附属儿童医院对</w:t>
      </w:r>
      <w:r>
        <w:rPr>
          <w:rFonts w:hint="eastAsia" w:ascii="微软雅黑" w:hAnsi="微软雅黑" w:eastAsia="微软雅黑" w:cs="微软雅黑"/>
          <w:sz w:val="24"/>
          <w:szCs w:val="24"/>
          <w:u w:val="single"/>
        </w:rPr>
        <w:t>生物安全柜</w:t>
      </w:r>
      <w:r>
        <w:rPr>
          <w:rFonts w:hint="eastAsia" w:ascii="微软雅黑" w:hAnsi="微软雅黑" w:eastAsia="微软雅黑" w:cs="微软雅黑"/>
          <w:sz w:val="24"/>
          <w:szCs w:val="24"/>
        </w:rPr>
        <w:t>项目进行公开比选采购。欢迎有资格的投标人前来参与。</w:t>
      </w:r>
    </w:p>
    <w:p>
      <w:pPr>
        <w:pStyle w:val="4"/>
        <w:numPr>
          <w:ilvl w:val="0"/>
          <w:numId w:val="14"/>
        </w:numPr>
        <w:adjustRightInd w:val="0"/>
        <w:snapToGrid w:val="0"/>
        <w:spacing w:before="0" w:after="0" w:line="400" w:lineRule="exact"/>
        <w:rPr>
          <w:rFonts w:hint="eastAsia" w:ascii="微软雅黑" w:hAnsi="微软雅黑" w:eastAsia="微软雅黑" w:cs="微软雅黑"/>
          <w:sz w:val="24"/>
        </w:rPr>
      </w:pPr>
      <w:bookmarkStart w:id="6" w:name="_Toc106030871"/>
      <w:bookmarkStart w:id="7" w:name="_Toc3856"/>
      <w:bookmarkStart w:id="8" w:name="_Toc317775175"/>
      <w:bookmarkStart w:id="9" w:name="_Toc313893526"/>
      <w:bookmarkStart w:id="10" w:name="_Toc76462317"/>
      <w:bookmarkStart w:id="11" w:name="_Toc13094"/>
      <w:r>
        <w:rPr>
          <w:rFonts w:hint="eastAsia" w:ascii="微软雅黑" w:hAnsi="微软雅黑" w:eastAsia="微软雅黑" w:cs="微软雅黑"/>
          <w:sz w:val="24"/>
        </w:rPr>
        <w:t>公开比选采购内容</w:t>
      </w:r>
      <w:bookmarkEnd w:id="6"/>
      <w:bookmarkEnd w:id="7"/>
      <w:bookmarkEnd w:id="8"/>
      <w:bookmarkEnd w:id="9"/>
      <w:bookmarkEnd w:id="10"/>
      <w:bookmarkEnd w:id="11"/>
    </w:p>
    <w:tbl>
      <w:tblPr>
        <w:tblStyle w:val="58"/>
        <w:tblW w:w="43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7"/>
        <w:gridCol w:w="2872"/>
        <w:gridCol w:w="1234"/>
        <w:gridCol w:w="854"/>
        <w:gridCol w:w="16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932"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bookmarkStart w:id="12" w:name="_Toc106030872"/>
            <w:bookmarkStart w:id="13" w:name="_Toc76462318"/>
            <w:bookmarkStart w:id="14" w:name="_Toc373860293"/>
            <w:bookmarkStart w:id="15" w:name="_Toc317775178"/>
            <w:r>
              <w:rPr>
                <w:rFonts w:hint="eastAsia" w:ascii="微软雅黑" w:hAnsi="微软雅黑" w:eastAsia="微软雅黑" w:cs="微软雅黑"/>
                <w:b/>
                <w:bCs/>
                <w:kern w:val="0"/>
                <w:sz w:val="21"/>
                <w:szCs w:val="24"/>
              </w:rPr>
              <w:t>项目编号</w:t>
            </w:r>
          </w:p>
        </w:tc>
        <w:tc>
          <w:tcPr>
            <w:tcW w:w="1754"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项目名称</w:t>
            </w:r>
          </w:p>
        </w:tc>
        <w:tc>
          <w:tcPr>
            <w:tcW w:w="753" w:type="pct"/>
            <w:tcBorders>
              <w:top w:val="single" w:color="auto" w:sz="4" w:space="0"/>
              <w:left w:val="single" w:color="auto" w:sz="4" w:space="0"/>
              <w:right w:val="single" w:color="auto" w:sz="4" w:space="0"/>
            </w:tcBorders>
            <w:vAlign w:val="center"/>
          </w:tcPr>
          <w:p>
            <w:pPr>
              <w:jc w:val="center"/>
              <w:rPr>
                <w:rFonts w:hint="default" w:ascii="微软雅黑" w:hAnsi="微软雅黑" w:eastAsia="微软雅黑" w:cs="微软雅黑"/>
                <w:b/>
                <w:bCs/>
                <w:kern w:val="0"/>
                <w:sz w:val="21"/>
                <w:szCs w:val="24"/>
                <w:lang w:val="en-US" w:eastAsia="zh-CN"/>
              </w:rPr>
            </w:pPr>
            <w:r>
              <w:rPr>
                <w:rFonts w:hint="eastAsia" w:ascii="微软雅黑" w:hAnsi="微软雅黑" w:eastAsia="微软雅黑" w:cs="微软雅黑"/>
                <w:b/>
                <w:bCs/>
                <w:kern w:val="0"/>
                <w:sz w:val="21"/>
                <w:szCs w:val="24"/>
                <w:lang w:val="en-US" w:eastAsia="zh-CN"/>
              </w:rPr>
              <w:t>最高限价（万元）</w:t>
            </w:r>
          </w:p>
        </w:tc>
        <w:tc>
          <w:tcPr>
            <w:tcW w:w="521"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保证金</w:t>
            </w:r>
          </w:p>
          <w:p>
            <w:pPr>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（元）</w:t>
            </w:r>
          </w:p>
        </w:tc>
        <w:tc>
          <w:tcPr>
            <w:tcW w:w="1037" w:type="pct"/>
            <w:tcBorders>
              <w:top w:val="single" w:color="auto" w:sz="4" w:space="0"/>
              <w:left w:val="single" w:color="auto" w:sz="4" w:space="0"/>
              <w:right w:val="single" w:color="auto" w:sz="4" w:space="0"/>
            </w:tcBorders>
            <w:vAlign w:val="center"/>
          </w:tcPr>
          <w:p>
            <w:pPr>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lang w:eastAsia="zh-CN"/>
              </w:rPr>
              <w:t>中标人</w:t>
            </w:r>
            <w:r>
              <w:rPr>
                <w:rFonts w:hint="eastAsia" w:ascii="微软雅黑" w:hAnsi="微软雅黑" w:eastAsia="微软雅黑" w:cs="微软雅黑"/>
                <w:b/>
                <w:bCs/>
                <w:kern w:val="0"/>
                <w:sz w:val="21"/>
                <w:szCs w:val="24"/>
              </w:rPr>
              <w:t>数量（名）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932" w:type="pc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微软雅黑" w:hAnsi="微软雅黑" w:eastAsia="微软雅黑" w:cs="微软雅黑"/>
                <w:color w:val="0000FF"/>
                <w:kern w:val="0"/>
                <w:sz w:val="21"/>
                <w:szCs w:val="21"/>
                <w:lang w:val="en-US" w:eastAsia="zh-CN"/>
              </w:rPr>
            </w:pPr>
            <w:r>
              <w:rPr>
                <w:rFonts w:hint="eastAsia" w:ascii="微软雅黑" w:hAnsi="微软雅黑" w:eastAsia="微软雅黑" w:cs="微软雅黑"/>
                <w:sz w:val="21"/>
                <w:szCs w:val="21"/>
                <w:lang w:val="en-US" w:eastAsia="zh-CN"/>
              </w:rPr>
              <w:t>YSB260301</w:t>
            </w:r>
          </w:p>
        </w:tc>
        <w:tc>
          <w:tcPr>
            <w:tcW w:w="175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color w:val="0000FF"/>
                <w:sz w:val="21"/>
                <w:szCs w:val="21"/>
                <w:lang w:eastAsia="zh-CN"/>
              </w:rPr>
            </w:pPr>
            <w:r>
              <w:rPr>
                <w:rFonts w:hint="eastAsia" w:ascii="微软雅黑" w:hAnsi="微软雅黑" w:eastAsia="微软雅黑" w:cs="微软雅黑"/>
                <w:sz w:val="21"/>
                <w:szCs w:val="21"/>
                <w:lang w:val="en-US" w:eastAsia="zh-CN"/>
              </w:rPr>
              <w:t>生物安全柜</w:t>
            </w:r>
          </w:p>
        </w:tc>
        <w:tc>
          <w:tcPr>
            <w:tcW w:w="753"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color w:val="0000FF"/>
                <w:sz w:val="21"/>
                <w:szCs w:val="21"/>
                <w:lang w:val="en-US" w:eastAsia="zh-CN"/>
              </w:rPr>
            </w:pPr>
            <w:r>
              <w:rPr>
                <w:rFonts w:hint="eastAsia" w:ascii="微软雅黑" w:hAnsi="微软雅黑" w:eastAsia="微软雅黑" w:cs="微软雅黑"/>
                <w:color w:val="auto"/>
                <w:sz w:val="21"/>
                <w:szCs w:val="21"/>
                <w:lang w:val="en-US" w:eastAsia="zh-CN"/>
              </w:rPr>
              <w:t>19</w:t>
            </w:r>
          </w:p>
        </w:tc>
        <w:tc>
          <w:tcPr>
            <w:tcW w:w="5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2000</w:t>
            </w:r>
          </w:p>
        </w:tc>
        <w:tc>
          <w:tcPr>
            <w:tcW w:w="103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p>
        </w:tc>
      </w:tr>
    </w:tbl>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 w:name="_Toc9755"/>
      <w:bookmarkStart w:id="17" w:name="_Toc14168"/>
      <w:r>
        <w:rPr>
          <w:rFonts w:hint="eastAsia" w:ascii="微软雅黑" w:hAnsi="微软雅黑" w:eastAsia="微软雅黑" w:cs="微软雅黑"/>
          <w:sz w:val="24"/>
        </w:rPr>
        <w:t>二、</w:t>
      </w:r>
      <w:bookmarkEnd w:id="12"/>
      <w:bookmarkEnd w:id="13"/>
      <w:bookmarkEnd w:id="16"/>
      <w:bookmarkStart w:id="18" w:name="_Toc76462319"/>
      <w:bookmarkStart w:id="19" w:name="_Toc106030873"/>
      <w:bookmarkStart w:id="20" w:name="_Toc4480"/>
      <w:r>
        <w:rPr>
          <w:rFonts w:hint="eastAsia" w:ascii="微软雅黑" w:hAnsi="微软雅黑" w:eastAsia="微软雅黑" w:cs="微软雅黑"/>
          <w:sz w:val="24"/>
        </w:rPr>
        <w:t>投标人资格条件</w:t>
      </w:r>
      <w:bookmarkEnd w:id="17"/>
      <w:bookmarkEnd w:id="18"/>
      <w:bookmarkEnd w:id="19"/>
      <w:bookmarkEnd w:id="2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（一）满足《中华人民共和国政府采购法》第二十二条规定；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（二）本项目的特定资格要求：</w:t>
      </w:r>
      <w:bookmarkStart w:id="21" w:name="_Toc9183"/>
      <w:bookmarkStart w:id="22" w:name="_Toc27954"/>
      <w:bookmarkStart w:id="23" w:name="_Toc106030874"/>
      <w:bookmarkStart w:id="24" w:name="_Toc7646232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投标人为所投标产品制造商或经销商。若为经销商投标，须具备投标产品制造商或制造商中国境内代表机构认可的经销资格；</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投标人医疗器械经营许可证；</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生产企业的医疗器械生产企业许可证和生产目录表；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4</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所投产品属三类医疗器械的，须具备有效期内《医疗器械经营企业许可证》或《医疗器械经营许可证》</w:t>
      </w:r>
      <w:r>
        <w:rPr>
          <w:rFonts w:hint="eastAsia" w:ascii="微软雅黑" w:hAnsi="微软雅黑" w:eastAsia="微软雅黑" w:cs="微软雅黑"/>
          <w:sz w:val="24"/>
          <w:szCs w:val="24"/>
          <w:lang w:val="en-US" w:eastAsia="zh-CN"/>
        </w:rPr>
        <w:t>及产品注册证</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5</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所提供产品属二类医疗器械的，须具备有效期内《医疗器械经营企业许可证》或《第二类医疗器械经营备案凭证》</w:t>
      </w:r>
      <w:r>
        <w:rPr>
          <w:rFonts w:hint="eastAsia" w:ascii="微软雅黑" w:hAnsi="微软雅黑" w:eastAsia="微软雅黑" w:cs="微软雅黑"/>
          <w:sz w:val="24"/>
          <w:szCs w:val="24"/>
          <w:lang w:val="en-US" w:eastAsia="zh-CN"/>
        </w:rPr>
        <w:t>及产品注册证</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6</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所提供产品属一类医疗器械的，须具有所提供产品《第一类医疗器械备案凭证》及《第一类医疗器械备案信息表》</w:t>
      </w:r>
      <w:r>
        <w:rPr>
          <w:rFonts w:hint="eastAsia" w:ascii="微软雅黑" w:hAnsi="微软雅黑" w:eastAsia="微软雅黑" w:cs="微软雅黑"/>
          <w:sz w:val="24"/>
          <w:szCs w:val="24"/>
          <w:lang w:val="en-US" w:eastAsia="zh-CN"/>
        </w:rPr>
        <w:t>及产品备案证明</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7.投标人须提供在有效期内的注册证，若投标日注册证有效期少于3个月，须提供国家药品监督管理局接受变更注册证的回执及其他能证明正在变更注册证的文件；</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8.</w:t>
      </w:r>
      <w:r>
        <w:rPr>
          <w:rFonts w:hint="eastAsia" w:ascii="微软雅黑" w:hAnsi="微软雅黑" w:eastAsia="微软雅黑" w:cs="微软雅黑"/>
          <w:sz w:val="24"/>
          <w:szCs w:val="24"/>
        </w:rPr>
        <w:t>所提供产品不属于医疗器械的无需提供上述</w:t>
      </w:r>
      <w:r>
        <w:rPr>
          <w:rFonts w:hint="eastAsia" w:ascii="微软雅黑" w:hAnsi="微软雅黑" w:eastAsia="微软雅黑" w:cs="微软雅黑"/>
          <w:sz w:val="24"/>
          <w:szCs w:val="24"/>
          <w:lang w:eastAsia="zh-CN"/>
        </w:rPr>
        <w:t>第</w:t>
      </w: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val="en-US" w:eastAsia="zh-CN"/>
        </w:rPr>
        <w:t>7</w:t>
      </w:r>
      <w:r>
        <w:rPr>
          <w:rFonts w:hint="eastAsia" w:ascii="微软雅黑" w:hAnsi="微软雅黑" w:eastAsia="微软雅黑" w:cs="微软雅黑"/>
          <w:sz w:val="24"/>
          <w:szCs w:val="24"/>
          <w:lang w:eastAsia="zh-CN"/>
        </w:rPr>
        <w:t>款</w:t>
      </w:r>
      <w:r>
        <w:rPr>
          <w:rFonts w:hint="eastAsia" w:ascii="微软雅黑" w:hAnsi="微软雅黑" w:eastAsia="微软雅黑" w:cs="微软雅黑"/>
          <w:sz w:val="24"/>
          <w:szCs w:val="24"/>
        </w:rPr>
        <w:t>材料</w:t>
      </w:r>
      <w:r>
        <w:rPr>
          <w:rFonts w:hint="eastAsia" w:ascii="微软雅黑" w:hAnsi="微软雅黑" w:eastAsia="微软雅黑" w:cs="微软雅黑"/>
          <w:sz w:val="24"/>
          <w:szCs w:val="24"/>
          <w:lang w:eastAsia="zh-CN"/>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9.</w:t>
      </w:r>
      <w:r>
        <w:rPr>
          <w:rFonts w:hint="eastAsia" w:ascii="微软雅黑" w:hAnsi="微软雅黑" w:eastAsia="微软雅黑" w:cs="微软雅黑"/>
          <w:sz w:val="24"/>
          <w:szCs w:val="24"/>
        </w:rPr>
        <w:t>投标人所投产品必须为国内生产。</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b/>
          <w:bCs/>
          <w:sz w:val="24"/>
        </w:rPr>
        <w:t>三、比选有关说明</w:t>
      </w:r>
      <w:bookmarkEnd w:id="14"/>
      <w:bookmarkEnd w:id="21"/>
      <w:bookmarkEnd w:id="22"/>
      <w:bookmarkEnd w:id="23"/>
      <w:bookmarkEnd w:id="2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（一）投标人应通过重庆医科大学附属儿童医院电子招投标平台（zbb.chcmu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）进行注册和报名。</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凡有意参加公开比选采购的投标人，请在重庆医科大学附属儿童医院电子招投标平台下载本项目公开比选采购文件以及其他所有项目资料，无论投标人下载与否，均视为已知晓所有公开比选采购实质性要求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须在重庆医科大学附属儿童医院电子招投标平台按要求上传投标保证金缴纳凭证和电子版响应文件后才视为完成项目报名；当投标人的电子版响应文件与现场提交的纸质版响应文件出现内容上的出入时，以纸质版响应文件正本作为公开比选采购依据。</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（四）公开比选采购公告期限及报名截止期限：详见电子招投标平台该项目公告内容。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（五）比选地点：详见电子招投标平台该项目公告内容。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（六）比选开始时间：详见电子招投标平台该项目公告内容。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（七）以上内容若在挂网公示后有所变更，投标人注册手机号码将会收到相关短信通知，请及时查收。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5" w:name="_Toc521053053"/>
      <w:bookmarkStart w:id="26" w:name="_Toc6178"/>
      <w:bookmarkStart w:id="27" w:name="_Toc12841"/>
      <w:bookmarkStart w:id="28" w:name="_Toc65660334"/>
      <w:bookmarkStart w:id="29" w:name="_Toc106034625"/>
      <w:bookmarkStart w:id="30" w:name="_Toc26664"/>
      <w:bookmarkStart w:id="31" w:name="_Toc525047161"/>
      <w:bookmarkStart w:id="32" w:name="_Toc11956"/>
      <w:r>
        <w:rPr>
          <w:rFonts w:hint="eastAsia" w:ascii="微软雅黑" w:hAnsi="微软雅黑" w:eastAsia="微软雅黑" w:cs="微软雅黑"/>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（一）保证金递交</w:t>
      </w:r>
    </w:p>
    <w:p>
      <w:pPr>
        <w:pStyle w:val="34"/>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足额交纳保证金（保证金金额详见本篇，一、公开比选采购内容），并通过银行转账的方式直接转入重庆医科大学附属儿童医院对公账户（单位：重庆医科大学附属儿童医院，开户行：中国建设银行股份有限公司重庆渝中区观音岩支行，账号：50050101380000000168），并备注项目编号、项目名称（例：YXX220001服务器项目投标保证金），交纳凭据须在重庆医科大学附属儿童医院电子招投标平台报名过程中上传。</w:t>
      </w:r>
    </w:p>
    <w:p>
      <w:pPr>
        <w:pStyle w:val="34"/>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2.各投标人在银行转账（电汇）时，须充分考虑银行转账（电汇）的时间差风险，如同城转账、异地转账或汇款、跨行转账或电汇的时间要求。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（二）保证金退还方式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1.未</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的保证金，在中标通知书发放后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日内退还至项目报名时所填写指定的投标单位对公账户。</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的保证金，将在与我院完成签订本项目合同并提交</w:t>
      </w:r>
      <w:r>
        <w:rPr>
          <w:rFonts w:hint="eastAsia" w:ascii="微软雅黑" w:hAnsi="微软雅黑" w:eastAsia="微软雅黑" w:cs="微软雅黑"/>
          <w:sz w:val="24"/>
          <w:szCs w:val="24"/>
          <w:lang w:eastAsia="zh-CN"/>
        </w:rPr>
        <w:t>采购管理处办</w:t>
      </w:r>
      <w:r>
        <w:rPr>
          <w:rFonts w:hint="eastAsia" w:ascii="微软雅黑" w:hAnsi="微软雅黑" w:eastAsia="微软雅黑" w:cs="微软雅黑"/>
          <w:sz w:val="24"/>
          <w:szCs w:val="24"/>
        </w:rPr>
        <w:t>公室（将合同扫描文件发送至zbb63632469@qq.com）之后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日内，无息退还至项目报名时所填写的投标单位对公账户。</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33" w:name="_Toc106034626"/>
      <w:bookmarkStart w:id="34" w:name="_Toc4355"/>
      <w:bookmarkStart w:id="35" w:name="_Toc521053054"/>
      <w:bookmarkStart w:id="36" w:name="_Toc525047162"/>
      <w:bookmarkStart w:id="37" w:name="_Toc2945"/>
      <w:bookmarkStart w:id="38" w:name="_Toc65660335"/>
      <w:bookmarkStart w:id="39" w:name="_Toc1546"/>
      <w:bookmarkStart w:id="40" w:name="_Toc24100"/>
      <w:r>
        <w:rPr>
          <w:rFonts w:hint="eastAsia" w:ascii="微软雅黑" w:hAnsi="微软雅黑" w:eastAsia="微软雅黑" w:cs="微软雅黑"/>
          <w:sz w:val="24"/>
        </w:rPr>
        <w:t>五、</w:t>
      </w:r>
      <w:bookmarkEnd w:id="33"/>
      <w:bookmarkEnd w:id="34"/>
      <w:bookmarkEnd w:id="35"/>
      <w:bookmarkEnd w:id="36"/>
      <w:bookmarkEnd w:id="37"/>
      <w:bookmarkEnd w:id="38"/>
      <w:bookmarkStart w:id="41" w:name="_Toc521053055"/>
      <w:bookmarkStart w:id="42" w:name="_Toc65660336"/>
      <w:bookmarkStart w:id="43" w:name="_Toc106034627"/>
      <w:bookmarkStart w:id="44" w:name="_Toc525047163"/>
      <w:bookmarkStart w:id="45" w:name="_Toc16269"/>
      <w:bookmarkStart w:id="46" w:name="_Toc6563"/>
      <w:r>
        <w:rPr>
          <w:rFonts w:hint="eastAsia" w:ascii="微软雅黑" w:hAnsi="微软雅黑" w:eastAsia="微软雅黑" w:cs="微软雅黑"/>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公室所作出的一切书面通知、修改、补充说明、答疑等内容，都是公开比选采购文件不可分割的组成部分。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（二）投标人如对本公开比选采购文件有任何实质性疑问，应当以书面形式向招标方提出质疑，并须将该质疑文件纸质版（须加盖提出质疑单位的公章确认）在投标截止时间前送达重庆医科大学附属儿童医院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公室，否则即视为完全放弃对本公开比选采购文件的质疑权利。如</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认为上述质疑有回复必要，将以书面形式将回复内容通知所有投标方。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（三）投标人应仔细阅读和检查公开比选采购文件的全部内容。如发现缺页或附件不全，应及时提出，以便补齐。如有疑问，请在投标截止日前向</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提出，超过此时间规定，</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不再受理对于公开比选采购文件的疑问。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47" w:name="_Toc21079"/>
      <w:bookmarkStart w:id="48" w:name="_Toc106034628"/>
      <w:bookmarkStart w:id="49" w:name="_Toc521053056"/>
      <w:bookmarkStart w:id="50" w:name="_Toc1733"/>
      <w:bookmarkStart w:id="51" w:name="_Toc24901"/>
      <w:bookmarkStart w:id="52" w:name="_Toc525047164"/>
      <w:bookmarkStart w:id="53" w:name="_Toc10415"/>
      <w:bookmarkStart w:id="54" w:name="_Toc65660337"/>
      <w:r>
        <w:rPr>
          <w:rFonts w:hint="eastAsia" w:ascii="微软雅黑" w:hAnsi="微软雅黑" w:eastAsia="微软雅黑" w:cs="微软雅黑"/>
          <w:sz w:val="24"/>
        </w:rPr>
        <w:t>六、联系方式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联系人：</w:t>
      </w:r>
      <w:r>
        <w:rPr>
          <w:rFonts w:hint="eastAsia" w:ascii="微软雅黑" w:hAnsi="微软雅黑" w:eastAsia="微软雅黑" w:cs="微软雅黑"/>
          <w:sz w:val="24"/>
          <w:szCs w:val="24"/>
          <w:lang w:eastAsia="zh-CN"/>
        </w:rPr>
        <w:t>采购管理处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电  话：023-63632469</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邮  箱：zbb6363</w:t>
      </w: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469@qq.com</w:t>
      </w:r>
    </w:p>
    <w:bookmarkEnd w:id="15"/>
    <w:p>
      <w:pPr>
        <w:snapToGrid w:val="0"/>
        <w:spacing w:line="400" w:lineRule="exact"/>
        <w:ind w:firstLine="480" w:firstLineChars="200"/>
        <w:rPr>
          <w:rFonts w:hint="eastAsia" w:ascii="微软雅黑" w:hAnsi="微软雅黑" w:eastAsia="微软雅黑" w:cs="微软雅黑"/>
          <w:b/>
          <w:sz w:val="24"/>
          <w:szCs w:val="24"/>
        </w:rPr>
        <w:sectPr>
          <w:pgSz w:w="11907" w:h="16840"/>
          <w:pgMar w:top="1134" w:right="1304" w:bottom="1134" w:left="1304" w:header="964" w:footer="992" w:gutter="0"/>
          <w:pgNumType w:fmt="numberInDash"/>
          <w:cols w:space="720" w:num="1"/>
          <w:docGrid w:linePitch="312" w:charSpace="0"/>
        </w:sectPr>
      </w:pPr>
    </w:p>
    <w:p>
      <w:pPr>
        <w:pStyle w:val="3"/>
        <w:tabs>
          <w:tab w:val="left" w:pos="3360"/>
        </w:tabs>
        <w:spacing w:line="240" w:lineRule="auto"/>
        <w:jc w:val="center"/>
        <w:rPr>
          <w:rFonts w:hint="eastAsia" w:ascii="微软雅黑" w:hAnsi="微软雅黑" w:eastAsia="微软雅黑" w:cs="微软雅黑"/>
          <w:b/>
          <w:sz w:val="44"/>
        </w:rPr>
      </w:pPr>
      <w:bookmarkStart w:id="55" w:name="_Toc725"/>
      <w:bookmarkStart w:id="56" w:name="_Toc11017"/>
      <w:bookmarkStart w:id="57" w:name="_Toc2070"/>
      <w:bookmarkStart w:id="58" w:name="_Toc8649"/>
      <w:bookmarkStart w:id="59" w:name="_Toc19886"/>
      <w:bookmarkStart w:id="60" w:name="_Toc25639"/>
      <w:bookmarkStart w:id="61" w:name="_Toc1625"/>
      <w:bookmarkStart w:id="62" w:name="_Toc12959"/>
      <w:bookmarkStart w:id="63" w:name="_Toc5461"/>
      <w:bookmarkStart w:id="64" w:name="_Toc75793504"/>
      <w:bookmarkStart w:id="65" w:name="_Toc26176"/>
      <w:bookmarkStart w:id="66" w:name="_Toc1492"/>
      <w:bookmarkStart w:id="67" w:name="_Toc32686"/>
      <w:bookmarkStart w:id="68" w:name="_Toc23143"/>
      <w:bookmarkStart w:id="69" w:name="_Toc2422"/>
      <w:bookmarkStart w:id="70" w:name="_Toc106030380"/>
      <w:bookmarkStart w:id="71" w:name="_Toc22327"/>
      <w:bookmarkStart w:id="72" w:name="_Toc12789058"/>
      <w:r>
        <w:rPr>
          <w:rFonts w:hint="eastAsia" w:ascii="微软雅黑" w:hAnsi="微软雅黑" w:eastAsia="微软雅黑" w:cs="微软雅黑"/>
          <w:b/>
          <w:sz w:val="44"/>
        </w:rPr>
        <w:t xml:space="preserve">第二篇 </w:t>
      </w: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r>
        <w:rPr>
          <w:rFonts w:hint="eastAsia" w:ascii="微软雅黑" w:hAnsi="微软雅黑" w:eastAsia="微软雅黑" w:cs="微软雅黑"/>
          <w:b/>
          <w:sz w:val="44"/>
        </w:rPr>
        <w:t>项目技术（质量）需求</w:t>
      </w:r>
      <w:bookmarkEnd w:id="70"/>
      <w:bookmarkEnd w:id="71"/>
    </w:p>
    <w:p>
      <w:pPr>
        <w:ind w:firstLine="480" w:firstLineChars="200"/>
        <w:rPr>
          <w:rFonts w:hint="eastAsia" w:ascii="微软雅黑" w:hAnsi="微软雅黑" w:eastAsia="微软雅黑" w:cs="微软雅黑"/>
          <w:b/>
          <w:bCs/>
          <w:sz w:val="24"/>
          <w:szCs w:val="24"/>
        </w:rPr>
      </w:pPr>
      <w:bookmarkStart w:id="73" w:name="_Toc29985"/>
      <w:bookmarkStart w:id="74" w:name="_Toc11703"/>
      <w:bookmarkStart w:id="75" w:name="_Toc8370"/>
      <w:bookmarkStart w:id="76" w:name="_Toc4913"/>
      <w:bookmarkStart w:id="77" w:name="_Toc22910"/>
      <w:bookmarkStart w:id="78" w:name="_Toc7027"/>
      <w:bookmarkStart w:id="79" w:name="_Toc23504"/>
      <w:bookmarkStart w:id="80" w:name="_Toc9261"/>
      <w:bookmarkStart w:id="81" w:name="_Toc23656"/>
      <w:bookmarkStart w:id="82" w:name="_Toc4531"/>
      <w:bookmarkStart w:id="83" w:name="_Toc20979"/>
      <w:bookmarkStart w:id="84" w:name="_Toc14433"/>
      <w:bookmarkStart w:id="85" w:name="_Toc75793505"/>
      <w:bookmarkStart w:id="86" w:name="_Toc19238"/>
      <w:bookmarkStart w:id="87" w:name="_Toc106030381"/>
      <w:bookmarkStart w:id="88" w:name="_Toc4519"/>
      <w:r>
        <w:rPr>
          <w:rFonts w:hint="eastAsia" w:ascii="微软雅黑" w:hAnsi="微软雅黑" w:eastAsia="微软雅黑" w:cs="微软雅黑"/>
          <w:b/>
          <w:bCs/>
          <w:sz w:val="24"/>
          <w:szCs w:val="24"/>
        </w:rPr>
        <w:t>一、项目一览表</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3614"/>
        <w:gridCol w:w="1462"/>
        <w:gridCol w:w="14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1340"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序号</w:t>
            </w:r>
          </w:p>
        </w:tc>
        <w:tc>
          <w:tcPr>
            <w:tcW w:w="3614"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产品名称</w:t>
            </w:r>
          </w:p>
        </w:tc>
        <w:tc>
          <w:tcPr>
            <w:tcW w:w="1462"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数量</w:t>
            </w:r>
          </w:p>
        </w:tc>
        <w:tc>
          <w:tcPr>
            <w:tcW w:w="1462" w:type="dxa"/>
            <w:vAlign w:val="center"/>
          </w:tcPr>
          <w:p>
            <w:pPr>
              <w:jc w:val="center"/>
              <w:rPr>
                <w:rFonts w:hint="eastAsia" w:ascii="微软雅黑" w:hAnsi="微软雅黑" w:eastAsia="微软雅黑" w:cs="微软雅黑"/>
                <w:b/>
                <w:sz w:val="24"/>
                <w:szCs w:val="24"/>
                <w:lang w:val="en-US" w:eastAsia="zh-CN"/>
              </w:rPr>
            </w:pPr>
            <w:r>
              <w:rPr>
                <w:rFonts w:hint="eastAsia" w:ascii="微软雅黑" w:hAnsi="微软雅黑" w:eastAsia="微软雅黑" w:cs="微软雅黑"/>
                <w:b/>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340" w:type="dxa"/>
            <w:vAlign w:val="center"/>
          </w:tcPr>
          <w:p>
            <w:pPr>
              <w:pStyle w:val="23"/>
              <w:spacing w:line="240" w:lineRule="auto"/>
              <w:ind w:lef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p>
        </w:tc>
        <w:tc>
          <w:tcPr>
            <w:tcW w:w="3614" w:type="dxa"/>
            <w:vAlign w:val="center"/>
          </w:tcPr>
          <w:p>
            <w:pPr>
              <w:pStyle w:val="23"/>
              <w:spacing w:line="240" w:lineRule="auto"/>
              <w:ind w:left="0"/>
              <w:jc w:val="center"/>
              <w:outlineLvl w:val="0"/>
              <w:rPr>
                <w:rFonts w:hint="eastAsia" w:ascii="微软雅黑" w:hAnsi="微软雅黑" w:eastAsia="微软雅黑" w:cs="微软雅黑"/>
                <w:color w:val="0000FF"/>
                <w:sz w:val="21"/>
                <w:szCs w:val="21"/>
                <w:lang w:eastAsia="zh-CN"/>
              </w:rPr>
            </w:pPr>
            <w:r>
              <w:rPr>
                <w:rFonts w:hint="eastAsia" w:ascii="微软雅黑" w:hAnsi="微软雅黑" w:eastAsia="微软雅黑" w:cs="微软雅黑"/>
                <w:kern w:val="2"/>
                <w:sz w:val="21"/>
                <w:szCs w:val="21"/>
                <w:lang w:val="en-US" w:eastAsia="zh-CN" w:bidi="ar-SA"/>
              </w:rPr>
              <w:t>生物安全柜</w:t>
            </w:r>
          </w:p>
        </w:tc>
        <w:tc>
          <w:tcPr>
            <w:tcW w:w="1462" w:type="dxa"/>
            <w:vAlign w:val="center"/>
          </w:tcPr>
          <w:p>
            <w:pPr>
              <w:jc w:val="center"/>
              <w:rPr>
                <w:rFonts w:hint="eastAsia" w:ascii="微软雅黑" w:hAnsi="微软雅黑" w:eastAsia="微软雅黑" w:cs="微软雅黑"/>
                <w:color w:val="0000FF"/>
                <w:sz w:val="21"/>
                <w:szCs w:val="21"/>
                <w:lang w:val="en-US" w:eastAsia="zh-CN"/>
              </w:rPr>
            </w:pPr>
            <w:r>
              <w:rPr>
                <w:rFonts w:hint="eastAsia" w:ascii="微软雅黑" w:hAnsi="微软雅黑" w:eastAsia="微软雅黑" w:cs="微软雅黑"/>
                <w:kern w:val="2"/>
                <w:sz w:val="21"/>
                <w:szCs w:val="21"/>
                <w:lang w:val="en-US" w:eastAsia="zh-CN" w:bidi="ar-SA"/>
              </w:rPr>
              <w:t>4台</w:t>
            </w:r>
          </w:p>
        </w:tc>
        <w:tc>
          <w:tcPr>
            <w:tcW w:w="1462" w:type="dxa"/>
            <w:vAlign w:val="center"/>
          </w:tcPr>
          <w:p>
            <w:pPr>
              <w:jc w:val="center"/>
              <w:rPr>
                <w:rFonts w:hint="eastAsia" w:ascii="微软雅黑" w:hAnsi="微软雅黑" w:eastAsia="微软雅黑" w:cs="微软雅黑"/>
                <w:sz w:val="21"/>
                <w:szCs w:val="21"/>
                <w:lang w:val="en-US" w:eastAsia="zh-CN"/>
              </w:rPr>
            </w:pPr>
          </w:p>
        </w:tc>
      </w:tr>
    </w:tbl>
    <w:p>
      <w:pPr>
        <w:ind w:firstLine="480" w:firstLineChars="200"/>
        <w:rPr>
          <w:rFonts w:hint="eastAsia" w:ascii="微软雅黑" w:hAnsi="微软雅黑" w:eastAsia="微软雅黑" w:cs="微软雅黑"/>
          <w:sz w:val="24"/>
          <w:szCs w:val="24"/>
        </w:rPr>
      </w:pPr>
      <w:bookmarkStart w:id="89" w:name="_Toc23975"/>
      <w:bookmarkStart w:id="90" w:name="_Toc28205"/>
      <w:bookmarkStart w:id="91" w:name="_Toc21817"/>
      <w:bookmarkStart w:id="92" w:name="_Toc32262"/>
      <w:bookmarkStart w:id="93" w:name="_Toc27067"/>
      <w:bookmarkStart w:id="94" w:name="_Toc75793506"/>
      <w:bookmarkStart w:id="95" w:name="_Toc26453"/>
      <w:bookmarkStart w:id="96" w:name="_Toc5751"/>
      <w:bookmarkStart w:id="97" w:name="_Toc15696"/>
      <w:bookmarkStart w:id="98" w:name="_Toc106030382"/>
      <w:bookmarkStart w:id="99" w:name="_Toc18800"/>
      <w:bookmarkStart w:id="100" w:name="_Toc10143"/>
      <w:bookmarkStart w:id="101" w:name="_Toc12568"/>
      <w:bookmarkStart w:id="102" w:name="_Toc18903"/>
      <w:bookmarkStart w:id="103" w:name="_Toc7792"/>
      <w:bookmarkStart w:id="104" w:name="_Toc18675"/>
      <w:bookmarkStart w:id="105" w:name="_Toc695"/>
      <w:r>
        <w:rPr>
          <w:rFonts w:hint="eastAsia" w:ascii="微软雅黑" w:hAnsi="微软雅黑" w:eastAsia="微软雅黑" w:cs="微软雅黑"/>
          <w:b/>
          <w:bCs/>
          <w:sz w:val="24"/>
          <w:szCs w:val="24"/>
        </w:rPr>
        <w:t>二、项目技术需求</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pPr>
        <w:snapToGrid w:val="0"/>
        <w:spacing w:line="400" w:lineRule="exact"/>
        <w:ind w:firstLine="480" w:firstLineChars="200"/>
        <w:rPr>
          <w:rFonts w:hint="eastAsia" w:ascii="微软雅黑" w:hAnsi="微软雅黑" w:eastAsia="微软雅黑" w:cs="微软雅黑"/>
          <w:sz w:val="24"/>
          <w:szCs w:val="24"/>
        </w:rPr>
      </w:pPr>
      <w:bookmarkStart w:id="106" w:name="_Toc106030882"/>
      <w:bookmarkStart w:id="107" w:name="_Toc7791"/>
      <w:bookmarkStart w:id="108" w:name="_Toc76462327"/>
      <w:bookmarkStart w:id="109" w:name="_Toc12473"/>
      <w:r>
        <w:rPr>
          <w:rFonts w:hint="eastAsia" w:ascii="微软雅黑" w:hAnsi="微软雅黑" w:eastAsia="微软雅黑" w:cs="微软雅黑"/>
          <w:sz w:val="24"/>
          <w:szCs w:val="24"/>
        </w:rPr>
        <w:t>（可优于以下配置）</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参数一：（数量：2台，单台限价：5万元）</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eastAsia="zh-CN"/>
        </w:rPr>
        <w:t>用途：</w:t>
      </w:r>
      <w:r>
        <w:rPr>
          <w:rFonts w:hint="eastAsia" w:ascii="微软雅黑" w:hAnsi="微软雅黑" w:eastAsia="微软雅黑" w:cs="微软雅黑"/>
          <w:sz w:val="24"/>
          <w:szCs w:val="24"/>
        </w:rPr>
        <w:t>用于满足GCP（药物临床试验质量管理规范）及IIT（研究者发起临床研究）相关工作需求，规范开展涉及生物样本处理、细胞培养、微生物操作等实验活动，保障研究人员生物安全防护及试验数据真实、可追溯</w:t>
      </w:r>
      <w:r>
        <w:rPr>
          <w:rFonts w:hint="eastAsia" w:ascii="微软雅黑" w:hAnsi="微软雅黑" w:eastAsia="微软雅黑" w:cs="微软雅黑"/>
          <w:sz w:val="24"/>
          <w:szCs w:val="24"/>
          <w:lang w:eastAsia="zh-CN"/>
        </w:rPr>
        <w:t>。</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w:t>
      </w:r>
      <w:r>
        <w:rPr>
          <w:rFonts w:hint="eastAsia" w:ascii="微软雅黑" w:hAnsi="微软雅黑" w:eastAsia="微软雅黑" w:cs="微软雅黑"/>
          <w:sz w:val="24"/>
          <w:szCs w:val="24"/>
        </w:rPr>
        <w:t>工作区尺寸：内部尺寸(W×D×H)≥1200</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6</w:t>
      </w:r>
      <w:r>
        <w:rPr>
          <w:rFonts w:hint="eastAsia" w:ascii="微软雅黑" w:hAnsi="微软雅黑" w:eastAsia="微软雅黑" w:cs="微软雅黑"/>
          <w:sz w:val="24"/>
          <w:szCs w:val="24"/>
          <w:lang w:val="en-US" w:eastAsia="zh-CN"/>
        </w:rPr>
        <w:t>0</w:t>
      </w:r>
      <w:r>
        <w:rPr>
          <w:rFonts w:hint="eastAsia" w:ascii="微软雅黑" w:hAnsi="微软雅黑" w:eastAsia="微软雅黑" w:cs="微软雅黑"/>
          <w:sz w:val="24"/>
          <w:szCs w:val="24"/>
        </w:rPr>
        <w:t>0</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7</w:t>
      </w:r>
      <w:r>
        <w:rPr>
          <w:rFonts w:hint="eastAsia" w:ascii="微软雅黑" w:hAnsi="微软雅黑" w:eastAsia="微软雅黑" w:cs="微软雅黑"/>
          <w:sz w:val="24"/>
          <w:szCs w:val="24"/>
          <w:lang w:val="en-US" w:eastAsia="zh-CN"/>
        </w:rPr>
        <w:t>5</w:t>
      </w:r>
      <w:r>
        <w:rPr>
          <w:rFonts w:hint="eastAsia" w:ascii="微软雅黑" w:hAnsi="微软雅黑" w:eastAsia="微软雅黑" w:cs="微软雅黑"/>
          <w:sz w:val="24"/>
          <w:szCs w:val="24"/>
        </w:rPr>
        <w:t>0mm；外部尺寸(W×D×H)≤1300</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800</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0mm</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、配有控制面板。可显示总工作时间、定时器、紫外消毒剩余时长、前窗位于工作位置监测、节能模式，实时显示整个柜体的状态。</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3</w:t>
      </w:r>
      <w:r>
        <w:rPr>
          <w:rFonts w:hint="eastAsia" w:ascii="微软雅黑" w:hAnsi="微软雅黑" w:eastAsia="微软雅黑" w:cs="微软雅黑"/>
          <w:sz w:val="24"/>
          <w:szCs w:val="24"/>
        </w:rPr>
        <w:t>、控制面板声光报警。</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4</w:t>
      </w:r>
      <w:r>
        <w:rPr>
          <w:rFonts w:hint="eastAsia" w:ascii="微软雅黑" w:hAnsi="微软雅黑" w:eastAsia="微软雅黑" w:cs="微软雅黑"/>
          <w:sz w:val="24"/>
          <w:szCs w:val="24"/>
        </w:rPr>
        <w:t>、HEPA过滤模块：包含两个HEPA过滤模块，分别实现外排风和下降风的过滤。过滤器符合EN1822标准H14级别。HEPA过滤效率：过滤器最易穿透颗粒（MPPS）过滤效率高于99.995%。0.3微米颗粒的截留效率高于99.999%。</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5</w:t>
      </w:r>
      <w:r>
        <w:rPr>
          <w:rFonts w:hint="eastAsia" w:ascii="微软雅黑" w:hAnsi="微软雅黑" w:eastAsia="微软雅黑" w:cs="微软雅黑"/>
          <w:sz w:val="24"/>
          <w:szCs w:val="24"/>
        </w:rPr>
        <w:t>、工作台面表面承重≥2</w:t>
      </w: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kg，工作台面最高承重≥50Kg</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6</w:t>
      </w:r>
      <w:r>
        <w:rPr>
          <w:rFonts w:hint="eastAsia" w:ascii="微软雅黑" w:hAnsi="微软雅黑" w:eastAsia="微软雅黑" w:cs="微软雅黑"/>
          <w:sz w:val="24"/>
          <w:szCs w:val="24"/>
        </w:rPr>
        <w:t>、前窗工作开口高度：≥2</w:t>
      </w:r>
      <w:r>
        <w:rPr>
          <w:rFonts w:hint="eastAsia" w:ascii="微软雅黑" w:hAnsi="微软雅黑" w:eastAsia="微软雅黑" w:cs="微软雅黑"/>
          <w:sz w:val="24"/>
          <w:szCs w:val="24"/>
          <w:lang w:val="en-US" w:eastAsia="zh-CN"/>
        </w:rPr>
        <w:t>4</w:t>
      </w:r>
      <w:r>
        <w:rPr>
          <w:rFonts w:hint="eastAsia" w:ascii="微软雅黑" w:hAnsi="微软雅黑" w:eastAsia="微软雅黑" w:cs="微软雅黑"/>
          <w:sz w:val="24"/>
          <w:szCs w:val="24"/>
        </w:rPr>
        <w:t>0mm；前窗最高开口高度：≥5</w:t>
      </w:r>
      <w:r>
        <w:rPr>
          <w:rFonts w:hint="eastAsia" w:ascii="微软雅黑" w:hAnsi="微软雅黑" w:eastAsia="微软雅黑" w:cs="微软雅黑"/>
          <w:sz w:val="24"/>
          <w:szCs w:val="24"/>
          <w:lang w:val="en-US" w:eastAsia="zh-CN"/>
        </w:rPr>
        <w:t>20</w:t>
      </w:r>
      <w:r>
        <w:rPr>
          <w:rFonts w:hint="eastAsia" w:ascii="微软雅黑" w:hAnsi="微软雅黑" w:eastAsia="微软雅黑" w:cs="微软雅黑"/>
          <w:sz w:val="24"/>
          <w:szCs w:val="24"/>
        </w:rPr>
        <w:t>mm</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7</w:t>
      </w:r>
      <w:r>
        <w:rPr>
          <w:rFonts w:hint="eastAsia" w:ascii="微软雅黑" w:hAnsi="微软雅黑" w:eastAsia="微软雅黑" w:cs="微软雅黑"/>
          <w:sz w:val="24"/>
          <w:szCs w:val="24"/>
        </w:rPr>
        <w:t>、噪音: ≤6</w:t>
      </w:r>
      <w:r>
        <w:rPr>
          <w:rFonts w:hint="eastAsia" w:ascii="微软雅黑" w:hAnsi="微软雅黑" w:eastAsia="微软雅黑" w:cs="微软雅黑"/>
          <w:sz w:val="24"/>
          <w:szCs w:val="24"/>
          <w:lang w:val="en-US" w:eastAsia="zh-CN"/>
        </w:rPr>
        <w:t>5</w:t>
      </w:r>
      <w:r>
        <w:rPr>
          <w:rFonts w:hint="eastAsia" w:ascii="微软雅黑" w:hAnsi="微软雅黑" w:eastAsia="微软雅黑" w:cs="微软雅黑"/>
          <w:sz w:val="24"/>
          <w:szCs w:val="24"/>
        </w:rPr>
        <w:t>dB</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8</w:t>
      </w:r>
      <w:r>
        <w:rPr>
          <w:rFonts w:hint="eastAsia" w:ascii="微软雅黑" w:hAnsi="微软雅黑" w:eastAsia="微软雅黑" w:cs="微软雅黑"/>
          <w:sz w:val="24"/>
          <w:szCs w:val="24"/>
        </w:rPr>
        <w:t>、双风机控制系统，独立的进气与排气风机自动控制（提供官方彩页证明）。</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9</w:t>
      </w:r>
      <w:r>
        <w:rPr>
          <w:rFonts w:hint="eastAsia" w:ascii="微软雅黑" w:hAnsi="微软雅黑" w:eastAsia="微软雅黑" w:cs="微软雅黑"/>
          <w:sz w:val="24"/>
          <w:szCs w:val="24"/>
        </w:rPr>
        <w:t>、风速报警：独立式压力传感器用于检测排气和下降气流强制通风时的压力变化。当进气/排气或下降气流速度变化量</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20%时，将发出声音和视觉报警提醒用户。</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10</w:t>
      </w:r>
      <w:r>
        <w:rPr>
          <w:rFonts w:hint="eastAsia" w:ascii="微软雅黑" w:hAnsi="微软雅黑" w:eastAsia="微软雅黑" w:cs="微软雅黑"/>
          <w:sz w:val="24"/>
          <w:szCs w:val="24"/>
        </w:rPr>
        <w:t>、安全节能模式：</w:t>
      </w:r>
      <w:r>
        <w:rPr>
          <w:rFonts w:hint="eastAsia" w:ascii="微软雅黑" w:hAnsi="微软雅黑" w:eastAsia="微软雅黑" w:cs="微软雅黑"/>
          <w:sz w:val="24"/>
          <w:szCs w:val="24"/>
          <w:lang w:val="en-US" w:eastAsia="zh-CN"/>
        </w:rPr>
        <w:t>有</w:t>
      </w:r>
      <w:r>
        <w:rPr>
          <w:rFonts w:hint="eastAsia" w:ascii="微软雅黑" w:hAnsi="微软雅黑" w:eastAsia="微软雅黑" w:cs="微软雅黑"/>
          <w:sz w:val="24"/>
          <w:szCs w:val="24"/>
        </w:rPr>
        <w:t>低速安全节能模式（待机模式），且保持柜体洁净环境。</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11</w:t>
      </w:r>
      <w:r>
        <w:rPr>
          <w:rFonts w:hint="eastAsia" w:ascii="微软雅黑" w:hAnsi="微软雅黑" w:eastAsia="微软雅黑" w:cs="微软雅黑"/>
          <w:sz w:val="24"/>
          <w:szCs w:val="24"/>
        </w:rPr>
        <w:t>、配置紫外灯。紫外消毒时间可在0：00（关闭）到24：00小时之间进行调节。紫外消毒时间</w:t>
      </w:r>
      <w:r>
        <w:rPr>
          <w:rFonts w:hint="eastAsia" w:ascii="微软雅黑" w:hAnsi="微软雅黑" w:eastAsia="微软雅黑" w:cs="微软雅黑"/>
          <w:sz w:val="24"/>
          <w:szCs w:val="24"/>
          <w:lang w:val="en-US" w:eastAsia="zh-CN"/>
        </w:rPr>
        <w:t>可</w:t>
      </w:r>
      <w:r>
        <w:rPr>
          <w:rFonts w:hint="eastAsia" w:ascii="微软雅黑" w:hAnsi="微软雅黑" w:eastAsia="微软雅黑" w:cs="微软雅黑"/>
          <w:sz w:val="24"/>
          <w:szCs w:val="24"/>
        </w:rPr>
        <w:t>预先设定，可更改设置，步进</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30分钟。</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12</w:t>
      </w:r>
      <w:r>
        <w:rPr>
          <w:rFonts w:hint="eastAsia" w:ascii="微软雅黑" w:hAnsi="微软雅黑" w:eastAsia="微软雅黑" w:cs="微软雅黑"/>
          <w:sz w:val="24"/>
          <w:szCs w:val="24"/>
        </w:rPr>
        <w:t>、前窗倾角：</w:t>
      </w:r>
      <w:r>
        <w:rPr>
          <w:rFonts w:hint="eastAsia" w:ascii="微软雅黑" w:hAnsi="微软雅黑" w:eastAsia="微软雅黑" w:cs="微软雅黑"/>
          <w:sz w:val="24"/>
          <w:szCs w:val="24"/>
          <w:lang w:val="en-US" w:eastAsia="zh-CN"/>
        </w:rPr>
        <w:t>有</w:t>
      </w:r>
      <w:r>
        <w:rPr>
          <w:rFonts w:hint="eastAsia" w:ascii="微软雅黑" w:hAnsi="微软雅黑" w:eastAsia="微软雅黑" w:cs="微软雅黑"/>
          <w:sz w:val="24"/>
          <w:szCs w:val="24"/>
        </w:rPr>
        <w:t>倾角，前窗玻璃为双层防爆玻璃。</w:t>
      </w:r>
    </w:p>
    <w:p>
      <w:pPr>
        <w:snapToGrid w:val="0"/>
        <w:spacing w:line="400" w:lineRule="exact"/>
        <w:ind w:firstLine="480" w:firstLineChars="200"/>
        <w:rPr>
          <w:rFonts w:hint="eastAsia" w:ascii="微软雅黑" w:hAnsi="微软雅黑" w:eastAsia="微软雅黑" w:cs="微软雅黑"/>
          <w:sz w:val="24"/>
          <w:szCs w:val="24"/>
        </w:rPr>
      </w:pPr>
      <w:bookmarkStart w:id="110" w:name="OLE_LINK1"/>
      <w:bookmarkStart w:id="111" w:name="OLE_LINK2"/>
      <w:r>
        <w:rPr>
          <w:rFonts w:hint="eastAsia" w:ascii="微软雅黑" w:hAnsi="微软雅黑" w:eastAsia="微软雅黑" w:cs="微软雅黑"/>
          <w:sz w:val="24"/>
          <w:szCs w:val="24"/>
          <w:lang w:val="en-US" w:eastAsia="zh-CN"/>
        </w:rPr>
        <w:t>13</w:t>
      </w:r>
      <w:r>
        <w:rPr>
          <w:rFonts w:hint="eastAsia" w:ascii="微软雅黑" w:hAnsi="微软雅黑" w:eastAsia="微软雅黑" w:cs="微软雅黑"/>
          <w:sz w:val="24"/>
          <w:szCs w:val="24"/>
        </w:rPr>
        <w:t>、前窗清洗位置：无需拆卸任何部件即可将前窗玻璃下拉到台面下方指定位置</w:t>
      </w:r>
      <w:bookmarkEnd w:id="110"/>
      <w:bookmarkEnd w:id="111"/>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便于清洁</w:t>
      </w:r>
      <w:r>
        <w:rPr>
          <w:rFonts w:hint="eastAsia" w:ascii="微软雅黑" w:hAnsi="微软雅黑" w:eastAsia="微软雅黑" w:cs="微软雅黑"/>
          <w:sz w:val="24"/>
          <w:szCs w:val="24"/>
        </w:rPr>
        <w:t>。</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14</w:t>
      </w:r>
      <w:r>
        <w:rPr>
          <w:rFonts w:hint="eastAsia" w:ascii="微软雅黑" w:hAnsi="微软雅黑" w:eastAsia="微软雅黑" w:cs="微软雅黑"/>
          <w:sz w:val="24"/>
          <w:szCs w:val="24"/>
        </w:rPr>
        <w:t>、柜体侧壁采用双层负压设计。</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15</w:t>
      </w:r>
      <w:r>
        <w:rPr>
          <w:rFonts w:hint="eastAsia" w:ascii="微软雅黑" w:hAnsi="微软雅黑" w:eastAsia="微软雅黑" w:cs="微软雅黑"/>
          <w:sz w:val="24"/>
          <w:szCs w:val="24"/>
        </w:rPr>
        <w:t>、左右侧壁各标配两个服务阀孔，用于安装气阀、水阀和真空阀。</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16</w:t>
      </w:r>
      <w:r>
        <w:rPr>
          <w:rFonts w:hint="eastAsia" w:ascii="微软雅黑" w:hAnsi="微软雅黑" w:eastAsia="微软雅黑" w:cs="微软雅黑"/>
          <w:sz w:val="24"/>
          <w:szCs w:val="24"/>
        </w:rPr>
        <w:t>、工作台下方的集液槽带有排污阀，以便于清洁。</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17</w:t>
      </w:r>
      <w:r>
        <w:rPr>
          <w:rFonts w:hint="eastAsia" w:ascii="微软雅黑" w:hAnsi="微软雅黑" w:eastAsia="微软雅黑" w:cs="微软雅黑"/>
          <w:sz w:val="24"/>
          <w:szCs w:val="24"/>
        </w:rPr>
        <w:t>、配置可拆卸式搁手架。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18</w:t>
      </w:r>
      <w:r>
        <w:rPr>
          <w:rFonts w:hint="eastAsia" w:ascii="微软雅黑" w:hAnsi="微软雅黑" w:eastAsia="微软雅黑" w:cs="微软雅黑"/>
          <w:sz w:val="24"/>
          <w:szCs w:val="24"/>
        </w:rPr>
        <w:t>、排气/进气量：</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58</w:t>
      </w:r>
      <w:r>
        <w:rPr>
          <w:rFonts w:hint="eastAsia" w:ascii="微软雅黑" w:hAnsi="微软雅黑" w:eastAsia="微软雅黑" w:cs="微软雅黑"/>
          <w:sz w:val="24"/>
          <w:szCs w:val="24"/>
          <w:lang w:val="en-US" w:eastAsia="zh-CN"/>
        </w:rPr>
        <w:t>0</w:t>
      </w:r>
      <w:r>
        <w:rPr>
          <w:rFonts w:hint="eastAsia" w:ascii="微软雅黑" w:hAnsi="微软雅黑" w:eastAsia="微软雅黑" w:cs="微软雅黑"/>
          <w:sz w:val="24"/>
          <w:szCs w:val="24"/>
        </w:rPr>
        <w:t>(立方米/小时)；排气量，套管连接：</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7</w:t>
      </w:r>
      <w:r>
        <w:rPr>
          <w:rFonts w:hint="eastAsia" w:ascii="微软雅黑" w:hAnsi="微软雅黑" w:eastAsia="微软雅黑" w:cs="微软雅黑"/>
          <w:sz w:val="24"/>
          <w:szCs w:val="24"/>
          <w:lang w:val="en-US" w:eastAsia="zh-CN"/>
        </w:rPr>
        <w:t>50</w:t>
      </w:r>
      <w:r>
        <w:rPr>
          <w:rFonts w:hint="eastAsia" w:ascii="微软雅黑" w:hAnsi="微软雅黑" w:eastAsia="微软雅黑" w:cs="微软雅黑"/>
          <w:sz w:val="24"/>
          <w:szCs w:val="24"/>
        </w:rPr>
        <w:t>(立方米/小时)。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19</w:t>
      </w:r>
      <w:r>
        <w:rPr>
          <w:rFonts w:hint="eastAsia" w:ascii="微软雅黑" w:hAnsi="微软雅黑" w:eastAsia="微软雅黑" w:cs="微软雅黑"/>
          <w:sz w:val="24"/>
          <w:szCs w:val="24"/>
        </w:rPr>
        <w:t>、生物安全柜的能耗，运行时≤2</w:t>
      </w:r>
      <w:r>
        <w:rPr>
          <w:rFonts w:hint="eastAsia" w:ascii="微软雅黑" w:hAnsi="微软雅黑" w:eastAsia="微软雅黑" w:cs="微软雅黑"/>
          <w:sz w:val="24"/>
          <w:szCs w:val="24"/>
          <w:lang w:val="en-US" w:eastAsia="zh-CN"/>
        </w:rPr>
        <w:t>1</w:t>
      </w:r>
      <w:r>
        <w:rPr>
          <w:rFonts w:hint="eastAsia" w:ascii="微软雅黑" w:hAnsi="微软雅黑" w:eastAsia="微软雅黑" w:cs="微软雅黑"/>
          <w:sz w:val="24"/>
          <w:szCs w:val="24"/>
        </w:rPr>
        <w:t>0W，节能模式时≤7</w:t>
      </w:r>
      <w:r>
        <w:rPr>
          <w:rFonts w:hint="eastAsia" w:ascii="微软雅黑" w:hAnsi="微软雅黑" w:eastAsia="微软雅黑" w:cs="微软雅黑"/>
          <w:sz w:val="24"/>
          <w:szCs w:val="24"/>
          <w:lang w:val="en-US" w:eastAsia="zh-CN"/>
        </w:rPr>
        <w:t>5</w:t>
      </w:r>
      <w:r>
        <w:rPr>
          <w:rFonts w:hint="eastAsia" w:ascii="微软雅黑" w:hAnsi="微软雅黑" w:eastAsia="微软雅黑" w:cs="微软雅黑"/>
          <w:sz w:val="24"/>
          <w:szCs w:val="24"/>
        </w:rPr>
        <w:t>W（提供官方彩页证明）。</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20</w:t>
      </w:r>
      <w:r>
        <w:rPr>
          <w:rFonts w:hint="eastAsia" w:ascii="微软雅黑" w:hAnsi="微软雅黑" w:eastAsia="微软雅黑" w:cs="微软雅黑"/>
          <w:sz w:val="24"/>
          <w:szCs w:val="24"/>
        </w:rPr>
        <w:t>、相关认证：具有UL和CE认证（提供证书并盖公章）。</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val="en-US" w:eastAsia="zh-CN"/>
        </w:rPr>
        <w:t>1</w:t>
      </w:r>
      <w:r>
        <w:rPr>
          <w:rFonts w:hint="eastAsia" w:ascii="微软雅黑" w:hAnsi="微软雅黑" w:eastAsia="微软雅黑" w:cs="微软雅黑"/>
          <w:sz w:val="24"/>
          <w:szCs w:val="24"/>
        </w:rPr>
        <w:t>、 标准配置：主机，紫外灯，荧光灯，搁手架，侧壁各两个阀口，可调高度支架，一体成型不锈钢内壁。</w:t>
      </w:r>
    </w:p>
    <w:p>
      <w:pPr>
        <w:snapToGrid w:val="0"/>
        <w:spacing w:line="400" w:lineRule="exact"/>
        <w:ind w:firstLine="480" w:firstLineChars="200"/>
        <w:rPr>
          <w:rFonts w:hint="eastAsia" w:ascii="微软雅黑" w:hAnsi="微软雅黑" w:eastAsia="微软雅黑" w:cs="微软雅黑"/>
          <w:sz w:val="24"/>
          <w:szCs w:val="24"/>
        </w:rPr>
      </w:pP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参数二：（数量：1台，单台限价：5万元）</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val="en-US" w:eastAsia="zh-CN"/>
        </w:rPr>
        <w:t>用途：用于化疗一站式平台配置化疗药物、靶向药物等。</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default" w:ascii="微软雅黑" w:hAnsi="微软雅黑" w:eastAsia="微软雅黑" w:cs="微软雅黑"/>
          <w:sz w:val="24"/>
          <w:szCs w:val="24"/>
          <w:lang w:val="en-US" w:eastAsia="zh-CN"/>
        </w:rPr>
        <w:t>1</w:t>
      </w:r>
      <w:r>
        <w:rPr>
          <w:rFonts w:hint="eastAsia" w:ascii="微软雅黑" w:hAnsi="微软雅黑" w:eastAsia="微软雅黑" w:cs="微软雅黑"/>
          <w:sz w:val="24"/>
          <w:szCs w:val="24"/>
          <w:lang w:val="en-US" w:eastAsia="zh-CN"/>
        </w:rPr>
        <w:t>.</w:t>
      </w:r>
      <w:r>
        <w:rPr>
          <w:rFonts w:hint="default" w:ascii="微软雅黑" w:hAnsi="微软雅黑" w:eastAsia="微软雅黑" w:cs="微软雅黑"/>
          <w:sz w:val="24"/>
          <w:szCs w:val="24"/>
          <w:lang w:val="en-US" w:eastAsia="zh-CN"/>
        </w:rPr>
        <w:t>柜体内部工作区尺寸范围：内部尺寸(W×D×H)≥1200x630x780mm；</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default" w:ascii="微软雅黑" w:hAnsi="微软雅黑" w:eastAsia="微软雅黑" w:cs="微软雅黑"/>
          <w:sz w:val="24"/>
          <w:szCs w:val="24"/>
          <w:lang w:val="en-US" w:eastAsia="zh-CN"/>
        </w:rPr>
        <w:t>外部尺寸(W×D×H)≤1300x800x1570mm</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2.</w:t>
      </w:r>
      <w:r>
        <w:rPr>
          <w:rFonts w:hint="default" w:ascii="微软雅黑" w:hAnsi="微软雅黑" w:eastAsia="微软雅黑" w:cs="微软雅黑"/>
          <w:sz w:val="24"/>
          <w:szCs w:val="24"/>
          <w:lang w:val="en-US" w:eastAsia="zh-CN"/>
        </w:rPr>
        <w:t>配有直观控制面板。显示有价值的安全和性能数据，</w:t>
      </w:r>
      <w:r>
        <w:rPr>
          <w:rFonts w:hint="eastAsia" w:ascii="微软雅黑" w:hAnsi="微软雅黑" w:eastAsia="微软雅黑" w:cs="微软雅黑"/>
          <w:sz w:val="24"/>
          <w:szCs w:val="24"/>
        </w:rPr>
        <w:t>实时显示仪器运行时间、下降风速和流入风速。</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w:t>
      </w:r>
      <w:r>
        <w:rPr>
          <w:rFonts w:hint="default" w:ascii="微软雅黑" w:hAnsi="微软雅黑" w:eastAsia="微软雅黑" w:cs="微软雅黑"/>
          <w:sz w:val="24"/>
          <w:szCs w:val="24"/>
          <w:lang w:val="en-US" w:eastAsia="zh-CN"/>
        </w:rPr>
        <w:t>控制面板声光报警便于客户快速确认仪器状态、气流平衡等。</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4.</w:t>
      </w:r>
      <w:r>
        <w:rPr>
          <w:rFonts w:hint="eastAsia" w:ascii="微软雅黑" w:hAnsi="微软雅黑" w:eastAsia="微软雅黑" w:cs="微软雅黑"/>
          <w:sz w:val="24"/>
          <w:szCs w:val="24"/>
        </w:rPr>
        <w:t>HEPA过滤模块：包含两个HEPA过滤模块，分别实现外排风和下降风的过滤。过滤器符合EN1822标准H14级别。HEPA过滤效率：过滤器最易穿透颗粒（MPPS）过滤效率高于99.995%。0.3微米颗粒的截留效率高于99.999%。</w:t>
      </w:r>
      <w:r>
        <w:rPr>
          <w:rFonts w:hint="default" w:ascii="微软雅黑" w:hAnsi="微软雅黑" w:eastAsia="微软雅黑" w:cs="微软雅黑"/>
          <w:sz w:val="24"/>
          <w:szCs w:val="24"/>
          <w:lang w:val="en-US" w:eastAsia="zh-CN"/>
        </w:rPr>
        <w:t>过滤器寿命：</w:t>
      </w:r>
      <w:r>
        <w:rPr>
          <w:rFonts w:hint="eastAsia" w:ascii="微软雅黑" w:hAnsi="微软雅黑" w:eastAsia="微软雅黑" w:cs="微软雅黑"/>
          <w:sz w:val="24"/>
          <w:szCs w:val="24"/>
          <w:lang w:val="en-US" w:eastAsia="zh-CN"/>
        </w:rPr>
        <w:t>1年以上。</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5.</w:t>
      </w:r>
      <w:r>
        <w:rPr>
          <w:rFonts w:hint="eastAsia" w:ascii="微软雅黑" w:hAnsi="微软雅黑" w:eastAsia="微软雅黑" w:cs="微软雅黑"/>
          <w:sz w:val="24"/>
          <w:szCs w:val="24"/>
        </w:rPr>
        <w:t>工作台面表面承重≥23kg，工作台面最高承重≥50Kg</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前窗工作开口高度：</w:t>
      </w:r>
      <w:r>
        <w:rPr>
          <w:rFonts w:hint="eastAsia" w:ascii="微软雅黑" w:hAnsi="微软雅黑" w:eastAsia="微软雅黑" w:cs="微软雅黑"/>
          <w:sz w:val="24"/>
          <w:szCs w:val="24"/>
          <w:lang w:val="en-US" w:eastAsia="zh-CN"/>
        </w:rPr>
        <w:t>160mm~</w:t>
      </w:r>
      <w:r>
        <w:rPr>
          <w:rFonts w:hint="eastAsia" w:ascii="微软雅黑" w:hAnsi="微软雅黑" w:eastAsia="微软雅黑" w:cs="微软雅黑"/>
          <w:sz w:val="24"/>
          <w:szCs w:val="24"/>
        </w:rPr>
        <w:t>250mm</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噪音: ≤63dB</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6.</w:t>
      </w:r>
      <w:r>
        <w:rPr>
          <w:rFonts w:hint="default" w:ascii="微软雅黑" w:hAnsi="微软雅黑" w:eastAsia="微软雅黑" w:cs="微软雅黑"/>
          <w:sz w:val="24"/>
          <w:szCs w:val="24"/>
          <w:lang w:val="en-US" w:eastAsia="zh-CN"/>
        </w:rPr>
        <w:t>脚轮：带自锁功能的脚轮，移动方便，锁定稳固</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7.</w:t>
      </w:r>
      <w:r>
        <w:rPr>
          <w:rFonts w:hint="default" w:ascii="微软雅黑" w:hAnsi="微软雅黑" w:eastAsia="微软雅黑" w:cs="微软雅黑"/>
          <w:sz w:val="24"/>
          <w:szCs w:val="24"/>
          <w:lang w:val="en-US" w:eastAsia="zh-CN"/>
        </w:rPr>
        <w:t>双风机控制系统，独立的进气与排气风机自动控制，平衡下降气流与外排气流，以保证持续安全的工作条件。智能直流无碳刷电机可实时监测和控制风机转速，在过滤器阻塞或线路电压波动时持续保护用户安全。</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8.</w:t>
      </w:r>
      <w:r>
        <w:rPr>
          <w:rFonts w:hint="default" w:ascii="微软雅黑" w:hAnsi="微软雅黑" w:eastAsia="微软雅黑" w:cs="微软雅黑"/>
          <w:sz w:val="24"/>
          <w:szCs w:val="24"/>
          <w:lang w:val="en-US" w:eastAsia="zh-CN"/>
        </w:rPr>
        <w:t>设备配置LED照明灯及紫外灯。紫外消毒时间可在0：00（关闭）到24：00小时之间进行调节。紫外消毒时间</w:t>
      </w:r>
      <w:r>
        <w:rPr>
          <w:rFonts w:hint="eastAsia" w:ascii="微软雅黑" w:hAnsi="微软雅黑" w:eastAsia="微软雅黑" w:cs="微软雅黑"/>
          <w:sz w:val="24"/>
          <w:szCs w:val="24"/>
          <w:lang w:val="en-US" w:eastAsia="zh-CN"/>
        </w:rPr>
        <w:t>可以</w:t>
      </w:r>
      <w:r>
        <w:rPr>
          <w:rFonts w:hint="default" w:ascii="微软雅黑" w:hAnsi="微软雅黑" w:eastAsia="微软雅黑" w:cs="微软雅黑"/>
          <w:sz w:val="24"/>
          <w:szCs w:val="24"/>
          <w:lang w:val="en-US" w:eastAsia="zh-CN"/>
        </w:rPr>
        <w:t>预先设定。</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9.</w:t>
      </w:r>
      <w:r>
        <w:rPr>
          <w:rFonts w:hint="default" w:ascii="微软雅黑" w:hAnsi="微软雅黑" w:eastAsia="微软雅黑" w:cs="微软雅黑"/>
          <w:sz w:val="24"/>
          <w:szCs w:val="24"/>
          <w:lang w:val="en-US" w:eastAsia="zh-CN"/>
        </w:rPr>
        <w:t>前窗倾角减少镜面效应，双层防爆玻璃，并确保用户在工作期间的姿势舒适。</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10.</w:t>
      </w:r>
      <w:r>
        <w:rPr>
          <w:rFonts w:hint="default" w:ascii="微软雅黑" w:hAnsi="微软雅黑" w:eastAsia="微软雅黑" w:cs="微软雅黑"/>
          <w:sz w:val="24"/>
          <w:szCs w:val="24"/>
          <w:lang w:val="en-US" w:eastAsia="zh-CN"/>
        </w:rPr>
        <w:t>柜体材料：内部两侧包括后背板为不锈钢一体成型，厚度≥1.2mm。内角易于清洁消毒。</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11.</w:t>
      </w:r>
      <w:r>
        <w:rPr>
          <w:rFonts w:hint="default" w:ascii="微软雅黑" w:hAnsi="微软雅黑" w:eastAsia="微软雅黑" w:cs="微软雅黑"/>
          <w:sz w:val="24"/>
          <w:szCs w:val="24"/>
          <w:lang w:val="en-US" w:eastAsia="zh-CN"/>
        </w:rPr>
        <w:t>柜体侧壁采用双层负压设计，以提供更大的保护。采用金属材质的压力舱，便于更换滤膜时拆卸。</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12.</w:t>
      </w:r>
      <w:r>
        <w:rPr>
          <w:rFonts w:hint="default" w:ascii="微软雅黑" w:hAnsi="微软雅黑" w:eastAsia="微软雅黑" w:cs="微软雅黑"/>
          <w:sz w:val="24"/>
          <w:szCs w:val="24"/>
          <w:lang w:val="en-US" w:eastAsia="zh-CN"/>
        </w:rPr>
        <w:t>工作台下方的集液槽应采用不锈钢制成，并带有排污阀，且有方便清洁的结构设计。</w:t>
      </w:r>
    </w:p>
    <w:p>
      <w:pPr>
        <w:snapToGrid w:val="0"/>
        <w:spacing w:line="400" w:lineRule="exact"/>
        <w:ind w:firstLine="480" w:firstLineChars="200"/>
        <w:rPr>
          <w:rFonts w:hint="eastAsia" w:ascii="微软雅黑" w:hAnsi="微软雅黑" w:eastAsia="微软雅黑" w:cs="微软雅黑"/>
          <w:sz w:val="24"/>
          <w:szCs w:val="24"/>
        </w:rPr>
      </w:pP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参数三：（数量：1台，单台限价：4万元）</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1、柜体内部工作区尺寸范围：内部尺寸(W×D×H)≥1200x630x780mm；</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外部尺寸(W×D×H)≤1300x800x1570mm</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2、设备标配手动可调高度支架，可提供30到38英寸的工作表面高度，调节增量2英寸。</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3、配有直观控制面板。显示有价值的安全和性能数据，实时显示仪器运行时间、下降风速和流入风速。</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4、控制面板可显示总工作时间显示、定时器、紫外消毒剩余时长、气流是否稳定、前窗位于工作位置监测、节能模式，实时显示整个柜体的状态，确保用户在安全条件下工作。</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5、控制面板声光报警便于客户快速确认仪器状态、气流平衡等。</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6、HEPA过滤模块：包含两个HEPA过滤模块，分别实现外排风和下降风的过滤。过滤器符合EN1822标准H14级别。HEPA过滤效率：过滤器最易穿透颗粒（MPPS）过滤效率高于99.995%。0.3微米颗粒的截留效率高于99.999%。</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7、工作台面表面承重≥23kg，工作台面最高承重≥50Kg</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8、前窗工作开口高度≥250mm；前窗最高开口高度≥535mm</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9、噪音: ≤63dB</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10、双风机控制系统，独立的进气与排气风机自动控制，平衡下降气流与外排气流，以保证持续安全的工作条件。智能直流无碳刷电机可实时监测和控制风机转速，在过滤器阻塞或线路电压波动时持续保护用户安全。（提供官方彩页证明）。</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11、风速报警：至少两个独立式压力传感器用于检测排气和下降气流强制通风时的压力变化。当进气/排气或下降气流速度变化量达到20%时，将发出声音和视觉报警提醒用户。</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12、安全节能模式：安全柜开机正常运行状态下，将前窗玻璃下拉至完全关闭状态，安全柜自动启动低速安全节能模式（待机模式），下降风速自动变为30%，且保持柜体洁净环境。</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13、设备配置254nm紫外灯。紫外消毒时间可在0：00（关闭）到24：00小时之间进行调节。紫外消毒时间是预先设定的，如有需要可以更改设置，步进为30分钟。</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14、前窗倾角：10°倾角，前窗玻璃为双层防爆玻璃。</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15、前窗清洗位置：无需拆卸任何部件即可将前窗玻璃可下拉到台面下方指定位置，操作者可站在安全柜外的无污染区，便于清洁安全柜玻璃窗内侧和更换灯管。</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16、柜体侧壁采用双层负压设计，以提供更大的保护。采用金属材质的压力舱，便于更换滤膜时拆卸。</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18、左右侧壁各标配两个服务阀孔，用于安装气阀、水阀和真空阀。</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19、工作台下方的集液槽应采用不锈钢制成，并带有排污阀。不应有支撑工作托盘重量的水平金属条，以便于清洁。</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20、设备配置两个可拆卸式搁手架，卡入式设计，操作方便舒适。</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21、排气/进气量≥585 (立方米/小时)；排气量，套管连接≥761(立方米/小时)。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22、生物安全柜的能耗，运行时≤200W，节能模式时≤70W（提供官方彩页证明）。</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val="en-US" w:eastAsia="zh-CN"/>
        </w:rPr>
        <w:t>3</w:t>
      </w:r>
      <w:r>
        <w:rPr>
          <w:rFonts w:hint="eastAsia" w:ascii="微软雅黑" w:hAnsi="微软雅黑" w:eastAsia="微软雅黑" w:cs="微软雅黑"/>
          <w:sz w:val="24"/>
          <w:szCs w:val="24"/>
        </w:rPr>
        <w:t>、 标准配置：主机，紫外灯，荧光灯，两个搁手架，侧壁各两个阀口，可调高度支架，一体成型不锈钢内壁。</w:t>
      </w:r>
    </w:p>
    <w:p>
      <w:pPr>
        <w:snapToGrid w:val="0"/>
        <w:spacing w:line="400" w:lineRule="exact"/>
        <w:ind w:firstLine="480" w:firstLineChars="200"/>
        <w:rPr>
          <w:rFonts w:hint="eastAsia" w:ascii="微软雅黑" w:hAnsi="微软雅黑" w:eastAsia="微软雅黑" w:cs="微软雅黑"/>
          <w:sz w:val="24"/>
          <w:szCs w:val="24"/>
        </w:rPr>
      </w:pPr>
    </w:p>
    <w:p>
      <w:pPr>
        <w:snapToGrid w:val="0"/>
        <w:spacing w:line="400" w:lineRule="exact"/>
        <w:ind w:firstLine="480" w:firstLineChars="200"/>
        <w:rPr>
          <w:rFonts w:hint="eastAsia" w:ascii="宋体" w:hAnsi="宋体" w:cs="宋体"/>
          <w:lang w:val="en-US" w:eastAsia="zh-CN"/>
        </w:rPr>
      </w:pPr>
      <w:r>
        <w:rPr>
          <w:rFonts w:hint="eastAsia" w:ascii="微软雅黑" w:hAnsi="微软雅黑" w:eastAsia="微软雅黑" w:cs="微软雅黑"/>
          <w:sz w:val="24"/>
          <w:szCs w:val="24"/>
        </w:rPr>
        <w:t>以上参数要求请提供相应官网截图/产品彩页/产品说明书/检验报告等佐证材料（需生产厂家盖章、投标人盖章）。</w:t>
      </w:r>
      <w:r>
        <w:rPr>
          <w:rFonts w:hint="eastAsia" w:ascii="宋体" w:hAnsi="宋体" w:cs="宋体"/>
          <w:lang w:val="en-US" w:eastAsia="zh-CN"/>
        </w:rPr>
        <w:br w:type="page"/>
      </w:r>
    </w:p>
    <w:p>
      <w:pPr>
        <w:pStyle w:val="4"/>
        <w:spacing w:before="200" w:after="200" w:line="240" w:lineRule="auto"/>
        <w:jc w:val="center"/>
        <w:rPr>
          <w:rFonts w:hint="eastAsia" w:ascii="微软雅黑" w:hAnsi="微软雅黑" w:eastAsia="微软雅黑" w:cs="微软雅黑"/>
          <w:sz w:val="44"/>
        </w:rPr>
      </w:pPr>
      <w:r>
        <w:rPr>
          <w:rFonts w:hint="eastAsia" w:ascii="微软雅黑" w:hAnsi="微软雅黑" w:eastAsia="微软雅黑" w:cs="微软雅黑"/>
          <w:sz w:val="44"/>
        </w:rPr>
        <w:t xml:space="preserve">第三篇  </w:t>
      </w:r>
      <w:bookmarkEnd w:id="72"/>
      <w:r>
        <w:rPr>
          <w:rFonts w:hint="eastAsia" w:ascii="微软雅黑" w:hAnsi="微软雅黑" w:eastAsia="微软雅黑" w:cs="微软雅黑"/>
          <w:sz w:val="44"/>
        </w:rPr>
        <w:t>项目商务需求</w:t>
      </w:r>
      <w:bookmarkEnd w:id="106"/>
      <w:bookmarkEnd w:id="107"/>
      <w:bookmarkEnd w:id="108"/>
      <w:bookmarkEnd w:id="109"/>
    </w:p>
    <w:tbl>
      <w:tblPr>
        <w:tblStyle w:val="58"/>
        <w:tblW w:w="5284" w:type="pct"/>
        <w:tblInd w:w="-1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6"/>
        <w:gridCol w:w="87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widowControl/>
              <w:spacing w:line="400" w:lineRule="exact"/>
              <w:ind w:firstLine="560" w:firstLineChars="200"/>
              <w:jc w:val="center"/>
              <w:rPr>
                <w:rFonts w:hint="eastAsia" w:ascii="微软雅黑" w:hAnsi="微软雅黑" w:eastAsia="微软雅黑" w:cs="微软雅黑"/>
                <w:color w:val="0000FF"/>
                <w:sz w:val="24"/>
                <w:szCs w:val="24"/>
              </w:rPr>
            </w:pPr>
            <w:r>
              <w:rPr>
                <w:rFonts w:hint="eastAsia" w:ascii="微软雅黑" w:hAnsi="微软雅黑" w:eastAsia="微软雅黑" w:cs="微软雅黑"/>
                <w:b/>
                <w:bCs/>
                <w:color w:val="auto"/>
                <w:sz w:val="28"/>
                <w:szCs w:val="28"/>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6"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rPr>
              <w:t>交货时间、交货地点及验收方式</w:t>
            </w:r>
          </w:p>
        </w:tc>
        <w:tc>
          <w:tcPr>
            <w:tcW w:w="4303" w:type="pct"/>
            <w:vAlign w:val="center"/>
          </w:tcPr>
          <w:p>
            <w:pPr>
              <w:spacing w:line="360" w:lineRule="auto"/>
              <w:rPr>
                <w:rFonts w:hint="eastAsia" w:ascii="微软雅黑" w:hAnsi="微软雅黑" w:eastAsia="微软雅黑" w:cs="微软雅黑"/>
                <w:color w:val="auto"/>
                <w:kern w:val="2"/>
                <w:sz w:val="21"/>
                <w:szCs w:val="21"/>
                <w:lang w:val="de-DE" w:eastAsia="zh-CN" w:bidi="ar-SA"/>
              </w:rPr>
            </w:pPr>
            <w:r>
              <w:rPr>
                <w:rFonts w:hint="eastAsia" w:ascii="微软雅黑" w:hAnsi="微软雅黑" w:eastAsia="微软雅黑" w:cs="微软雅黑"/>
                <w:color w:val="auto"/>
                <w:kern w:val="2"/>
                <w:sz w:val="21"/>
                <w:szCs w:val="21"/>
                <w:lang w:val="de-DE" w:eastAsia="zh-CN" w:bidi="ar-SA"/>
              </w:rPr>
              <w:t>交货期：定标后30个日历日内或接到需求科室通知</w:t>
            </w:r>
            <w:r>
              <w:rPr>
                <w:rFonts w:hint="eastAsia" w:ascii="微软雅黑" w:hAnsi="微软雅黑" w:eastAsia="微软雅黑" w:cs="微软雅黑"/>
                <w:color w:val="auto"/>
                <w:kern w:val="2"/>
                <w:sz w:val="21"/>
                <w:szCs w:val="21"/>
                <w:lang w:val="en-US" w:eastAsia="zh-CN" w:bidi="ar-SA"/>
              </w:rPr>
              <w:t>30个日历日内</w:t>
            </w:r>
            <w:r>
              <w:rPr>
                <w:rFonts w:hint="eastAsia" w:ascii="微软雅黑" w:hAnsi="微软雅黑" w:eastAsia="微软雅黑" w:cs="微软雅黑"/>
                <w:color w:val="auto"/>
                <w:kern w:val="2"/>
                <w:sz w:val="21"/>
                <w:szCs w:val="21"/>
                <w:lang w:val="de-DE" w:eastAsia="zh-CN" w:bidi="ar-SA"/>
              </w:rPr>
              <w:t>将设备运到采购人指定交货地点。</w:t>
            </w:r>
          </w:p>
          <w:p>
            <w:pPr>
              <w:spacing w:line="360" w:lineRule="auto"/>
              <w:rPr>
                <w:rFonts w:hint="eastAsia" w:ascii="微软雅黑" w:hAnsi="微软雅黑" w:eastAsia="微软雅黑" w:cs="微软雅黑"/>
                <w:color w:val="auto"/>
                <w:kern w:val="2"/>
                <w:sz w:val="21"/>
                <w:szCs w:val="21"/>
                <w:lang w:val="de-DE" w:eastAsia="zh-CN" w:bidi="ar-SA"/>
              </w:rPr>
            </w:pPr>
            <w:r>
              <w:rPr>
                <w:rFonts w:hint="eastAsia" w:ascii="微软雅黑" w:hAnsi="微软雅黑" w:eastAsia="微软雅黑" w:cs="微软雅黑"/>
                <w:color w:val="auto"/>
                <w:kern w:val="2"/>
                <w:sz w:val="21"/>
                <w:szCs w:val="21"/>
                <w:lang w:val="de-DE" w:eastAsia="zh-CN" w:bidi="ar-SA"/>
              </w:rPr>
              <w:t>交货地点：重庆医科大学附属儿童医院</w:t>
            </w:r>
          </w:p>
          <w:p>
            <w:pPr>
              <w:spacing w:line="360" w:lineRule="auto"/>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de-DE" w:eastAsia="zh-CN" w:bidi="ar-SA"/>
              </w:rPr>
              <w:t>验收方式：需求科室与医学工程科现场验收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6"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rPr>
              <w:t>质量保证及售后服务</w:t>
            </w:r>
          </w:p>
        </w:tc>
        <w:tc>
          <w:tcPr>
            <w:tcW w:w="4303" w:type="pct"/>
            <w:vAlign w:val="center"/>
          </w:tcPr>
          <w:p>
            <w:pPr>
              <w:spacing w:line="360" w:lineRule="auto"/>
              <w:rPr>
                <w:rFonts w:hint="eastAsia" w:ascii="微软雅黑" w:hAnsi="微软雅黑" w:eastAsia="微软雅黑" w:cs="微软雅黑"/>
                <w:color w:val="auto"/>
                <w:kern w:val="2"/>
                <w:sz w:val="21"/>
                <w:szCs w:val="21"/>
                <w:lang w:val="de-DE" w:eastAsia="zh-CN" w:bidi="ar-SA"/>
              </w:rPr>
            </w:pPr>
            <w:r>
              <w:rPr>
                <w:rFonts w:hint="eastAsia" w:ascii="微软雅黑" w:hAnsi="微软雅黑" w:eastAsia="微软雅黑" w:cs="微软雅黑"/>
                <w:color w:val="auto"/>
                <w:kern w:val="2"/>
                <w:sz w:val="21"/>
                <w:szCs w:val="21"/>
                <w:lang w:val="en-US" w:eastAsia="zh-CN" w:bidi="ar-SA"/>
              </w:rPr>
              <w:t>1.</w:t>
            </w:r>
            <w:bookmarkStart w:id="191" w:name="_GoBack"/>
            <w:bookmarkEnd w:id="191"/>
            <w:r>
              <w:rPr>
                <w:rFonts w:hint="eastAsia" w:ascii="微软雅黑" w:hAnsi="微软雅黑" w:eastAsia="微软雅黑" w:cs="微软雅黑"/>
                <w:color w:val="auto"/>
                <w:kern w:val="2"/>
                <w:sz w:val="21"/>
                <w:szCs w:val="21"/>
                <w:lang w:val="de-DE" w:eastAsia="zh-CN" w:bidi="ar-SA"/>
              </w:rPr>
              <w:t>参数一：质保期：整机不低于5年</w:t>
            </w:r>
            <w:r>
              <w:rPr>
                <w:rFonts w:hint="eastAsia" w:ascii="微软雅黑" w:hAnsi="微软雅黑" w:eastAsia="微软雅黑" w:cs="微软雅黑"/>
                <w:color w:val="auto"/>
                <w:kern w:val="2"/>
                <w:sz w:val="21"/>
                <w:szCs w:val="21"/>
                <w:lang w:val="en-US" w:eastAsia="zh-CN" w:bidi="ar-SA"/>
              </w:rPr>
              <w:t>，HEPA过滤器质保不低于1年；</w:t>
            </w:r>
          </w:p>
          <w:p>
            <w:pPr>
              <w:spacing w:line="360" w:lineRule="auto"/>
              <w:rPr>
                <w:rFonts w:hint="eastAsia" w:ascii="微软雅黑" w:hAnsi="微软雅黑" w:eastAsia="微软雅黑" w:cs="微软雅黑"/>
                <w:color w:val="auto"/>
                <w:kern w:val="2"/>
                <w:sz w:val="21"/>
                <w:szCs w:val="21"/>
                <w:lang w:val="de-DE" w:eastAsia="zh-CN" w:bidi="ar-SA"/>
              </w:rPr>
            </w:pPr>
            <w:r>
              <w:rPr>
                <w:rFonts w:hint="eastAsia" w:ascii="微软雅黑" w:hAnsi="微软雅黑" w:eastAsia="微软雅黑" w:cs="微软雅黑"/>
                <w:color w:val="auto"/>
                <w:kern w:val="2"/>
                <w:sz w:val="21"/>
                <w:szCs w:val="21"/>
                <w:lang w:val="de-DE" w:eastAsia="zh-CN" w:bidi="ar-SA"/>
              </w:rPr>
              <w:t>参数二：质保期：整机不低于2年，HEPA过滤器不低于1年；</w:t>
            </w:r>
          </w:p>
          <w:p>
            <w:pPr>
              <w:spacing w:line="360" w:lineRule="auto"/>
              <w:rPr>
                <w:rFonts w:hint="eastAsia" w:ascii="微软雅黑" w:hAnsi="微软雅黑" w:eastAsia="微软雅黑" w:cs="微软雅黑"/>
                <w:color w:val="auto"/>
                <w:kern w:val="2"/>
                <w:sz w:val="21"/>
                <w:szCs w:val="21"/>
                <w:lang w:val="de-DE" w:eastAsia="zh-CN" w:bidi="ar-SA"/>
              </w:rPr>
            </w:pPr>
            <w:r>
              <w:rPr>
                <w:rFonts w:hint="eastAsia" w:ascii="微软雅黑" w:hAnsi="微软雅黑" w:eastAsia="微软雅黑" w:cs="微软雅黑"/>
                <w:color w:val="auto"/>
                <w:kern w:val="2"/>
                <w:sz w:val="21"/>
                <w:szCs w:val="21"/>
                <w:lang w:val="de-DE" w:eastAsia="zh-CN" w:bidi="ar-SA"/>
              </w:rPr>
              <w:t>参数三：质保期：整机不低于3年；</w:t>
            </w:r>
          </w:p>
          <w:p>
            <w:pPr>
              <w:spacing w:line="360" w:lineRule="auto"/>
              <w:rPr>
                <w:rFonts w:hint="eastAsia" w:ascii="微软雅黑" w:hAnsi="微软雅黑" w:eastAsia="微软雅黑" w:cs="微软雅黑"/>
                <w:color w:val="auto"/>
                <w:kern w:val="2"/>
                <w:sz w:val="21"/>
                <w:szCs w:val="21"/>
                <w:lang w:val="de-DE" w:eastAsia="zh-CN" w:bidi="ar-SA"/>
              </w:rPr>
            </w:pPr>
            <w:r>
              <w:rPr>
                <w:rFonts w:hint="eastAsia" w:ascii="微软雅黑" w:hAnsi="微软雅黑" w:eastAsia="微软雅黑" w:cs="微软雅黑"/>
                <w:color w:val="auto"/>
                <w:kern w:val="2"/>
                <w:sz w:val="21"/>
                <w:szCs w:val="21"/>
                <w:lang w:val="de-DE" w:eastAsia="zh-CN" w:bidi="ar-SA"/>
              </w:rPr>
              <w:t>质保期内免费维修维保，免费更换所有需要的配件，质保期外免费维修，采购人只支付维修设备配件等费用，不得支付维修产生的差旅费等费用。</w:t>
            </w:r>
          </w:p>
          <w:p>
            <w:pPr>
              <w:spacing w:line="360" w:lineRule="auto"/>
              <w:rPr>
                <w:rFonts w:hint="eastAsia" w:ascii="微软雅黑" w:hAnsi="微软雅黑" w:eastAsia="微软雅黑" w:cs="微软雅黑"/>
                <w:color w:val="auto"/>
                <w:kern w:val="2"/>
                <w:sz w:val="21"/>
                <w:szCs w:val="21"/>
                <w:lang w:val="de-DE" w:eastAsia="zh-CN" w:bidi="ar-SA"/>
              </w:rPr>
            </w:pPr>
            <w:r>
              <w:rPr>
                <w:rFonts w:hint="eastAsia" w:ascii="微软雅黑" w:hAnsi="微软雅黑" w:eastAsia="微软雅黑" w:cs="微软雅黑"/>
                <w:color w:val="auto"/>
                <w:kern w:val="2"/>
                <w:sz w:val="21"/>
                <w:szCs w:val="21"/>
                <w:lang w:val="de-DE" w:eastAsia="zh-CN" w:bidi="ar-SA"/>
              </w:rPr>
              <w:t>2.参数一：</w:t>
            </w:r>
            <w:r>
              <w:rPr>
                <w:rFonts w:hint="eastAsia" w:ascii="微软雅黑" w:hAnsi="微软雅黑" w:eastAsia="微软雅黑" w:cs="微软雅黑"/>
                <w:color w:val="auto"/>
                <w:kern w:val="2"/>
                <w:sz w:val="21"/>
                <w:szCs w:val="21"/>
                <w:lang w:val="en-US" w:eastAsia="zh-CN" w:bidi="ar-SA"/>
              </w:rPr>
              <w:t>机器故障应2小时内故障响应，24小时内到达现场解决故障</w:t>
            </w:r>
            <w:r>
              <w:rPr>
                <w:rFonts w:hint="eastAsia" w:ascii="微软雅黑" w:hAnsi="微软雅黑" w:eastAsia="微软雅黑" w:cs="微软雅黑"/>
                <w:color w:val="auto"/>
                <w:kern w:val="2"/>
                <w:sz w:val="21"/>
                <w:szCs w:val="21"/>
                <w:lang w:val="de-DE" w:eastAsia="zh-CN" w:bidi="ar-SA"/>
              </w:rPr>
              <w:t>；参数二、三：机器故障应2小时内故障响应，4小时内到达现场解决故障。</w:t>
            </w:r>
          </w:p>
          <w:p>
            <w:pPr>
              <w:spacing w:line="360" w:lineRule="auto"/>
              <w:rPr>
                <w:rFonts w:hint="eastAsia" w:ascii="微软雅黑" w:hAnsi="微软雅黑" w:eastAsia="微软雅黑" w:cs="微软雅黑"/>
                <w:color w:val="auto"/>
                <w:kern w:val="2"/>
                <w:sz w:val="21"/>
                <w:szCs w:val="21"/>
                <w:lang w:val="de-DE" w:eastAsia="zh-CN" w:bidi="ar-SA"/>
              </w:rPr>
            </w:pPr>
            <w:r>
              <w:rPr>
                <w:rFonts w:hint="eastAsia" w:ascii="微软雅黑" w:hAnsi="微软雅黑" w:eastAsia="微软雅黑" w:cs="微软雅黑"/>
                <w:color w:val="auto"/>
                <w:kern w:val="2"/>
                <w:sz w:val="21"/>
                <w:szCs w:val="21"/>
                <w:lang w:val="de-DE" w:eastAsia="zh-CN" w:bidi="ar-SA"/>
              </w:rPr>
              <w:t>3.不能解决故障则应48小时内提供备用机或解决方案。</w:t>
            </w:r>
          </w:p>
          <w:p>
            <w:pPr>
              <w:spacing w:line="360" w:lineRule="auto"/>
              <w:rPr>
                <w:rFonts w:hint="eastAsia" w:ascii="微软雅黑" w:hAnsi="微软雅黑" w:eastAsia="微软雅黑" w:cs="微软雅黑"/>
                <w:color w:val="auto"/>
                <w:kern w:val="2"/>
                <w:sz w:val="21"/>
                <w:szCs w:val="21"/>
                <w:lang w:val="de-DE" w:eastAsia="zh-CN" w:bidi="ar-SA"/>
              </w:rPr>
            </w:pPr>
            <w:r>
              <w:rPr>
                <w:rFonts w:hint="eastAsia" w:ascii="微软雅黑" w:hAnsi="微软雅黑" w:eastAsia="微软雅黑" w:cs="微软雅黑"/>
                <w:color w:val="auto"/>
                <w:kern w:val="2"/>
                <w:sz w:val="21"/>
                <w:szCs w:val="21"/>
                <w:lang w:val="de-DE" w:eastAsia="zh-CN" w:bidi="ar-SA"/>
              </w:rPr>
              <w:t>4.提供维修技术资料。</w:t>
            </w:r>
          </w:p>
          <w:p>
            <w:pPr>
              <w:spacing w:line="360" w:lineRule="auto"/>
              <w:rPr>
                <w:rFonts w:hint="eastAsia" w:ascii="微软雅黑" w:hAnsi="微软雅黑" w:eastAsia="微软雅黑" w:cs="微软雅黑"/>
                <w:color w:val="auto"/>
                <w:kern w:val="2"/>
                <w:sz w:val="21"/>
                <w:szCs w:val="21"/>
                <w:lang w:val="de-DE" w:eastAsia="zh-CN" w:bidi="ar-SA"/>
              </w:rPr>
            </w:pPr>
            <w:r>
              <w:rPr>
                <w:rFonts w:hint="eastAsia" w:ascii="微软雅黑" w:hAnsi="微软雅黑" w:eastAsia="微软雅黑" w:cs="微软雅黑"/>
                <w:color w:val="auto"/>
                <w:kern w:val="2"/>
                <w:sz w:val="21"/>
                <w:szCs w:val="21"/>
                <w:lang w:val="de-DE" w:eastAsia="zh-CN" w:bidi="ar-SA"/>
              </w:rPr>
              <w:t>5.维修工程师免费上门安装、培训。</w:t>
            </w:r>
          </w:p>
          <w:p>
            <w:pPr>
              <w:spacing w:line="360" w:lineRule="auto"/>
              <w:rPr>
                <w:rFonts w:hint="eastAsia" w:ascii="微软雅黑" w:hAnsi="微软雅黑" w:eastAsia="微软雅黑" w:cs="微软雅黑"/>
                <w:color w:val="auto"/>
                <w:kern w:val="2"/>
                <w:sz w:val="21"/>
                <w:szCs w:val="21"/>
                <w:lang w:val="de-DE" w:eastAsia="zh-CN" w:bidi="ar-SA"/>
              </w:rPr>
            </w:pPr>
            <w:r>
              <w:rPr>
                <w:rFonts w:hint="eastAsia" w:ascii="微软雅黑" w:hAnsi="微软雅黑" w:eastAsia="微软雅黑" w:cs="微软雅黑"/>
                <w:color w:val="auto"/>
                <w:kern w:val="2"/>
                <w:sz w:val="21"/>
                <w:szCs w:val="21"/>
                <w:lang w:val="de-DE" w:eastAsia="zh-CN" w:bidi="ar-SA"/>
              </w:rPr>
              <w:t>6.一年不低于4次定期维护保养，有故障情况发生，终身免费上门维修。</w:t>
            </w:r>
          </w:p>
          <w:p>
            <w:pPr>
              <w:spacing w:line="360" w:lineRule="auto"/>
              <w:rPr>
                <w:rFonts w:hint="eastAsia" w:ascii="微软雅黑" w:hAnsi="微软雅黑" w:eastAsia="微软雅黑" w:cs="微软雅黑"/>
                <w:color w:val="auto"/>
                <w:kern w:val="2"/>
                <w:sz w:val="21"/>
                <w:szCs w:val="21"/>
                <w:lang w:val="de-DE" w:eastAsia="zh-CN" w:bidi="ar-SA"/>
              </w:rPr>
            </w:pPr>
            <w:r>
              <w:rPr>
                <w:rFonts w:hint="eastAsia" w:ascii="微软雅黑" w:hAnsi="微软雅黑" w:eastAsia="微软雅黑" w:cs="微软雅黑"/>
                <w:color w:val="auto"/>
                <w:kern w:val="2"/>
                <w:sz w:val="21"/>
                <w:szCs w:val="21"/>
                <w:lang w:val="de-DE" w:eastAsia="zh-CN" w:bidi="ar-SA"/>
              </w:rPr>
              <w:t>7.有西南地区本地化服务机构和服务人员证明并且能够提供证明材料（公司的营业证等复印件加盖公章）。</w:t>
            </w:r>
          </w:p>
          <w:p>
            <w:pPr>
              <w:spacing w:line="360" w:lineRule="auto"/>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de-DE" w:eastAsia="zh-CN" w:bidi="ar-SA"/>
              </w:rPr>
              <w:t>8.中标人对投标产品对应参数需要满足，验收时根据投标响应文件中的技术参数一一验收，如果有一条或者多条不满足，采购人有权取消合同，所产生的损失由中标人承担。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696"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rPr>
              <w:t>报价要求</w:t>
            </w:r>
          </w:p>
        </w:tc>
        <w:tc>
          <w:tcPr>
            <w:tcW w:w="4303" w:type="pct"/>
            <w:vAlign w:val="center"/>
          </w:tcPr>
          <w:p>
            <w:pPr>
              <w:spacing w:line="360" w:lineRule="auto"/>
              <w:rPr>
                <w:rFonts w:hint="default" w:ascii="微软雅黑" w:hAnsi="微软雅黑" w:eastAsia="微软雅黑" w:cs="微软雅黑"/>
                <w:color w:val="auto"/>
                <w:kern w:val="2"/>
                <w:sz w:val="21"/>
                <w:szCs w:val="21"/>
                <w:lang w:val="en-US" w:eastAsia="zh-CN" w:bidi="ar-SA"/>
              </w:rPr>
            </w:pPr>
            <w:r>
              <w:rPr>
                <w:rFonts w:hint="eastAsia" w:ascii="宋体" w:hAnsi="宋体" w:eastAsia="宋体" w:cs="宋体"/>
                <w:sz w:val="21"/>
                <w:szCs w:val="21"/>
                <w:lang w:val="en-US" w:eastAsia="zh-CN"/>
              </w:rPr>
              <w:t>1</w:t>
            </w:r>
            <w:r>
              <w:rPr>
                <w:rFonts w:hint="eastAsia" w:ascii="微软雅黑" w:hAnsi="微软雅黑" w:eastAsia="微软雅黑" w:cs="微软雅黑"/>
                <w:color w:val="auto"/>
                <w:kern w:val="2"/>
                <w:sz w:val="21"/>
                <w:szCs w:val="21"/>
                <w:lang w:val="en-US" w:eastAsia="zh-CN" w:bidi="ar-SA"/>
              </w:rPr>
              <w:t>.该项目可在投标现场进行二次报价。</w:t>
            </w:r>
          </w:p>
          <w:p>
            <w:pPr>
              <w:spacing w:line="360" w:lineRule="auto"/>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2.该项目报价须对设备包干总价和易损易耗件单价分别进行报价，包括完成货物、运输、验收及其他本项目所需的所有费用及各种应纳的税费。因中标人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6"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rPr>
              <w:t>付款方式</w:t>
            </w:r>
          </w:p>
        </w:tc>
        <w:tc>
          <w:tcPr>
            <w:tcW w:w="4303" w:type="pct"/>
            <w:vAlign w:val="center"/>
          </w:tcPr>
          <w:p>
            <w:pPr>
              <w:spacing w:line="360" w:lineRule="auto"/>
              <w:rPr>
                <w:rFonts w:hint="default"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1.中标人</w:t>
            </w:r>
            <w:r>
              <w:rPr>
                <w:rFonts w:hint="default" w:ascii="微软雅黑" w:hAnsi="微软雅黑" w:eastAsia="微软雅黑" w:cs="微软雅黑"/>
                <w:color w:val="auto"/>
                <w:kern w:val="2"/>
                <w:sz w:val="21"/>
                <w:szCs w:val="21"/>
                <w:lang w:val="en-US" w:eastAsia="zh-CN" w:bidi="ar-SA"/>
              </w:rPr>
              <w:t>按采购合同交货并安装调试完成，经验收合格后采购人出具项目验收报告；</w:t>
            </w:r>
          </w:p>
          <w:p>
            <w:pPr>
              <w:spacing w:line="360" w:lineRule="auto"/>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2.中标人</w:t>
            </w:r>
            <w:r>
              <w:rPr>
                <w:rFonts w:hint="default" w:ascii="微软雅黑" w:hAnsi="微软雅黑" w:eastAsia="微软雅黑" w:cs="微软雅黑"/>
                <w:color w:val="auto"/>
                <w:kern w:val="2"/>
                <w:sz w:val="21"/>
                <w:szCs w:val="21"/>
                <w:lang w:val="en-US" w:eastAsia="zh-CN" w:bidi="ar-SA"/>
              </w:rPr>
              <w:t>向采购人开具发票，采购人于</w:t>
            </w:r>
            <w:r>
              <w:rPr>
                <w:rFonts w:hint="eastAsia" w:ascii="微软雅黑" w:hAnsi="微软雅黑" w:eastAsia="微软雅黑" w:cs="微软雅黑"/>
                <w:color w:val="auto"/>
                <w:kern w:val="2"/>
                <w:sz w:val="21"/>
                <w:szCs w:val="21"/>
                <w:lang w:val="en-US" w:eastAsia="zh-CN" w:bidi="ar-SA"/>
              </w:rPr>
              <w:t>2个月</w:t>
            </w:r>
            <w:r>
              <w:rPr>
                <w:rFonts w:hint="default" w:ascii="微软雅黑" w:hAnsi="微软雅黑" w:eastAsia="微软雅黑" w:cs="微软雅黑"/>
                <w:color w:val="auto"/>
                <w:kern w:val="2"/>
                <w:sz w:val="21"/>
                <w:szCs w:val="21"/>
                <w:lang w:val="en-US" w:eastAsia="zh-CN" w:bidi="ar-SA"/>
              </w:rPr>
              <w:t>内以转账方式向</w:t>
            </w:r>
            <w:r>
              <w:rPr>
                <w:rFonts w:hint="eastAsia" w:ascii="微软雅黑" w:hAnsi="微软雅黑" w:eastAsia="微软雅黑" w:cs="微软雅黑"/>
                <w:color w:val="auto"/>
                <w:kern w:val="2"/>
                <w:sz w:val="21"/>
                <w:szCs w:val="21"/>
                <w:lang w:val="en-US" w:eastAsia="zh-CN" w:bidi="ar-SA"/>
              </w:rPr>
              <w:t>中标人</w:t>
            </w:r>
            <w:r>
              <w:rPr>
                <w:rFonts w:hint="default" w:ascii="微软雅黑" w:hAnsi="微软雅黑" w:eastAsia="微软雅黑" w:cs="微软雅黑"/>
                <w:color w:val="auto"/>
                <w:kern w:val="2"/>
                <w:sz w:val="21"/>
                <w:szCs w:val="21"/>
                <w:lang w:val="en-US" w:eastAsia="zh-CN" w:bidi="ar-SA"/>
              </w:rPr>
              <w:t>支付合同全款</w:t>
            </w:r>
            <w:r>
              <w:rPr>
                <w:rFonts w:hint="eastAsia" w:ascii="微软雅黑" w:hAnsi="微软雅黑" w:eastAsia="微软雅黑" w:cs="微软雅黑"/>
                <w:color w:val="auto"/>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6"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0000FF"/>
                <w:sz w:val="24"/>
                <w:szCs w:val="24"/>
                <w:lang w:val="en-US" w:eastAsia="zh-CN"/>
              </w:rPr>
            </w:pPr>
            <w:r>
              <w:rPr>
                <w:rFonts w:hint="eastAsia" w:ascii="微软雅黑" w:hAnsi="微软雅黑" w:eastAsia="微软雅黑" w:cs="微软雅黑"/>
                <w:b/>
                <w:bCs/>
                <w:color w:val="auto"/>
                <w:sz w:val="24"/>
                <w:szCs w:val="24"/>
                <w:lang w:val="en-US" w:eastAsia="zh-CN"/>
              </w:rPr>
              <w:t>知识产权</w:t>
            </w:r>
          </w:p>
        </w:tc>
        <w:tc>
          <w:tcPr>
            <w:tcW w:w="4303" w:type="pct"/>
            <w:vAlign w:val="center"/>
          </w:tcPr>
          <w:p>
            <w:pPr>
              <w:pStyle w:val="144"/>
              <w:snapToGrid w:val="0"/>
              <w:spacing w:line="400" w:lineRule="exact"/>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医院在中国境内使用投标人提供的货物及服务时免受第三方提出的侵犯其专利权或其他知识产权的起诉。如有第三方提出侵权指控，中标人应承担由此引起的一切法律责任和费用。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696"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其他</w:t>
            </w:r>
          </w:p>
        </w:tc>
        <w:tc>
          <w:tcPr>
            <w:tcW w:w="4303" w:type="pct"/>
            <w:vAlign w:val="center"/>
          </w:tcPr>
          <w:p>
            <w:pPr>
              <w:spacing w:line="360" w:lineRule="auto"/>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1.投标人必须在响应文件中对以上条款和服务承诺明确列出，承诺内容必须达到本篇及协商文件其他条款的要求。</w:t>
            </w:r>
          </w:p>
          <w:p>
            <w:pPr>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2.其他未尽事宜由供需双方在采购合同中详细约定。</w:t>
            </w:r>
          </w:p>
        </w:tc>
      </w:tr>
    </w:tbl>
    <w:p>
      <w:pPr>
        <w:rPr>
          <w:rFonts w:hint="eastAsia" w:ascii="微软雅黑" w:hAnsi="微软雅黑" w:eastAsia="微软雅黑" w:cs="微软雅黑"/>
          <w:b/>
          <w:sz w:val="44"/>
        </w:rPr>
      </w:pPr>
      <w:bookmarkStart w:id="112" w:name="_Toc106030887"/>
      <w:bookmarkStart w:id="113" w:name="_Toc76462332"/>
      <w:bookmarkStart w:id="114" w:name="_Toc6692"/>
      <w:r>
        <w:rPr>
          <w:rFonts w:hint="eastAsia" w:ascii="微软雅黑" w:hAnsi="微软雅黑" w:eastAsia="微软雅黑" w:cs="微软雅黑"/>
          <w:b/>
          <w:sz w:val="44"/>
        </w:rPr>
        <w:br w:type="page"/>
      </w:r>
    </w:p>
    <w:p>
      <w:pPr>
        <w:pStyle w:val="4"/>
        <w:spacing w:before="200" w:after="200" w:line="240" w:lineRule="auto"/>
        <w:jc w:val="center"/>
        <w:rPr>
          <w:rFonts w:hint="eastAsia" w:ascii="微软雅黑" w:hAnsi="微软雅黑" w:eastAsia="微软雅黑" w:cs="微软雅黑"/>
          <w:sz w:val="44"/>
        </w:rPr>
      </w:pPr>
      <w:bookmarkStart w:id="115" w:name="_Toc19431"/>
      <w:r>
        <w:rPr>
          <w:rFonts w:hint="eastAsia" w:ascii="微软雅黑" w:hAnsi="微软雅黑" w:eastAsia="微软雅黑" w:cs="微软雅黑"/>
          <w:sz w:val="44"/>
        </w:rPr>
        <w:t>第四篇  公开比选采购程序及方法、评审标准、无效响应和采购终止</w:t>
      </w:r>
      <w:bookmarkEnd w:id="112"/>
      <w:bookmarkEnd w:id="113"/>
      <w:bookmarkEnd w:id="114"/>
      <w:bookmarkEnd w:id="115"/>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6" w:name="_Toc26127"/>
      <w:bookmarkStart w:id="117" w:name="_Toc106030888"/>
      <w:bookmarkStart w:id="118" w:name="_Toc14958"/>
      <w:bookmarkStart w:id="119" w:name="_Toc76462333"/>
      <w:r>
        <w:rPr>
          <w:rFonts w:hint="eastAsia" w:ascii="微软雅黑" w:hAnsi="微软雅黑" w:eastAsia="微软雅黑" w:cs="微软雅黑"/>
          <w:sz w:val="24"/>
        </w:rPr>
        <w:t>一、公开比选采购程序</w:t>
      </w:r>
      <w:bookmarkEnd w:id="116"/>
      <w:bookmarkEnd w:id="117"/>
      <w:bookmarkEnd w:id="118"/>
      <w:bookmarkEnd w:id="119"/>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（一）按公开比选采购文件规定的时间和地点进行，投标人须有法定代表人（或其授权代表）或自然人参加。</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（二）比选小组对各投标人的资格条件进行审查。各投标人只有在完全符合要求的前提下，才能参与正式比选。</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依据法律法规和公开比选采购文件的规定，对响应文件中的资格证明等进行审查，以确定投标人是否具备比选资格。资格性审查资料表如下：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序号</w:t>
            </w:r>
          </w:p>
        </w:tc>
        <w:tc>
          <w:tcPr>
            <w:tcW w:w="3706" w:type="dxa"/>
            <w:gridSpan w:val="2"/>
            <w:tcBorders>
              <w:top w:val="single" w:color="auto" w:sz="4" w:space="0"/>
              <w:left w:val="single" w:color="auto" w:sz="4" w:space="0"/>
              <w:bottom w:val="single" w:color="auto" w:sz="4" w:space="0"/>
              <w:right w:val="single" w:color="auto" w:sz="4" w:space="0"/>
            </w:tcBorders>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检查因素</w:t>
            </w:r>
          </w:p>
        </w:tc>
        <w:tc>
          <w:tcPr>
            <w:tcW w:w="5105" w:type="dxa"/>
            <w:tcBorders>
              <w:top w:val="single" w:color="auto" w:sz="4" w:space="0"/>
              <w:left w:val="single" w:color="auto" w:sz="4" w:space="0"/>
              <w:bottom w:val="single" w:color="auto" w:sz="4" w:space="0"/>
              <w:right w:val="single" w:color="auto" w:sz="4" w:space="0"/>
            </w:tcBorders>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（一）</w:t>
            </w:r>
          </w:p>
        </w:tc>
        <w:tc>
          <w:tcPr>
            <w:tcW w:w="891" w:type="dxa"/>
            <w:vMerge w:val="restar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《中华人民共和国政府采购法》第二十二条规定</w:t>
            </w: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1.具有独立承担民事责任的能力</w:t>
            </w:r>
          </w:p>
        </w:tc>
        <w:tc>
          <w:tcPr>
            <w:tcW w:w="510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 xml:space="preserve">1.投标人法人营业执照（副本）或事业单位法人证书（副本）或个体工商户营业执照或有效的自然人身份证明或社会团体法人登记证书（提供复印件）。 </w:t>
            </w:r>
          </w:p>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2.投标人法定代表人身份证明和法定代表人授权代表委托书。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lang w:val="zh-CN"/>
              </w:rPr>
              <w:t>2.</w:t>
            </w:r>
            <w:r>
              <w:rPr>
                <w:rFonts w:hint="eastAsia" w:ascii="微软雅黑" w:hAnsi="微软雅黑" w:eastAsia="微软雅黑" w:cs="微软雅黑"/>
                <w:szCs w:val="21"/>
              </w:rPr>
              <w:t>具有良好的商业信誉和健全的财务会计制度</w:t>
            </w:r>
          </w:p>
        </w:tc>
        <w:tc>
          <w:tcPr>
            <w:tcW w:w="5105" w:type="dxa"/>
            <w:vMerge w:val="restar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投标人提供“基本资格条件承诺函”（格式详见第六篇）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3.具有履行合同所必需的设备和专业技术能力</w:t>
            </w:r>
          </w:p>
        </w:tc>
        <w:tc>
          <w:tcPr>
            <w:tcW w:w="5105"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4.有依法缴纳税收和社会保障金的良好记录</w:t>
            </w:r>
          </w:p>
        </w:tc>
        <w:tc>
          <w:tcPr>
            <w:tcW w:w="5105"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rPr>
              <w:t>5.参加政府采购活动前三年内，在经营活动中没有重大违法记录</w:t>
            </w:r>
          </w:p>
        </w:tc>
        <w:tc>
          <w:tcPr>
            <w:tcW w:w="5105"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6.法律、行政法规规定的其他条件</w:t>
            </w:r>
          </w:p>
        </w:tc>
        <w:tc>
          <w:tcPr>
            <w:tcW w:w="5105" w:type="dxa"/>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7.本项目的特定资格要求</w:t>
            </w:r>
          </w:p>
        </w:tc>
        <w:tc>
          <w:tcPr>
            <w:tcW w:w="510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按“第一篇</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、投标人资格要求（</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（二）</w:t>
            </w:r>
          </w:p>
        </w:tc>
        <w:tc>
          <w:tcPr>
            <w:tcW w:w="891"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保证金</w:t>
            </w:r>
          </w:p>
        </w:tc>
        <w:tc>
          <w:tcPr>
            <w:tcW w:w="2815" w:type="dxa"/>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5105"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按照比选文件要求足额交纳保证金。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（三）</w:t>
            </w:r>
          </w:p>
        </w:tc>
        <w:tc>
          <w:tcPr>
            <w:tcW w:w="891"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IP地址</w:t>
            </w:r>
          </w:p>
        </w:tc>
        <w:tc>
          <w:tcPr>
            <w:tcW w:w="2815" w:type="dxa"/>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5105"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投标人在采购人指定招标平台进行报名或提交响应文件时，是否出现与其他投标人IP地址重复的情况。如果有则视为存在围标和串标风险，取消所有IP地址重复的投标人的投标资格。</w:t>
            </w:r>
          </w:p>
        </w:tc>
      </w:tr>
    </w:tbl>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注：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20" w:name="_Toc27374"/>
      <w:r>
        <w:rPr>
          <w:rFonts w:hint="eastAsia" w:ascii="微软雅黑" w:hAnsi="微软雅黑" w:eastAsia="微软雅黑" w:cs="微软雅黑"/>
          <w:sz w:val="24"/>
        </w:rPr>
        <w:t>二、评标方法</w:t>
      </w:r>
      <w:bookmarkEnd w:id="120"/>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本项目采用最低价评标法进行评标。</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最低价评标法，是指响应文件满足公开比选采购文件全部实质性要求且投标报价最低的投标人为中标候选人的评标方法。</w:t>
      </w:r>
    </w:p>
    <w:p>
      <w:pPr>
        <w:snapToGrid w:val="0"/>
        <w:spacing w:line="400" w:lineRule="exact"/>
        <w:ind w:firstLine="480" w:firstLineChars="200"/>
        <w:rPr>
          <w:rFonts w:hint="eastAsia" w:ascii="微软雅黑" w:hAnsi="微软雅黑" w:eastAsia="微软雅黑" w:cs="微软雅黑"/>
          <w:kern w:val="0"/>
          <w:sz w:val="24"/>
          <w:szCs w:val="24"/>
        </w:rPr>
      </w:pPr>
      <w:bookmarkStart w:id="121" w:name="_Toc106030889"/>
      <w:bookmarkStart w:id="122" w:name="_Toc24315"/>
      <w:bookmarkStart w:id="123" w:name="_Toc76462334"/>
      <w:bookmarkStart w:id="124" w:name="_Toc30944"/>
      <w:bookmarkStart w:id="125" w:name="_Toc342913394"/>
      <w:bookmarkStart w:id="126" w:name="_Toc102227320"/>
      <w:r>
        <w:rPr>
          <w:rFonts w:hint="eastAsia" w:ascii="微软雅黑" w:hAnsi="微软雅黑" w:eastAsia="微软雅黑" w:cs="微软雅黑"/>
          <w:kern w:val="0"/>
          <w:sz w:val="24"/>
          <w:szCs w:val="24"/>
        </w:rPr>
        <w:t>（一）比较与评价。按比选采购文件中规定的评标方法和标准，对资格审查和符合性审查合格的响应文件进行商务和技术评估。</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 xml:space="preserve">提供相同品牌产品且通过资格审查、符合性审查的不同投标人参加的，按一家投标人计算。 </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（二）推荐中标候选人名单。</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推荐响应文件满足公开比选采购文件全部实质性要求，依据投标价格按照由低到高的顺序排名前三的投标人为中标候选人，其中排名第一的投标人为第一中标候选人。</w:t>
      </w:r>
    </w:p>
    <w:p>
      <w:pPr>
        <w:snapToGrid w:val="0"/>
        <w:spacing w:line="400" w:lineRule="exact"/>
        <w:ind w:firstLine="480" w:firstLineChars="200"/>
        <w:rPr>
          <w:rFonts w:hint="eastAsia" w:ascii="微软雅黑" w:hAnsi="微软雅黑" w:eastAsia="微软雅黑" w:cs="微软雅黑"/>
          <w:kern w:val="0"/>
          <w:sz w:val="24"/>
          <w:szCs w:val="24"/>
          <w:lang w:eastAsia="zh-CN"/>
        </w:rPr>
      </w:pPr>
      <w:r>
        <w:rPr>
          <w:rFonts w:hint="eastAsia" w:ascii="微软雅黑" w:hAnsi="微软雅黑" w:eastAsia="微软雅黑" w:cs="微软雅黑"/>
          <w:kern w:val="0"/>
          <w:sz w:val="24"/>
          <w:szCs w:val="24"/>
        </w:rPr>
        <w:t>评标结果按投标报价由低到高顺序排列，若投标报价相同的由评标小组推荐中标候选人。</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三、报价方式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该项目可在开标现场进行二次报价。</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四、评审标准</w:t>
      </w:r>
      <w:bookmarkEnd w:id="121"/>
      <w:bookmarkEnd w:id="122"/>
      <w:bookmarkEnd w:id="123"/>
      <w:bookmarkEnd w:id="124"/>
    </w:p>
    <w:p>
      <w:pPr>
        <w:snapToGrid w:val="0"/>
        <w:spacing w:line="400" w:lineRule="exact"/>
        <w:ind w:firstLine="480" w:firstLineChars="200"/>
        <w:rPr>
          <w:rFonts w:hint="eastAsia" w:ascii="微软雅黑" w:hAnsi="微软雅黑" w:eastAsia="微软雅黑" w:cs="微软雅黑"/>
          <w:sz w:val="24"/>
          <w:szCs w:val="24"/>
        </w:rPr>
      </w:pPr>
      <w:bookmarkStart w:id="127" w:name="_Toc76462335"/>
      <w:bookmarkStart w:id="128" w:name="_Toc31497"/>
      <w:bookmarkStart w:id="129" w:name="_Toc106030890"/>
      <w:r>
        <w:rPr>
          <w:rFonts w:hint="eastAsia" w:ascii="微软雅黑" w:hAnsi="微软雅黑" w:eastAsia="微软雅黑" w:cs="微软雅黑"/>
          <w:sz w:val="24"/>
          <w:szCs w:val="24"/>
        </w:rPr>
        <w:t>（一）关于技术（质量）、商务偏离</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1.响应文件投标应答有一条及以上不满足公开比选采购文件“第二篇 项目技术（质量）需求”要求的，投标人将失去成为中标候选人的资格；</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2.响应文件投标应答有一条及以上不满足公开比选采购文件“第三篇 项目商务需求”要求的，投标人将失去成为合格投标人的资格；</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30" w:name="_Toc17606"/>
      <w:r>
        <w:rPr>
          <w:rFonts w:hint="eastAsia" w:ascii="微软雅黑" w:hAnsi="微软雅黑" w:eastAsia="微软雅黑" w:cs="微软雅黑"/>
          <w:sz w:val="24"/>
        </w:rPr>
        <w:t>四、无效响应</w:t>
      </w:r>
      <w:bookmarkEnd w:id="127"/>
      <w:bookmarkEnd w:id="128"/>
      <w:bookmarkEnd w:id="129"/>
      <w:bookmarkEnd w:id="130"/>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投标人发生以下条款情况之一者，视为无效响应，其响应文件将被拒绝：</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不符合规定的资格条件的；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的法定代表人（或其授权代表）或自然人未</w:t>
      </w:r>
      <w:r>
        <w:rPr>
          <w:rFonts w:hint="eastAsia" w:ascii="微软雅黑" w:hAnsi="微软雅黑" w:eastAsia="微软雅黑" w:cs="微软雅黑"/>
          <w:sz w:val="24"/>
          <w:szCs w:val="24"/>
          <w:lang w:val="en-US" w:eastAsia="zh-CN"/>
        </w:rPr>
        <w:t>在采购人规定时间内到达开标现场进行签到并提交纸质版响应文件的</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所提交的响应文件不按“第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篇响应文件编制要求”要求签署或盖章；</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的最后报价超过采购预算或最高限价的；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（五）法定代表人为同一个人的两个及两个以上法人，母公司、全资子公司及其控股公司，在同一包采购中同时参与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（六）单位负责人为同一人或者存在直接控股、管理关系的不同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，参加同一合同项下的采购活动的；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（七）为采购项目提供整体设计、规范编制或者项目管理、监理、检测等服务的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，再参加该采购项目的其他采购活动；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（八）</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磋商有效期不满足</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文件要求的；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（九）</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（十）法律、法规和</w:t>
      </w:r>
      <w:r>
        <w:rPr>
          <w:rFonts w:hint="eastAsia" w:ascii="微软雅黑" w:hAnsi="微软雅黑" w:eastAsia="微软雅黑" w:cs="微软雅黑"/>
          <w:sz w:val="24"/>
          <w:szCs w:val="24"/>
          <w:lang w:val="en-US" w:eastAsia="zh-CN"/>
        </w:rPr>
        <w:t>遴选</w:t>
      </w:r>
      <w:r>
        <w:rPr>
          <w:rFonts w:hint="eastAsia" w:ascii="微软雅黑" w:hAnsi="微软雅黑" w:eastAsia="微软雅黑" w:cs="微软雅黑"/>
          <w:sz w:val="24"/>
          <w:szCs w:val="24"/>
          <w:lang w:eastAsia="zh-CN"/>
        </w:rPr>
        <w:t>文件规定的其他无效情形。</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31" w:name="_Toc12222"/>
      <w:bookmarkStart w:id="132" w:name="_Toc76462336"/>
      <w:bookmarkStart w:id="133" w:name="_Toc106030891"/>
      <w:bookmarkStart w:id="134" w:name="_Toc10687"/>
      <w:r>
        <w:rPr>
          <w:rFonts w:hint="eastAsia" w:ascii="微软雅黑" w:hAnsi="微软雅黑" w:eastAsia="微软雅黑" w:cs="微软雅黑"/>
          <w:sz w:val="24"/>
        </w:rPr>
        <w:t>五、</w:t>
      </w:r>
      <w:bookmarkEnd w:id="125"/>
      <w:bookmarkEnd w:id="126"/>
      <w:bookmarkEnd w:id="131"/>
      <w:bookmarkEnd w:id="132"/>
      <w:bookmarkEnd w:id="133"/>
      <w:bookmarkEnd w:id="134"/>
      <w:r>
        <w:rPr>
          <w:rFonts w:hint="eastAsia" w:ascii="微软雅黑" w:hAnsi="微软雅黑" w:eastAsia="微软雅黑" w:cs="微软雅黑"/>
          <w:sz w:val="24"/>
        </w:rPr>
        <w:t>废标条款</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（一）因情况变化，不再符合规定的公开比选采购方式适用情形的；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（二）出现影响采购公正的违法、违规行为的；</w:t>
      </w:r>
    </w:p>
    <w:p>
      <w:pPr>
        <w:snapToGrid w:val="0"/>
        <w:spacing w:line="400" w:lineRule="exact"/>
        <w:ind w:firstLine="465"/>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（三）在采购过程中符合要求的投标人或者报价未超过采购预算的投标人不足3家的；</w:t>
      </w:r>
      <w:r>
        <w:rPr>
          <w:rFonts w:hint="eastAsia" w:ascii="微软雅黑" w:hAnsi="微软雅黑" w:eastAsia="微软雅黑" w:cs="微软雅黑"/>
          <w:sz w:val="24"/>
          <w:szCs w:val="24"/>
          <w:lang w:eastAsia="zh-CN"/>
        </w:rPr>
        <w:t>（挂网次数大于等于</w:t>
      </w:r>
      <w:r>
        <w:rPr>
          <w:rFonts w:hint="eastAsia" w:ascii="微软雅黑" w:hAnsi="微软雅黑" w:eastAsia="微软雅黑" w:cs="微软雅黑"/>
          <w:sz w:val="24"/>
          <w:szCs w:val="24"/>
          <w:lang w:val="en-US" w:eastAsia="zh-CN"/>
        </w:rPr>
        <w:t>3家的除外</w:t>
      </w:r>
      <w:r>
        <w:rPr>
          <w:rFonts w:hint="eastAsia" w:ascii="微软雅黑" w:hAnsi="微软雅黑" w:eastAsia="微软雅黑" w:cs="微软雅黑"/>
          <w:sz w:val="24"/>
          <w:szCs w:val="24"/>
          <w:lang w:eastAsia="zh-CN"/>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（四）采购任务变更或取消的。</w:t>
      </w:r>
    </w:p>
    <w:p>
      <w:pPr>
        <w:spacing w:line="400" w:lineRule="exact"/>
        <w:ind w:firstLine="480" w:firstLineChars="200"/>
        <w:rPr>
          <w:rFonts w:hint="eastAsia" w:ascii="微软雅黑" w:hAnsi="微软雅黑" w:eastAsia="微软雅黑" w:cs="微软雅黑"/>
          <w:sz w:val="24"/>
          <w:szCs w:val="24"/>
        </w:rPr>
        <w:sectPr>
          <w:footerReference r:id="rId8" w:type="default"/>
          <w:pgSz w:w="11907" w:h="16840"/>
          <w:pgMar w:top="1134" w:right="1191" w:bottom="1134" w:left="1304" w:header="964" w:footer="992" w:gutter="0"/>
          <w:pgNumType w:fmt="numberInDash"/>
          <w:cols w:space="720" w:num="1"/>
          <w:docGrid w:linePitch="312" w:charSpace="0"/>
        </w:sectPr>
      </w:pPr>
    </w:p>
    <w:p>
      <w:pPr>
        <w:pStyle w:val="4"/>
        <w:spacing w:before="200" w:after="200" w:line="240" w:lineRule="auto"/>
        <w:jc w:val="center"/>
        <w:rPr>
          <w:rFonts w:hint="eastAsia" w:ascii="微软雅黑" w:hAnsi="微软雅黑" w:eastAsia="微软雅黑" w:cs="微软雅黑"/>
          <w:sz w:val="44"/>
        </w:rPr>
      </w:pPr>
      <w:bookmarkStart w:id="135" w:name="_Toc29948"/>
      <w:bookmarkStart w:id="136" w:name="_Toc102227313"/>
      <w:bookmarkStart w:id="137" w:name="_Toc76462337"/>
      <w:bookmarkStart w:id="138" w:name="_Toc106030892"/>
      <w:bookmarkStart w:id="139" w:name="_Toc13119"/>
      <w:r>
        <w:rPr>
          <w:rFonts w:hint="eastAsia" w:ascii="微软雅黑" w:hAnsi="微软雅黑" w:eastAsia="微软雅黑" w:cs="微软雅黑"/>
          <w:sz w:val="44"/>
        </w:rPr>
        <w:t>第五篇  投标人须知</w:t>
      </w:r>
      <w:bookmarkEnd w:id="135"/>
      <w:bookmarkEnd w:id="136"/>
      <w:bookmarkEnd w:id="137"/>
      <w:bookmarkEnd w:id="138"/>
      <w:bookmarkEnd w:id="139"/>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0" w:name="_Toc20271"/>
      <w:bookmarkStart w:id="141" w:name="_Toc342913389"/>
      <w:bookmarkStart w:id="142" w:name="_Toc26717"/>
      <w:bookmarkStart w:id="143" w:name="_Toc76462338"/>
      <w:bookmarkStart w:id="144" w:name="_Toc106030893"/>
      <w:r>
        <w:rPr>
          <w:rFonts w:hint="eastAsia" w:ascii="微软雅黑" w:hAnsi="微软雅黑" w:eastAsia="微软雅黑" w:cs="微软雅黑"/>
          <w:sz w:val="24"/>
        </w:rPr>
        <w:t>一、公开比选费用</w:t>
      </w:r>
      <w:bookmarkEnd w:id="140"/>
      <w:bookmarkEnd w:id="141"/>
      <w:bookmarkEnd w:id="142"/>
      <w:bookmarkEnd w:id="143"/>
      <w:bookmarkEnd w:id="144"/>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参与比选的投标人应承担其编制响应文件与递交响应文件所涉及的一切费用，不论比选结果如何，采购人在任何情况下无义务也无责任承担这些费用。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5" w:name="_Toc342913391"/>
      <w:bookmarkStart w:id="146" w:name="_Toc106030894"/>
      <w:bookmarkStart w:id="147" w:name="_Toc27891"/>
      <w:bookmarkStart w:id="148" w:name="_Toc76462339"/>
      <w:bookmarkStart w:id="149" w:name="_Toc15712"/>
      <w:r>
        <w:rPr>
          <w:rFonts w:hint="eastAsia" w:ascii="微软雅黑" w:hAnsi="微软雅黑" w:eastAsia="微软雅黑" w:cs="微软雅黑"/>
          <w:sz w:val="24"/>
        </w:rPr>
        <w:t>二、公开比选采购文件</w:t>
      </w:r>
      <w:bookmarkEnd w:id="145"/>
      <w:bookmarkEnd w:id="146"/>
      <w:bookmarkEnd w:id="147"/>
      <w:bookmarkEnd w:id="148"/>
      <w:bookmarkEnd w:id="149"/>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（一）公开比选采购文件由采购邀请书、项目服务需求、投标人须知、项目商务需求、比选程序及方法、评审标准、无效响应和采购终止、投标人须知</w:t>
      </w:r>
      <w:r>
        <w:rPr>
          <w:rFonts w:hint="eastAsia" w:ascii="微软雅黑" w:hAnsi="微软雅黑" w:eastAsia="微软雅黑" w:cs="微软雅黑"/>
          <w:b/>
          <w:sz w:val="24"/>
          <w:szCs w:val="24"/>
        </w:rPr>
        <w:t>、</w:t>
      </w:r>
      <w:r>
        <w:rPr>
          <w:rFonts w:hint="eastAsia" w:ascii="微软雅黑" w:hAnsi="微软雅黑" w:eastAsia="微软雅黑" w:cs="微软雅黑"/>
          <w:sz w:val="24"/>
          <w:szCs w:val="24"/>
        </w:rPr>
        <w:t>响应文件编制要求六部分组成。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（二）采购人所作的一切有效的书面通知、修改及补充，都是公开比选采购文件不可分割的部分。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（三）公开比选采购文件的解释</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如对公开比选采购文件有疑问，必须以书面形式在提交响应文件截止时间2个工作日前向采购人要求澄清，采购人可视具体情况做出处理或答复。如投标人未提出疑问，视为完全理解并同意本公开比选采购文件。一经进入比选程序，即视为投标人已详细阅读全部文件资料，完全理解公开比选采购文件所有条款内容并同意放弃对这方面有不明白及误解的权利。</w:t>
      </w:r>
      <w:bookmarkStart w:id="150" w:name="_Toc318159160"/>
      <w:bookmarkStart w:id="151" w:name="_Toc318159349"/>
      <w:bookmarkStart w:id="152" w:name="_Toc318159780"/>
      <w:bookmarkStart w:id="153" w:name="_Toc318166429"/>
    </w:p>
    <w:bookmarkEnd w:id="150"/>
    <w:bookmarkEnd w:id="151"/>
    <w:bookmarkEnd w:id="152"/>
    <w:bookmarkEnd w:id="153"/>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4" w:name="_Toc342913392"/>
      <w:bookmarkStart w:id="155" w:name="_Toc26007"/>
      <w:bookmarkStart w:id="156" w:name="_Toc106030895"/>
      <w:bookmarkStart w:id="157" w:name="_Toc76462340"/>
      <w:bookmarkStart w:id="158" w:name="_Toc102227318"/>
      <w:bookmarkStart w:id="159" w:name="_Toc179714297"/>
      <w:bookmarkStart w:id="160" w:name="_Toc20510"/>
      <w:r>
        <w:rPr>
          <w:rFonts w:hint="eastAsia" w:ascii="微软雅黑" w:hAnsi="微软雅黑" w:eastAsia="微软雅黑" w:cs="微软雅黑"/>
          <w:sz w:val="24"/>
        </w:rPr>
        <w:t>三、比选要求</w:t>
      </w:r>
      <w:bookmarkEnd w:id="154"/>
      <w:bookmarkEnd w:id="155"/>
      <w:bookmarkEnd w:id="156"/>
      <w:bookmarkEnd w:id="157"/>
      <w:bookmarkEnd w:id="158"/>
      <w:bookmarkEnd w:id="159"/>
      <w:bookmarkEnd w:id="16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（一）响应文件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1.投标人应当按照公开比选采购文件的要求编制响应文件，并对公开比选采购文件提出的要求和条件作出实质性响应，响应文件原则上采用软面订本，同时应编制完整的页码、目录。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2.响应文件组成</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响应文件由“第六篇响应文件编制要求”规定的部分和投标人所作的一切有效补充、修改和承诺等文件组成，投标人应按照“第六篇响应文件编制要求”规定的目录顺序组织编写和装订，也可在基本格式基础上对表格进行扩展，未规定格式的由投标人自定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（三）修正错误</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若响应文件出现计算或表达上的错误，修正错误的原则如下：</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1.响应文件中开标一览表（报价表）内容与响应文件中相应内容不一致的，以开标一览表（报价表）为准；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2.大写金额和小写金额不一致的，以大写金额为准；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3.单价金额小数点或者百分比有明显错位的，以开标一览表的总价为准，并修改单价；</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4.总价金额与按单价汇总金额不一致的，以单价金额计算结果为准。</w:t>
      </w:r>
    </w:p>
    <w:p>
      <w:pPr>
        <w:widowControl/>
        <w:ind w:firstLine="480" w:firstLineChars="200"/>
        <w:jc w:val="left"/>
        <w:rPr>
          <w:rFonts w:hint="eastAsia" w:ascii="微软雅黑" w:hAnsi="微软雅黑" w:eastAsia="微软雅黑" w:cs="微软雅黑"/>
        </w:rPr>
      </w:pPr>
      <w:r>
        <w:rPr>
          <w:rFonts w:hint="eastAsia" w:ascii="微软雅黑" w:hAnsi="微软雅黑" w:eastAsia="微软雅黑" w:cs="微软雅黑"/>
          <w:sz w:val="24"/>
          <w:szCs w:val="24"/>
        </w:rPr>
        <w:t>比选小组</w:t>
      </w:r>
      <w:r>
        <w:rPr>
          <w:rFonts w:hint="eastAsia" w:ascii="微软雅黑" w:hAnsi="微软雅黑" w:eastAsia="微软雅黑" w:cs="微软雅黑"/>
          <w:sz w:val="24"/>
          <w:lang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（四）提交响应文件的份数和签署</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1.响应文件一式</w:t>
      </w:r>
      <w:r>
        <w:rPr>
          <w:rFonts w:hint="eastAsia" w:ascii="微软雅黑" w:hAnsi="微软雅黑" w:eastAsia="微软雅黑" w:cs="微软雅黑"/>
          <w:sz w:val="24"/>
          <w:szCs w:val="24"/>
          <w:lang w:eastAsia="zh-CN"/>
        </w:rPr>
        <w:t>七</w:t>
      </w:r>
      <w:r>
        <w:rPr>
          <w:rFonts w:hint="eastAsia" w:ascii="微软雅黑" w:hAnsi="微软雅黑" w:eastAsia="微软雅黑" w:cs="微软雅黑"/>
          <w:sz w:val="24"/>
          <w:szCs w:val="24"/>
        </w:rPr>
        <w:t>份，其中正本一份，副本</w:t>
      </w:r>
      <w:r>
        <w:rPr>
          <w:rFonts w:hint="eastAsia" w:ascii="微软雅黑" w:hAnsi="微软雅黑" w:eastAsia="微软雅黑" w:cs="微软雅黑"/>
          <w:sz w:val="24"/>
          <w:szCs w:val="24"/>
          <w:lang w:eastAsia="zh-CN"/>
        </w:rPr>
        <w:t>六</w:t>
      </w:r>
      <w:r>
        <w:rPr>
          <w:rFonts w:hint="eastAsia" w:ascii="微软雅黑" w:hAnsi="微软雅黑" w:eastAsia="微软雅黑" w:cs="微软雅黑"/>
          <w:sz w:val="24"/>
          <w:szCs w:val="24"/>
        </w:rPr>
        <w:t>份，电子文档</w:t>
      </w:r>
      <w:r>
        <w:rPr>
          <w:rFonts w:hint="eastAsia" w:ascii="微软雅黑" w:hAnsi="微软雅黑" w:eastAsia="微软雅黑" w:cs="微软雅黑"/>
          <w:b/>
          <w:bCs/>
          <w:color w:val="auto"/>
          <w:sz w:val="24"/>
          <w:szCs w:val="24"/>
        </w:rPr>
        <w:t>（</w:t>
      </w:r>
      <w:r>
        <w:rPr>
          <w:rFonts w:hint="eastAsia" w:ascii="微软雅黑" w:hAnsi="微软雅黑" w:eastAsia="微软雅黑" w:cs="微软雅黑"/>
          <w:b/>
          <w:bCs/>
          <w:color w:val="auto"/>
          <w:sz w:val="24"/>
          <w:szCs w:val="24"/>
          <w:u w:val="single"/>
          <w:lang w:val="en-US" w:eastAsia="zh-CN"/>
        </w:rPr>
        <w:t>电子文档须将完整的响应文件</w:t>
      </w:r>
      <w:r>
        <w:rPr>
          <w:rFonts w:hint="eastAsia" w:ascii="微软雅黑" w:hAnsi="微软雅黑" w:eastAsia="微软雅黑" w:cs="微软雅黑"/>
          <w:b/>
          <w:bCs/>
          <w:color w:val="auto"/>
          <w:sz w:val="24"/>
          <w:szCs w:val="24"/>
          <w:u w:val="single"/>
        </w:rPr>
        <w:t>正本PDF版上传到电子招投标平台</w:t>
      </w:r>
      <w:r>
        <w:rPr>
          <w:rFonts w:hint="eastAsia" w:ascii="微软雅黑" w:hAnsi="微软雅黑" w:eastAsia="微软雅黑" w:cs="微软雅黑"/>
          <w:b/>
          <w:bCs/>
          <w:color w:val="auto"/>
          <w:sz w:val="24"/>
          <w:szCs w:val="24"/>
          <w:u w:val="single"/>
          <w:lang w:eastAsia="zh-CN"/>
        </w:rPr>
        <w:t>，</w:t>
      </w:r>
      <w:r>
        <w:rPr>
          <w:rFonts w:hint="eastAsia" w:ascii="微软雅黑" w:hAnsi="微软雅黑" w:eastAsia="微软雅黑" w:cs="微软雅黑"/>
          <w:b/>
          <w:bCs/>
          <w:color w:val="auto"/>
          <w:sz w:val="24"/>
          <w:szCs w:val="24"/>
          <w:u w:val="single"/>
          <w:lang w:val="en-US" w:eastAsia="zh-CN"/>
        </w:rPr>
        <w:t>如电子文档与纸质响应文件的实质性内容出现差异，则视为未报名成功</w:t>
      </w:r>
      <w:r>
        <w:rPr>
          <w:rFonts w:hint="eastAsia" w:ascii="微软雅黑" w:hAnsi="微软雅黑" w:eastAsia="微软雅黑" w:cs="微软雅黑"/>
          <w:b/>
          <w:bCs/>
          <w:color w:val="auto"/>
          <w:sz w:val="24"/>
          <w:szCs w:val="24"/>
        </w:rPr>
        <w:t>）</w:t>
      </w:r>
      <w:r>
        <w:rPr>
          <w:rFonts w:hint="eastAsia" w:ascii="微软雅黑" w:hAnsi="微软雅黑" w:eastAsia="微软雅黑" w:cs="微软雅黑"/>
          <w:sz w:val="24"/>
          <w:szCs w:val="24"/>
        </w:rPr>
        <w:t>一份；副本可为正本的复印件，应与正本一致，如出现不一致情况以正本为准。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rPr>
        <w:t>响应文件按公开比选采购文件“第六篇响应文件编制要求”要求签署或盖章。</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（五）响应文件的递交</w:t>
      </w:r>
    </w:p>
    <w:p>
      <w:pPr>
        <w:pStyle w:val="31"/>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响应文件的正本、副本均应密封送达</w:t>
      </w:r>
      <w:r>
        <w:rPr>
          <w:rFonts w:hint="eastAsia" w:ascii="微软雅黑" w:hAnsi="微软雅黑" w:eastAsia="微软雅黑" w:cs="微软雅黑"/>
          <w:sz w:val="24"/>
          <w:szCs w:val="24"/>
        </w:rPr>
        <w:t>比选</w:t>
      </w:r>
      <w:r>
        <w:rPr>
          <w:rFonts w:hint="eastAsia" w:ascii="微软雅黑" w:hAnsi="微软雅黑" w:eastAsia="微软雅黑" w:cs="微软雅黑"/>
          <w:sz w:val="24"/>
        </w:rPr>
        <w:t>地点，应在封套上注明</w:t>
      </w:r>
      <w:r>
        <w:rPr>
          <w:rFonts w:hint="eastAsia" w:ascii="微软雅黑" w:hAnsi="微软雅黑" w:eastAsia="微软雅黑" w:cs="微软雅黑"/>
          <w:sz w:val="24"/>
          <w:szCs w:val="24"/>
        </w:rPr>
        <w:t>比选</w:t>
      </w:r>
      <w:r>
        <w:rPr>
          <w:rFonts w:hint="eastAsia" w:ascii="微软雅黑" w:hAnsi="微软雅黑" w:eastAsia="微软雅黑" w:cs="微软雅黑"/>
          <w:sz w:val="24"/>
        </w:rPr>
        <w:t>项目名称、投标人名称。若正本、副本分别进行密封的，还应在封套上注明“正本”、“副本”字样；电子文档应在报名截止之前上传至电子招投标平台。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（六）投标人参与人员</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各个投标人应当派1-2名代表参与比选，至少1人应为法定代表人（或其授权代表）或自然人（投标人为自然人）。</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1" w:name="_Toc6435"/>
      <w:bookmarkStart w:id="162" w:name="_Toc106030896"/>
      <w:bookmarkStart w:id="163" w:name="_Toc32166"/>
      <w:bookmarkStart w:id="164" w:name="_Toc76462341"/>
      <w:r>
        <w:rPr>
          <w:rFonts w:hint="eastAsia" w:ascii="微软雅黑" w:hAnsi="微软雅黑" w:eastAsia="微软雅黑" w:cs="微软雅黑"/>
          <w:sz w:val="24"/>
        </w:rPr>
        <w:t>四、</w:t>
      </w: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的确认和变更</w:t>
      </w:r>
      <w:bookmarkEnd w:id="161"/>
      <w:bookmarkEnd w:id="162"/>
      <w:bookmarkEnd w:id="163"/>
      <w:bookmarkEnd w:id="164"/>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的确认</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采购人从评审报告提出的成交候选投标人中，按照排序由高到低的原则确定</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w:t>
      </w:r>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的变更</w:t>
      </w:r>
    </w:p>
    <w:p>
      <w:pPr>
        <w:snapToGrid w:val="0"/>
        <w:spacing w:line="400" w:lineRule="exact"/>
        <w:ind w:firstLine="480" w:firstLineChars="200"/>
        <w:rPr>
          <w:rFonts w:hint="eastAsia" w:ascii="微软雅黑" w:hAnsi="微软雅黑" w:eastAsia="微软雅黑" w:cs="微软雅黑"/>
          <w:color w:val="FF0000"/>
          <w:sz w:val="24"/>
          <w:szCs w:val="24"/>
        </w:rPr>
      </w:pP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拒绝与采购人签订合同的，采购人可以按照评标报告推荐的成交候选投标人顺序，确定排名下一位的候选人为</w:t>
      </w: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，也可以重新开展采购活动。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5" w:name="_Toc102227321"/>
      <w:bookmarkStart w:id="166" w:name="_Toc76462342"/>
      <w:bookmarkStart w:id="167" w:name="_Toc342913395"/>
      <w:bookmarkStart w:id="168" w:name="_Toc106030897"/>
      <w:bookmarkStart w:id="169" w:name="_Toc21532"/>
      <w:bookmarkStart w:id="170" w:name="_Toc2729"/>
      <w:r>
        <w:rPr>
          <w:rFonts w:hint="eastAsia" w:ascii="微软雅黑" w:hAnsi="微软雅黑" w:eastAsia="微软雅黑" w:cs="微软雅黑"/>
          <w:sz w:val="24"/>
        </w:rPr>
        <w:t>五、成交通知</w:t>
      </w:r>
      <w:bookmarkEnd w:id="165"/>
      <w:bookmarkEnd w:id="166"/>
      <w:bookmarkEnd w:id="167"/>
      <w:bookmarkEnd w:id="168"/>
      <w:bookmarkEnd w:id="169"/>
      <w:bookmarkEnd w:id="17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确定后，</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将在重庆医科大学附属儿童医院电子招投标平台（zbb.chcmu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）上发布成交结果公告，结果公告发出同时，</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公室将平台内发出《中标通知书》。</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（二）《中标通知书》将作为签订合同的依据。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71" w:name="_Toc21448"/>
      <w:bookmarkStart w:id="172" w:name="_Toc76462343"/>
      <w:bookmarkStart w:id="173" w:name="_Toc4796"/>
      <w:bookmarkStart w:id="174" w:name="_Toc106030898"/>
      <w:r>
        <w:rPr>
          <w:rFonts w:hint="eastAsia" w:ascii="微软雅黑" w:hAnsi="微软雅黑" w:eastAsia="微软雅黑" w:cs="微软雅黑"/>
          <w:sz w:val="24"/>
        </w:rPr>
        <w:t>六、质疑处理</w:t>
      </w:r>
      <w:bookmarkEnd w:id="171"/>
      <w:bookmarkEnd w:id="172"/>
      <w:bookmarkEnd w:id="173"/>
      <w:bookmarkEnd w:id="174"/>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投标人认为采购文件、采购过程和成交结果使自己的权益收到伤害的，可向采购人以书面形式提出质疑。</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提出质疑的应当是参与所质疑项目采购活动的投标人。 </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（一）质疑时限、内容</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1.质疑时限</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1.1对采购文件的质疑。</w:t>
      </w:r>
      <w:r>
        <w:rPr>
          <w:rFonts w:hint="eastAsia" w:ascii="微软雅黑" w:hAnsi="微软雅黑" w:eastAsia="微软雅黑" w:cs="微软雅黑"/>
          <w:sz w:val="24"/>
          <w:szCs w:val="24"/>
        </w:rPr>
        <w:t>投标人如对本比选文件有任何实质性疑问，应当以书面形式向采购人提出质疑，并须将该质疑文件纸质版（须加盖提出质疑单位的公章确认）在投标截至时间之前送达采购人。</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1.2投标人认为采购过程、成交结果使自己的权益受到损害的，可以在知道或者应知其权益受到损害之日起5个工作日内，以书面形式向采购人提出质疑。</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2.投标人提出质疑应当提交质疑函和必要的证明材料，质疑函应当包括下列内容：</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2.1投标人的姓名或者名称、地址、邮编、联系人及联系电话；</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2.2质疑项目的名称、项目号以及采购执行编号；</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2.3具体、明确的质疑事项和与质疑事项相关的请求；</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2.4事实依据；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2.5必要的法律依据；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2.6提出质疑的日期；</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2.8法定代表人授权委托书原件、法定代表人身份证复印件和其授权代表的身份证复印件（投标人为自然人的提供自然人身份证复印件）；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3.投标人为自然人的，质疑函应当由本人签字；投标人为法人或者其他组织的，质疑函应当由法定代表人、主要负责人，或者其授权代表签字或者盖章，并加盖公章。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（二）质疑答复</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采购人应当在收到投标人的书面质疑后7个工作日内作出答复，并以书面形式通知质疑投标人和其他有关投标人。</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（三）投标人应在质疑期内一次性提出针对同一采购程序环节的质疑。</w:t>
      </w:r>
      <w:bookmarkStart w:id="175" w:name="_Toc106030899"/>
      <w:bookmarkStart w:id="176" w:name="_Toc76462344"/>
      <w:bookmarkStart w:id="177" w:name="_Toc28334"/>
    </w:p>
    <w:p>
      <w:pPr>
        <w:pStyle w:val="4"/>
        <w:numPr>
          <w:ilvl w:val="255"/>
          <w:numId w:val="0"/>
        </w:numPr>
        <w:adjustRightInd w:val="0"/>
        <w:snapToGrid w:val="0"/>
        <w:spacing w:before="0" w:after="0" w:line="400" w:lineRule="exact"/>
        <w:ind w:firstLine="480" w:firstLineChars="200"/>
        <w:rPr>
          <w:rFonts w:hint="eastAsia" w:ascii="微软雅黑" w:hAnsi="微软雅黑" w:eastAsia="微软雅黑" w:cs="微软雅黑"/>
          <w:sz w:val="24"/>
        </w:rPr>
      </w:pPr>
      <w:bookmarkStart w:id="178" w:name="_Toc23896"/>
      <w:r>
        <w:rPr>
          <w:rFonts w:hint="eastAsia" w:ascii="微软雅黑" w:hAnsi="微软雅黑" w:eastAsia="微软雅黑" w:cs="微软雅黑"/>
          <w:sz w:val="24"/>
        </w:rPr>
        <w:t>七、</w:t>
      </w:r>
      <w:bookmarkEnd w:id="175"/>
      <w:bookmarkEnd w:id="176"/>
      <w:bookmarkEnd w:id="177"/>
      <w:bookmarkStart w:id="179" w:name="_Toc102227322"/>
      <w:bookmarkStart w:id="180" w:name="_Toc76462346"/>
      <w:bookmarkStart w:id="181" w:name="_Toc106030901"/>
      <w:bookmarkStart w:id="182" w:name="_Toc342913396"/>
      <w:bookmarkStart w:id="183" w:name="_Toc3372"/>
      <w:bookmarkStart w:id="184" w:name="_Toc12789059"/>
      <w:bookmarkStart w:id="185" w:name="_Toc11641055"/>
      <w:r>
        <w:rPr>
          <w:rFonts w:hint="eastAsia" w:ascii="微软雅黑" w:hAnsi="微软雅黑" w:eastAsia="微软雅黑" w:cs="微软雅黑"/>
          <w:sz w:val="24"/>
        </w:rPr>
        <w:t>签订</w:t>
      </w:r>
      <w:bookmarkEnd w:id="179"/>
      <w:r>
        <w:rPr>
          <w:rFonts w:hint="eastAsia" w:ascii="微软雅黑" w:hAnsi="微软雅黑" w:eastAsia="微软雅黑" w:cs="微软雅黑"/>
          <w:sz w:val="24"/>
        </w:rPr>
        <w:t>合同</w:t>
      </w:r>
      <w:bookmarkEnd w:id="178"/>
      <w:bookmarkEnd w:id="180"/>
      <w:bookmarkEnd w:id="181"/>
      <w:bookmarkEnd w:id="182"/>
      <w:bookmarkEnd w:id="183"/>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（一）中标人应于收到中标通知书之日起5个工作日内，按照中标项目的公开比选采购文件与响应文件递交采购合同。</w:t>
      </w:r>
    </w:p>
    <w:p>
      <w:pPr>
        <w:spacing w:line="400" w:lineRule="exact"/>
        <w:ind w:firstLine="360" w:firstLineChars="150"/>
        <w:rPr>
          <w:rFonts w:hint="eastAsia" w:ascii="微软雅黑" w:hAnsi="微软雅黑" w:eastAsia="微软雅黑" w:cs="微软雅黑"/>
          <w:sz w:val="24"/>
        </w:rPr>
      </w:pPr>
      <w:r>
        <w:rPr>
          <w:rFonts w:hint="eastAsia" w:ascii="微软雅黑" w:hAnsi="微软雅黑" w:eastAsia="微软雅黑" w:cs="微软雅黑"/>
          <w:sz w:val="24"/>
        </w:rPr>
        <w:t xml:space="preserve"> （二）中标人未在规定时间内递交合同或放弃中标资格，则</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将有充分的理由废除授标，将中标人纳入</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失信投标人名单并扣除该项目的投标保证金，两年之内不得参与</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rPr>
        <w:sectPr>
          <w:footerReference r:id="rId9" w:type="default"/>
          <w:footerReference r:id="rId10"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sz w:val="24"/>
        </w:rPr>
        <w:t>（四）中标人应当按照合同约定履行义务，完成中标项目，不得将中标项目转让(转包)或分包给他人。</w:t>
      </w:r>
      <w:bookmarkEnd w:id="184"/>
      <w:bookmarkEnd w:id="185"/>
    </w:p>
    <w:p>
      <w:pPr>
        <w:pStyle w:val="4"/>
        <w:spacing w:before="200" w:after="200" w:line="240" w:lineRule="auto"/>
        <w:jc w:val="center"/>
        <w:rPr>
          <w:rFonts w:hint="eastAsia" w:ascii="微软雅黑" w:hAnsi="微软雅黑" w:eastAsia="微软雅黑" w:cs="微软雅黑"/>
          <w:b/>
          <w:sz w:val="44"/>
          <w:szCs w:val="20"/>
        </w:rPr>
      </w:pPr>
      <w:bookmarkStart w:id="186" w:name="_Hlt41879464"/>
      <w:bookmarkEnd w:id="186"/>
      <w:bookmarkStart w:id="187" w:name="_Toc21717"/>
      <w:bookmarkStart w:id="188" w:name="_Toc106030905"/>
      <w:bookmarkStart w:id="189" w:name="_Toc27984"/>
      <w:bookmarkStart w:id="190" w:name="_Toc76462349"/>
      <w:r>
        <w:rPr>
          <w:rFonts w:hint="eastAsia" w:ascii="微软雅黑" w:hAnsi="微软雅黑" w:eastAsia="微软雅黑" w:cs="微软雅黑"/>
          <w:b/>
          <w:sz w:val="44"/>
          <w:szCs w:val="20"/>
        </w:rPr>
        <w:t>第六篇  响应文件编制要求</w:t>
      </w:r>
      <w:bookmarkEnd w:id="187"/>
      <w:bookmarkEnd w:id="188"/>
      <w:bookmarkEnd w:id="189"/>
      <w:bookmarkEnd w:id="19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一、经济部分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（二）其他资料（格式自定）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三、商务部分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（二）其它优惠服务承诺（格式自定）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四、资格条件及其他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投标函（格式）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（五）基本资格条件承诺函（格式）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）特定资格条件证书或证明文件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五、其他资料</w:t>
      </w:r>
    </w:p>
    <w:p>
      <w:pPr>
        <w:spacing w:line="400" w:lineRule="exact"/>
        <w:ind w:firstLine="480" w:firstLineChars="200"/>
        <w:rPr>
          <w:rFonts w:hint="eastAsia" w:ascii="微软雅黑" w:hAnsi="微软雅黑" w:eastAsia="微软雅黑" w:cs="微软雅黑"/>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sz w:val="24"/>
          <w:szCs w:val="24"/>
        </w:rPr>
        <w:t>其他与项目有关的资料</w:t>
      </w:r>
    </w:p>
    <w:p>
      <w:pPr>
        <w:spacing w:line="360" w:lineRule="auto"/>
        <w:jc w:val="both"/>
        <w:outlineLvl w:val="0"/>
        <w:rPr>
          <w:rFonts w:hint="eastAsia" w:ascii="微软雅黑" w:hAnsi="微软雅黑" w:eastAsia="微软雅黑" w:cs="微软雅黑"/>
          <w:lang w:eastAsia="zh-CN"/>
        </w:rPr>
      </w:pPr>
    </w:p>
    <w:sectPr>
      <w:headerReference r:id="rId11" w:type="default"/>
      <w:footerReference r:id="rId12"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jc w:val="center"/>
      <w:rPr>
        <w:rStyle w:val="62"/>
        <w:rFonts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p>
  <w:p>
    <w:pPr>
      <w:pStyle w:val="36"/>
      <w:jc w:val="center"/>
      <w:rPr>
        <w:rFonts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rPr>
        <w:rStyle w:val="62"/>
      </w:rPr>
      <w:t>- 14 -</w:t>
    </w:r>
    <w:r>
      <w:fldChar w:fldCharType="end"/>
    </w:r>
  </w:p>
  <w:p>
    <w:pPr>
      <w:pStyle w:val="36"/>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single" w:color="auto" w:sz="4" w:space="0"/>
      </w:pBdr>
    </w:pPr>
    <w:r>
      <w:rPr>
        <w:rFonts w:hint="eastAsia"/>
      </w:rPr>
      <w:t>重庆医科大学附属儿童医院比选文件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3">
    <w:nsid w:val="592954C3"/>
    <w:multiLevelType w:val="multilevel"/>
    <w:tmpl w:val="592954C3"/>
    <w:lvl w:ilvl="0" w:tentative="0">
      <w:start w:val="1"/>
      <w:numFmt w:val="japaneseCounting"/>
      <w:lvlText w:val="%1、"/>
      <w:lvlJc w:val="left"/>
      <w:pPr>
        <w:ind w:left="1200" w:hanging="72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num w:numId="1">
    <w:abstractNumId w:val="8"/>
  </w:num>
  <w:num w:numId="2">
    <w:abstractNumId w:val="5"/>
  </w:num>
  <w:num w:numId="3">
    <w:abstractNumId w:val="3"/>
  </w:num>
  <w:num w:numId="4">
    <w:abstractNumId w:val="9"/>
  </w:num>
  <w:num w:numId="5">
    <w:abstractNumId w:val="12"/>
  </w:num>
  <w:num w:numId="6">
    <w:abstractNumId w:val="0"/>
  </w:num>
  <w:num w:numId="7">
    <w:abstractNumId w:val="6"/>
  </w:num>
  <w:num w:numId="8">
    <w:abstractNumId w:val="11"/>
  </w:num>
  <w:num w:numId="9">
    <w:abstractNumId w:val="1"/>
  </w:num>
  <w:num w:numId="10">
    <w:abstractNumId w:val="2"/>
  </w:num>
  <w:num w:numId="11">
    <w:abstractNumId w:val="7"/>
  </w:num>
  <w:num w:numId="12">
    <w:abstractNumId w:val="4"/>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65CFF"/>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305D"/>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72A27"/>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6D71"/>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56144"/>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307"/>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E6CF0"/>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66C55"/>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696E"/>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25A0"/>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45B6"/>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1031A07"/>
    <w:rsid w:val="026C7369"/>
    <w:rsid w:val="030620E3"/>
    <w:rsid w:val="04631E70"/>
    <w:rsid w:val="05986724"/>
    <w:rsid w:val="05B83278"/>
    <w:rsid w:val="079B568B"/>
    <w:rsid w:val="07F103E0"/>
    <w:rsid w:val="089E34BE"/>
    <w:rsid w:val="092E6FC0"/>
    <w:rsid w:val="093441FC"/>
    <w:rsid w:val="099D19F4"/>
    <w:rsid w:val="0BB87E47"/>
    <w:rsid w:val="0D1F249B"/>
    <w:rsid w:val="0D26388C"/>
    <w:rsid w:val="0D2D45FA"/>
    <w:rsid w:val="0F4F0F37"/>
    <w:rsid w:val="1009316D"/>
    <w:rsid w:val="128D10D0"/>
    <w:rsid w:val="1317485C"/>
    <w:rsid w:val="137173BB"/>
    <w:rsid w:val="13747A80"/>
    <w:rsid w:val="143E2110"/>
    <w:rsid w:val="147A5E14"/>
    <w:rsid w:val="14D11CFB"/>
    <w:rsid w:val="15935DB5"/>
    <w:rsid w:val="15BB3449"/>
    <w:rsid w:val="16404E7B"/>
    <w:rsid w:val="167215B9"/>
    <w:rsid w:val="17324323"/>
    <w:rsid w:val="1743251A"/>
    <w:rsid w:val="17A1211B"/>
    <w:rsid w:val="1892605C"/>
    <w:rsid w:val="18ED7A84"/>
    <w:rsid w:val="19255AF5"/>
    <w:rsid w:val="1A7E6296"/>
    <w:rsid w:val="1B9F0D6B"/>
    <w:rsid w:val="1EE0720C"/>
    <w:rsid w:val="1F0D01CA"/>
    <w:rsid w:val="1FB21338"/>
    <w:rsid w:val="21226BB2"/>
    <w:rsid w:val="21864056"/>
    <w:rsid w:val="222348FC"/>
    <w:rsid w:val="22F860AB"/>
    <w:rsid w:val="23DB3147"/>
    <w:rsid w:val="242C5890"/>
    <w:rsid w:val="2486441F"/>
    <w:rsid w:val="25013478"/>
    <w:rsid w:val="25A07F04"/>
    <w:rsid w:val="263535D3"/>
    <w:rsid w:val="26E678A2"/>
    <w:rsid w:val="270F3C6E"/>
    <w:rsid w:val="28426BC2"/>
    <w:rsid w:val="2863744A"/>
    <w:rsid w:val="29601F8B"/>
    <w:rsid w:val="296F02CD"/>
    <w:rsid w:val="2AA01F44"/>
    <w:rsid w:val="2AEE5B1E"/>
    <w:rsid w:val="2B124177"/>
    <w:rsid w:val="2B712B53"/>
    <w:rsid w:val="2C43216E"/>
    <w:rsid w:val="2CB45BA1"/>
    <w:rsid w:val="2CD472B8"/>
    <w:rsid w:val="2DB02B6B"/>
    <w:rsid w:val="2E966F2B"/>
    <w:rsid w:val="2EB54030"/>
    <w:rsid w:val="300C58E0"/>
    <w:rsid w:val="30607DAE"/>
    <w:rsid w:val="31093DAE"/>
    <w:rsid w:val="31DA5A58"/>
    <w:rsid w:val="32EF600F"/>
    <w:rsid w:val="32FD7152"/>
    <w:rsid w:val="332D1E43"/>
    <w:rsid w:val="33673EF7"/>
    <w:rsid w:val="35680ADC"/>
    <w:rsid w:val="361F2D7D"/>
    <w:rsid w:val="37556B60"/>
    <w:rsid w:val="38CD7FDC"/>
    <w:rsid w:val="3ACE5D4F"/>
    <w:rsid w:val="3C55524B"/>
    <w:rsid w:val="3C740F54"/>
    <w:rsid w:val="3CCE1388"/>
    <w:rsid w:val="3DF6488D"/>
    <w:rsid w:val="3F1C71CA"/>
    <w:rsid w:val="406334F2"/>
    <w:rsid w:val="406D5057"/>
    <w:rsid w:val="409F14A1"/>
    <w:rsid w:val="415F6EA3"/>
    <w:rsid w:val="41E22EB6"/>
    <w:rsid w:val="42B0358C"/>
    <w:rsid w:val="43313057"/>
    <w:rsid w:val="446528DF"/>
    <w:rsid w:val="44890FF5"/>
    <w:rsid w:val="44F64ED7"/>
    <w:rsid w:val="452C7897"/>
    <w:rsid w:val="45D24AA7"/>
    <w:rsid w:val="46151D23"/>
    <w:rsid w:val="46212B96"/>
    <w:rsid w:val="46BB1B1D"/>
    <w:rsid w:val="46D026EE"/>
    <w:rsid w:val="475E104C"/>
    <w:rsid w:val="47AA1B14"/>
    <w:rsid w:val="47DF47C8"/>
    <w:rsid w:val="47E44DA2"/>
    <w:rsid w:val="47F14C9F"/>
    <w:rsid w:val="494C6B8D"/>
    <w:rsid w:val="497B7CB3"/>
    <w:rsid w:val="4A8845CE"/>
    <w:rsid w:val="4AE01270"/>
    <w:rsid w:val="4B2D12E0"/>
    <w:rsid w:val="4BEB6B31"/>
    <w:rsid w:val="4CAB5FE1"/>
    <w:rsid w:val="4D06649A"/>
    <w:rsid w:val="4DD36371"/>
    <w:rsid w:val="4E611B94"/>
    <w:rsid w:val="4EEC1F3B"/>
    <w:rsid w:val="4F070047"/>
    <w:rsid w:val="4F3C244F"/>
    <w:rsid w:val="4FCD30B4"/>
    <w:rsid w:val="50067945"/>
    <w:rsid w:val="5115115D"/>
    <w:rsid w:val="521E4A24"/>
    <w:rsid w:val="524005FC"/>
    <w:rsid w:val="52D92ACB"/>
    <w:rsid w:val="53B4776F"/>
    <w:rsid w:val="53DF1E3A"/>
    <w:rsid w:val="540F25CE"/>
    <w:rsid w:val="545B425C"/>
    <w:rsid w:val="558E730F"/>
    <w:rsid w:val="56B82C10"/>
    <w:rsid w:val="573C43EC"/>
    <w:rsid w:val="57722F85"/>
    <w:rsid w:val="57857077"/>
    <w:rsid w:val="58EA1C45"/>
    <w:rsid w:val="59A45271"/>
    <w:rsid w:val="59D52FEA"/>
    <w:rsid w:val="5CA67F0E"/>
    <w:rsid w:val="5DAD4E7C"/>
    <w:rsid w:val="5E16050E"/>
    <w:rsid w:val="5E3D2C1E"/>
    <w:rsid w:val="5EE04623"/>
    <w:rsid w:val="5F7C4D42"/>
    <w:rsid w:val="60CB5C8F"/>
    <w:rsid w:val="61743609"/>
    <w:rsid w:val="61DB1F11"/>
    <w:rsid w:val="6379050D"/>
    <w:rsid w:val="648E3C9A"/>
    <w:rsid w:val="64DA4767"/>
    <w:rsid w:val="65170F5B"/>
    <w:rsid w:val="65215328"/>
    <w:rsid w:val="670A099E"/>
    <w:rsid w:val="68BD663A"/>
    <w:rsid w:val="68CA1C56"/>
    <w:rsid w:val="692F74C0"/>
    <w:rsid w:val="696405DD"/>
    <w:rsid w:val="69BE2355"/>
    <w:rsid w:val="6B75107A"/>
    <w:rsid w:val="6D5236ED"/>
    <w:rsid w:val="6F7E3D26"/>
    <w:rsid w:val="6FE969BF"/>
    <w:rsid w:val="701245F9"/>
    <w:rsid w:val="71175C34"/>
    <w:rsid w:val="721C10A9"/>
    <w:rsid w:val="74D70DF7"/>
    <w:rsid w:val="750950F5"/>
    <w:rsid w:val="750D16CF"/>
    <w:rsid w:val="75282A69"/>
    <w:rsid w:val="773622B4"/>
    <w:rsid w:val="780B6D9F"/>
    <w:rsid w:val="789F3DA6"/>
    <w:rsid w:val="78A52377"/>
    <w:rsid w:val="79082185"/>
    <w:rsid w:val="79D7056D"/>
    <w:rsid w:val="7A6F77AB"/>
    <w:rsid w:val="7ABA3FBA"/>
    <w:rsid w:val="7B5B7497"/>
    <w:rsid w:val="7BEF5F10"/>
    <w:rsid w:val="7C745D1B"/>
    <w:rsid w:val="7D9563F1"/>
    <w:rsid w:val="7EB03B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45"/>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1"/>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link w:val="72"/>
    <w:qFormat/>
    <w:uiPriority w:val="0"/>
    <w:pPr>
      <w:keepNext/>
      <w:keepLines/>
      <w:spacing w:before="260" w:after="260" w:line="413" w:lineRule="auto"/>
      <w:outlineLvl w:val="2"/>
    </w:pPr>
    <w:rPr>
      <w:b/>
      <w:sz w:val="32"/>
    </w:rPr>
  </w:style>
  <w:style w:type="paragraph" w:styleId="6">
    <w:name w:val="heading 4"/>
    <w:basedOn w:val="1"/>
    <w:next w:val="1"/>
    <w:qFormat/>
    <w:uiPriority w:val="0"/>
    <w:pPr>
      <w:keepNext/>
      <w:keepLines/>
      <w:spacing w:before="280" w:after="29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numPr>
        <w:ilvl w:val="0"/>
        <w:numId w:val="2"/>
      </w:numPr>
      <w:tabs>
        <w:tab w:val="left" w:pos="1134"/>
        <w:tab w:val="clear" w:pos="1620"/>
      </w:tabs>
      <w:adjustRightInd w:val="0"/>
      <w:snapToGrid w:val="0"/>
      <w:spacing w:before="12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pPr>
    <w:rPr>
      <w:rFonts w:ascii="Arial" w:hAnsi="Arial"/>
      <w:sz w:val="24"/>
    </w:rPr>
  </w:style>
  <w:style w:type="paragraph" w:styleId="20">
    <w:name w:val="annotation text"/>
    <w:basedOn w:val="1"/>
    <w:link w:val="73"/>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line="360" w:lineRule="auto"/>
    </w:pPr>
    <w:rPr>
      <w:sz w:val="16"/>
    </w:rPr>
  </w:style>
  <w:style w:type="paragraph" w:styleId="22">
    <w:name w:val="List Bullet 3"/>
    <w:basedOn w:val="1"/>
    <w:qFormat/>
    <w:uiPriority w:val="0"/>
    <w:pPr>
      <w:numPr>
        <w:ilvl w:val="0"/>
        <w:numId w:val="3"/>
      </w:numPr>
      <w:adjustRightInd w:val="0"/>
      <w:snapToGrid w:val="0"/>
      <w:spacing w:line="360" w:lineRule="auto"/>
    </w:pPr>
    <w:rPr>
      <w:sz w:val="24"/>
    </w:rPr>
  </w:style>
  <w:style w:type="paragraph" w:styleId="23">
    <w:name w:val="Body Text Indent"/>
    <w:basedOn w:val="1"/>
    <w:link w:val="74"/>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line="360" w:lineRule="auto"/>
      <w:ind w:left="420" w:leftChars="200"/>
    </w:pPr>
    <w:rPr>
      <w:sz w:val="24"/>
    </w:rPr>
  </w:style>
  <w:style w:type="paragraph" w:styleId="27">
    <w:name w:val="List Bullet 2"/>
    <w:basedOn w:val="1"/>
    <w:qFormat/>
    <w:uiPriority w:val="0"/>
    <w:pPr>
      <w:numPr>
        <w:ilvl w:val="0"/>
        <w:numId w:val="4"/>
      </w:numPr>
      <w:adjustRightInd w:val="0"/>
      <w:snapToGrid w:val="0"/>
      <w:spacing w:line="360" w:lineRule="auto"/>
    </w:pPr>
    <w:rPr>
      <w:sz w:val="24"/>
    </w:rPr>
  </w:style>
  <w:style w:type="paragraph" w:styleId="28">
    <w:name w:val="index 4"/>
    <w:basedOn w:val="1"/>
    <w:next w:val="1"/>
    <w:qFormat/>
    <w:uiPriority w:val="99"/>
    <w:pPr>
      <w:ind w:left="600" w:leftChars="600"/>
    </w:pPr>
  </w:style>
  <w:style w:type="paragraph" w:styleId="29">
    <w:name w:val="toc 5"/>
    <w:basedOn w:val="1"/>
    <w:next w:val="1"/>
    <w:qFormat/>
    <w:uiPriority w:val="0"/>
    <w:pPr>
      <w:ind w:left="1680" w:leftChars="800"/>
    </w:pPr>
  </w:style>
  <w:style w:type="paragraph" w:styleId="30">
    <w:name w:val="toc 3"/>
    <w:basedOn w:val="1"/>
    <w:next w:val="1"/>
    <w:qFormat/>
    <w:uiPriority w:val="39"/>
    <w:pPr>
      <w:ind w:left="840" w:leftChars="400"/>
    </w:pPr>
  </w:style>
  <w:style w:type="paragraph" w:styleId="31">
    <w:name w:val="Plain Text"/>
    <w:basedOn w:val="1"/>
    <w:link w:val="241"/>
    <w:qFormat/>
    <w:uiPriority w:val="0"/>
    <w:rPr>
      <w:rFonts w:ascii="宋体" w:hAnsi="Courier New"/>
      <w:sz w:val="21"/>
    </w:rPr>
  </w:style>
  <w:style w:type="paragraph" w:styleId="32">
    <w:name w:val="toc 8"/>
    <w:basedOn w:val="1"/>
    <w:next w:val="1"/>
    <w:qFormat/>
    <w:uiPriority w:val="0"/>
    <w:pPr>
      <w:ind w:left="2940" w:leftChars="1400"/>
    </w:pPr>
  </w:style>
  <w:style w:type="paragraph" w:styleId="33">
    <w:name w:val="Date"/>
    <w:basedOn w:val="1"/>
    <w:next w:val="1"/>
    <w:link w:val="75"/>
    <w:qFormat/>
    <w:uiPriority w:val="0"/>
  </w:style>
  <w:style w:type="paragraph" w:styleId="34">
    <w:name w:val="Body Text Indent 2"/>
    <w:basedOn w:val="1"/>
    <w:link w:val="76"/>
    <w:qFormat/>
    <w:uiPriority w:val="0"/>
    <w:pPr>
      <w:snapToGrid w:val="0"/>
      <w:spacing w:line="560" w:lineRule="atLeast"/>
      <w:ind w:firstLine="540"/>
    </w:pPr>
  </w:style>
  <w:style w:type="paragraph" w:styleId="35">
    <w:name w:val="Balloon Text"/>
    <w:basedOn w:val="1"/>
    <w:qFormat/>
    <w:uiPriority w:val="0"/>
    <w:rPr>
      <w:sz w:val="18"/>
    </w:rPr>
  </w:style>
  <w:style w:type="paragraph" w:styleId="36">
    <w:name w:val="footer"/>
    <w:basedOn w:val="1"/>
    <w:qFormat/>
    <w:uiPriority w:val="0"/>
    <w:pPr>
      <w:tabs>
        <w:tab w:val="center" w:pos="4153"/>
        <w:tab w:val="right" w:pos="8306"/>
      </w:tabs>
      <w:snapToGrid w:val="0"/>
      <w:jc w:val="left"/>
    </w:pPr>
    <w:rPr>
      <w:sz w:val="18"/>
    </w:rPr>
  </w:style>
  <w:style w:type="paragraph" w:styleId="37">
    <w:name w:val="header"/>
    <w:basedOn w:val="1"/>
    <w:next w:val="17"/>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0"/>
    <w:pPr>
      <w:spacing w:line="180" w:lineRule="auto"/>
      <w:jc w:val="center"/>
    </w:pPr>
    <w:rPr>
      <w:sz w:val="30"/>
    </w:rPr>
  </w:style>
  <w:style w:type="paragraph" w:styleId="39">
    <w:name w:val="List Continue 4"/>
    <w:basedOn w:val="1"/>
    <w:qFormat/>
    <w:uiPriority w:val="0"/>
    <w:pPr>
      <w:adjustRightInd w:val="0"/>
      <w:snapToGrid w:val="0"/>
      <w:spacing w:after="12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7"/>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line="360" w:lineRule="auto"/>
      <w:ind w:left="840" w:leftChars="400"/>
    </w:pPr>
    <w:rPr>
      <w:sz w:val="24"/>
    </w:rPr>
  </w:style>
  <w:style w:type="paragraph" w:styleId="51">
    <w:name w:val="Normal (Web)"/>
    <w:basedOn w:val="1"/>
    <w:qFormat/>
    <w:uiPriority w:val="0"/>
    <w:pPr>
      <w:widowControl/>
      <w:spacing w:before="100" w:beforeAutospacing="1" w:after="100" w:afterAutospacing="1"/>
      <w:jc w:val="left"/>
    </w:pPr>
    <w:rPr>
      <w:rFonts w:ascii="宋体" w:hAnsi="宋体"/>
      <w:kern w:val="0"/>
      <w:sz w:val="24"/>
    </w:rPr>
  </w:style>
  <w:style w:type="paragraph" w:styleId="52">
    <w:name w:val="List Continue 3"/>
    <w:basedOn w:val="1"/>
    <w:qFormat/>
    <w:uiPriority w:val="0"/>
    <w:pPr>
      <w:adjustRightInd w:val="0"/>
      <w:snapToGrid w:val="0"/>
      <w:spacing w:after="12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line="360" w:lineRule="auto"/>
      <w:jc w:val="center"/>
    </w:pPr>
    <w:rPr>
      <w:rFonts w:ascii="Arial" w:hAnsi="Arial"/>
      <w:b/>
      <w:smallCaps/>
      <w:kern w:val="28"/>
      <w:sz w:val="36"/>
      <w:lang w:eastAsia="en-US"/>
    </w:rPr>
  </w:style>
  <w:style w:type="paragraph" w:styleId="55">
    <w:name w:val="annotation subject"/>
    <w:basedOn w:val="20"/>
    <w:next w:val="20"/>
    <w:link w:val="78"/>
    <w:qFormat/>
    <w:uiPriority w:val="0"/>
    <w:pPr>
      <w:adjustRightInd/>
      <w:spacing w:line="240" w:lineRule="auto"/>
      <w:textAlignment w:val="auto"/>
    </w:pPr>
  </w:style>
  <w:style w:type="paragraph" w:styleId="56">
    <w:name w:val="Body Text First Indent"/>
    <w:basedOn w:val="2"/>
    <w:next w:val="1"/>
    <w:qFormat/>
    <w:uiPriority w:val="0"/>
    <w:pPr>
      <w:spacing w:line="360" w:lineRule="auto"/>
      <w:ind w:firstLine="420"/>
    </w:pPr>
    <w:rPr>
      <w:rFonts w:ascii="宋体" w:hAnsi="宋体"/>
      <w:sz w:val="24"/>
    </w:rPr>
  </w:style>
  <w:style w:type="paragraph" w:styleId="57">
    <w:name w:val="Body Text First Indent 2"/>
    <w:basedOn w:val="23"/>
    <w:link w:val="79"/>
    <w:qFormat/>
    <w:uiPriority w:val="0"/>
    <w:pPr>
      <w:spacing w:after="12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9">
    <w:name w:val="标题 5（有编号）（绿盟科技）"/>
    <w:basedOn w:val="1"/>
    <w:next w:val="70"/>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7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1">
    <w:name w:val="标题 2 字符1"/>
    <w:link w:val="4"/>
    <w:qFormat/>
    <w:uiPriority w:val="0"/>
    <w:rPr>
      <w:rFonts w:ascii="Arial" w:hAnsi="Arial" w:eastAsia="黑体"/>
      <w:b/>
      <w:kern w:val="2"/>
      <w:sz w:val="32"/>
    </w:rPr>
  </w:style>
  <w:style w:type="character" w:customStyle="1" w:styleId="72">
    <w:name w:val="标题 3 字符"/>
    <w:link w:val="5"/>
    <w:qFormat/>
    <w:uiPriority w:val="0"/>
    <w:rPr>
      <w:rFonts w:eastAsia="宋体"/>
      <w:b/>
      <w:kern w:val="2"/>
      <w:sz w:val="32"/>
      <w:lang w:val="en-US" w:eastAsia="zh-CN"/>
    </w:rPr>
  </w:style>
  <w:style w:type="character" w:customStyle="1" w:styleId="73">
    <w:name w:val="批注文字 字符"/>
    <w:link w:val="20"/>
    <w:qFormat/>
    <w:uiPriority w:val="0"/>
    <w:rPr>
      <w:sz w:val="24"/>
    </w:rPr>
  </w:style>
  <w:style w:type="character" w:customStyle="1" w:styleId="74">
    <w:name w:val="正文文本缩进 字符"/>
    <w:link w:val="23"/>
    <w:qFormat/>
    <w:uiPriority w:val="0"/>
    <w:rPr>
      <w:kern w:val="2"/>
      <w:sz w:val="44"/>
    </w:rPr>
  </w:style>
  <w:style w:type="character" w:customStyle="1" w:styleId="75">
    <w:name w:val="日期 字符"/>
    <w:link w:val="33"/>
    <w:qFormat/>
    <w:uiPriority w:val="0"/>
    <w:rPr>
      <w:kern w:val="2"/>
      <w:sz w:val="28"/>
    </w:rPr>
  </w:style>
  <w:style w:type="character" w:customStyle="1" w:styleId="76">
    <w:name w:val="正文文本缩进 2 字符1"/>
    <w:link w:val="34"/>
    <w:qFormat/>
    <w:uiPriority w:val="0"/>
    <w:rPr>
      <w:kern w:val="2"/>
      <w:sz w:val="28"/>
    </w:rPr>
  </w:style>
  <w:style w:type="character" w:customStyle="1" w:styleId="77">
    <w:name w:val="脚注文本 字符"/>
    <w:link w:val="41"/>
    <w:qFormat/>
    <w:uiPriority w:val="0"/>
    <w:rPr>
      <w:kern w:val="2"/>
      <w:sz w:val="18"/>
    </w:rPr>
  </w:style>
  <w:style w:type="character" w:customStyle="1" w:styleId="78">
    <w:name w:val="批注主题 字符"/>
    <w:link w:val="55"/>
    <w:qFormat/>
    <w:uiPriority w:val="0"/>
  </w:style>
  <w:style w:type="character" w:customStyle="1" w:styleId="79">
    <w:name w:val="正文文本首行缩进 2 字符"/>
    <w:link w:val="57"/>
    <w:qFormat/>
    <w:uiPriority w:val="0"/>
  </w:style>
  <w:style w:type="character" w:customStyle="1" w:styleId="80">
    <w:name w:val="v151"/>
    <w:qFormat/>
    <w:uiPriority w:val="0"/>
    <w:rPr>
      <w:sz w:val="18"/>
    </w:rPr>
  </w:style>
  <w:style w:type="character" w:customStyle="1" w:styleId="81">
    <w:name w:val="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Char Char3"/>
    <w:qFormat/>
    <w:uiPriority w:val="0"/>
    <w:rPr>
      <w:rFonts w:eastAsia="宋体"/>
      <w:kern w:val="2"/>
      <w:sz w:val="18"/>
      <w:lang w:val="en-US" w:eastAsia="zh-CN"/>
    </w:rPr>
  </w:style>
  <w:style w:type="character" w:customStyle="1" w:styleId="89">
    <w:name w:val="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Char Char5"/>
    <w:qFormat/>
    <w:uiPriority w:val="0"/>
    <w:rPr>
      <w:rFonts w:ascii="Arial" w:hAnsi="Arial" w:eastAsia="宋体"/>
      <w:b/>
      <w:smallCaps/>
      <w:kern w:val="28"/>
      <w:sz w:val="36"/>
      <w:lang w:val="en-US" w:eastAsia="en-US"/>
    </w:rPr>
  </w:style>
  <w:style w:type="character" w:customStyle="1" w:styleId="92">
    <w:name w:val="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line="360" w:lineRule="auto"/>
      <w:ind w:firstLine="200" w:firstLineChars="200"/>
    </w:pPr>
    <w:rPr>
      <w:spacing w:val="2"/>
      <w:sz w:val="24"/>
    </w:rPr>
  </w:style>
  <w:style w:type="paragraph" w:customStyle="1" w:styleId="110">
    <w:name w:val="标题3——2"/>
    <w:basedOn w:val="5"/>
    <w:next w:val="56"/>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4"/>
    <w:qFormat/>
    <w:uiPriority w:val="0"/>
    <w:pPr>
      <w:spacing w:before="72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numId w:val="0"/>
      </w:numPr>
      <w:spacing w:before="0" w:beforeLines="0" w:after="0" w:afterLines="0"/>
      <w:ind w:left="525"/>
      <w:outlineLvl w:val="2"/>
    </w:pPr>
    <w:rPr>
      <w:sz w:val="21"/>
    </w:rPr>
  </w:style>
  <w:style w:type="paragraph" w:customStyle="1" w:styleId="117">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3"/>
    <w:next w:val="3"/>
    <w:qFormat/>
    <w:uiPriority w:val="0"/>
    <w:pPr>
      <w:keepLines/>
      <w:adjustRightInd w:val="0"/>
      <w:spacing w:before="340" w:after="330" w:line="576" w:lineRule="auto"/>
    </w:pPr>
    <w:rPr>
      <w:rFonts w:ascii="Times New Roman" w:eastAsia="黑体"/>
      <w:b/>
      <w:kern w:val="44"/>
      <w:sz w:val="44"/>
    </w:rPr>
  </w:style>
  <w:style w:type="paragraph" w:customStyle="1" w:styleId="124">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28">
    <w:name w:val="Char Char14 Char Char"/>
    <w:basedOn w:val="1"/>
    <w:qFormat/>
    <w:uiPriority w:val="0"/>
    <w:rPr>
      <w:sz w:val="21"/>
      <w:szCs w:val="24"/>
    </w:rPr>
  </w:style>
  <w:style w:type="paragraph" w:customStyle="1" w:styleId="129">
    <w:name w:val="Char Char Char Char Char"/>
    <w:basedOn w:val="1"/>
    <w:qFormat/>
    <w:uiPriority w:val="0"/>
    <w:pPr>
      <w:tabs>
        <w:tab w:val="left" w:pos="425"/>
      </w:tabs>
      <w:ind w:left="1620" w:hanging="360"/>
    </w:pPr>
    <w:rPr>
      <w:rFonts w:ascii="Tahoma" w:hAnsi="Tahoma"/>
      <w:sz w:val="24"/>
    </w:rPr>
  </w:style>
  <w:style w:type="paragraph" w:customStyle="1" w:styleId="130">
    <w:name w:val="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6">
    <w:name w:val="标题2"/>
    <w:basedOn w:val="4"/>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Char Char Char Char Char Char Char"/>
    <w:basedOn w:val="1"/>
    <w:qFormat/>
    <w:uiPriority w:val="0"/>
    <w:rPr>
      <w:rFonts w:ascii="Tahoma" w:hAnsi="Tahoma"/>
      <w:sz w:val="24"/>
    </w:rPr>
  </w:style>
  <w:style w:type="paragraph" w:customStyle="1" w:styleId="141">
    <w:name w:val="样式2"/>
    <w:basedOn w:val="6"/>
    <w:qFormat/>
    <w:uiPriority w:val="0"/>
    <w:pPr>
      <w:numPr>
        <w:ilvl w:val="0"/>
        <w:numId w:val="8"/>
      </w:numPr>
      <w:spacing w:before="560" w:line="400" w:lineRule="exact"/>
      <w:jc w:val="center"/>
      <w:outlineLvl w:val="0"/>
    </w:pPr>
    <w:rPr>
      <w:b w:val="0"/>
      <w:sz w:val="44"/>
    </w:rPr>
  </w:style>
  <w:style w:type="paragraph" w:customStyle="1" w:styleId="142">
    <w:name w:val="内容标题"/>
    <w:basedOn w:val="18"/>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4">
    <w:name w:val="1"/>
    <w:basedOn w:val="1"/>
    <w:next w:val="31"/>
    <w:qFormat/>
    <w:uiPriority w:val="0"/>
    <w:rPr>
      <w:rFonts w:ascii="宋体" w:hAnsi="Courier New"/>
      <w:sz w:val="21"/>
    </w:rPr>
  </w:style>
  <w:style w:type="paragraph" w:customStyle="1" w:styleId="145">
    <w:name w:val="列表项目"/>
    <w:basedOn w:val="1"/>
    <w:qFormat/>
    <w:uiPriority w:val="0"/>
    <w:pPr>
      <w:tabs>
        <w:tab w:val="left" w:pos="42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47">
    <w:name w:val="Char Char Char Char Char Char Char1"/>
    <w:basedOn w:val="18"/>
    <w:qFormat/>
    <w:uiPriority w:val="0"/>
    <w:rPr>
      <w:rFonts w:ascii="宋体" w:hAnsi="Tahoma"/>
    </w:rPr>
  </w:style>
  <w:style w:type="paragraph" w:customStyle="1" w:styleId="148">
    <w:name w:val="样式 标题 6第五层条 + 三号 段前: 0.5 行"/>
    <w:basedOn w:val="8"/>
    <w:qFormat/>
    <w:uiPriority w:val="0"/>
    <w:pPr>
      <w:widowControl/>
      <w:adjustRightInd/>
      <w:snapToGrid/>
      <w:spacing w:before="156" w:beforeLines="50"/>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56">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57">
    <w:name w:val="标准正文"/>
    <w:basedOn w:val="23"/>
    <w:qFormat/>
    <w:uiPriority w:val="0"/>
    <w:pPr>
      <w:spacing w:before="60" w:after="60" w:line="360" w:lineRule="auto"/>
      <w:ind w:left="0" w:firstLine="482"/>
    </w:pPr>
    <w:rPr>
      <w:rFonts w:ascii="Arial" w:hAnsi="Arial"/>
      <w:sz w:val="24"/>
    </w:rPr>
  </w:style>
  <w:style w:type="paragraph" w:customStyle="1" w:styleId="158">
    <w:name w:val="正文文本 21"/>
    <w:basedOn w:val="1"/>
    <w:qFormat/>
    <w:uiPriority w:val="0"/>
    <w:pPr>
      <w:adjustRightInd w:val="0"/>
      <w:spacing w:before="120" w:line="360" w:lineRule="auto"/>
      <w:ind w:firstLine="480"/>
      <w:textAlignment w:val="baseline"/>
    </w:pPr>
    <w:rPr>
      <w:sz w:val="24"/>
    </w:rPr>
  </w:style>
  <w:style w:type="paragraph" w:customStyle="1" w:styleId="159">
    <w:name w:val="样式1"/>
    <w:basedOn w:val="6"/>
    <w:qFormat/>
    <w:uiPriority w:val="0"/>
    <w:pPr>
      <w:tabs>
        <w:tab w:val="left" w:pos="720"/>
      </w:tabs>
      <w:spacing w:before="500" w:after="260" w:line="560" w:lineRule="atLeast"/>
      <w:ind w:left="420" w:hanging="420"/>
    </w:pPr>
  </w:style>
  <w:style w:type="paragraph" w:customStyle="1" w:styleId="160">
    <w:name w:val="正文4"/>
    <w:basedOn w:val="1"/>
    <w:qFormat/>
    <w:uiPriority w:val="0"/>
    <w:pPr>
      <w:tabs>
        <w:tab w:val="left" w:pos="1275"/>
      </w:tabs>
      <w:spacing w:before="60" w:after="60" w:line="360" w:lineRule="auto"/>
      <w:ind w:left="820" w:leftChars="400" w:hanging="705"/>
    </w:pPr>
    <w:rPr>
      <w:sz w:val="24"/>
    </w:rPr>
  </w:style>
  <w:style w:type="paragraph" w:customStyle="1" w:styleId="161">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4"/>
    <w:next w:val="1"/>
    <w:qFormat/>
    <w:uiPriority w:val="0"/>
    <w:pPr>
      <w:spacing w:before="240" w:after="720"/>
    </w:pPr>
    <w:rPr>
      <w:sz w:val="28"/>
    </w:rPr>
  </w:style>
  <w:style w:type="paragraph" w:customStyle="1" w:styleId="170">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10"/>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5"/>
    <w:qFormat/>
    <w:uiPriority w:val="0"/>
    <w:pPr>
      <w:numPr>
        <w:ilvl w:val="2"/>
        <w:numId w:val="2"/>
      </w:numPr>
      <w:tabs>
        <w:tab w:val="left" w:pos="709"/>
        <w:tab w:val="left" w:pos="1620"/>
      </w:tabs>
    </w:pPr>
  </w:style>
  <w:style w:type="paragraph" w:customStyle="1" w:styleId="176">
    <w:name w:val="样式4"/>
    <w:basedOn w:val="6"/>
    <w:qFormat/>
    <w:uiPriority w:val="0"/>
    <w:pPr>
      <w:adjustRightInd w:val="0"/>
      <w:snapToGrid w:val="0"/>
    </w:pPr>
  </w:style>
  <w:style w:type="paragraph" w:customStyle="1" w:styleId="177">
    <w:name w:val="摘要"/>
    <w:basedOn w:val="1"/>
    <w:next w:val="4"/>
    <w:qFormat/>
    <w:uiPriority w:val="0"/>
    <w:pPr>
      <w:spacing w:line="360" w:lineRule="auto"/>
    </w:pPr>
    <w:rPr>
      <w:rFonts w:eastAsia="黑体"/>
      <w:sz w:val="20"/>
    </w:rPr>
  </w:style>
  <w:style w:type="paragraph" w:customStyle="1" w:styleId="178">
    <w:name w:val="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after="12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6"/>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86">
    <w:name w:val="Char1 Char Char Char"/>
    <w:basedOn w:val="1"/>
    <w:qFormat/>
    <w:uiPriority w:val="0"/>
    <w:rPr>
      <w:rFonts w:ascii="Tahoma" w:hAnsi="Tahoma"/>
      <w:sz w:val="24"/>
    </w:rPr>
  </w:style>
  <w:style w:type="paragraph" w:customStyle="1" w:styleId="187">
    <w:name w:val="样式 标题 1章标题Heading 0Section HeadPIM 1H1h11st levell11H1..."/>
    <w:basedOn w:val="3"/>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b/>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1">
    <w:name w:val="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1"/>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9">
    <w:name w:val="Char Char Char"/>
    <w:basedOn w:val="1"/>
    <w:qFormat/>
    <w:uiPriority w:val="0"/>
    <w:rPr>
      <w:rFonts w:ascii="Tahoma" w:hAnsi="Tahoma"/>
      <w:sz w:val="24"/>
    </w:rPr>
  </w:style>
  <w:style w:type="paragraph" w:customStyle="1" w:styleId="200">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3"/>
    <w:qFormat/>
    <w:uiPriority w:val="0"/>
    <w:pPr>
      <w:keepLines/>
      <w:adjustRightInd w:val="0"/>
      <w:spacing w:before="120" w:after="120" w:line="360" w:lineRule="auto"/>
      <w:jc w:val="center"/>
    </w:pPr>
    <w:rPr>
      <w:rFonts w:ascii="Times New Roman"/>
      <w:b/>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after="60" w:line="360" w:lineRule="auto"/>
      <w:ind w:left="200" w:leftChars="200" w:firstLine="200" w:firstLineChars="200"/>
    </w:pPr>
    <w:rPr>
      <w:sz w:val="24"/>
    </w:rPr>
  </w:style>
  <w:style w:type="paragraph" w:customStyle="1" w:styleId="208">
    <w:name w:val="正文表格"/>
    <w:basedOn w:val="1"/>
    <w:qFormat/>
    <w:uiPriority w:val="0"/>
    <w:pPr>
      <w:adjustRightInd w:val="0"/>
      <w:spacing w:before="40" w:after="4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1"/>
    <w:qFormat/>
    <w:uiPriority w:val="0"/>
    <w:pPr>
      <w:adjustRightInd w:val="0"/>
    </w:pPr>
    <w:rPr>
      <w:color w:val="000000"/>
      <w:lang w:val="en-GB"/>
    </w:rPr>
  </w:style>
  <w:style w:type="paragraph" w:customStyle="1" w:styleId="211">
    <w:name w:val="正文文本缩进 21"/>
    <w:basedOn w:val="1"/>
    <w:qFormat/>
    <w:uiPriority w:val="0"/>
    <w:pPr>
      <w:adjustRightInd w:val="0"/>
      <w:spacing w:before="12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23">
    <w:name w:val="附录3"/>
    <w:basedOn w:val="1"/>
    <w:next w:val="1"/>
    <w:qFormat/>
    <w:uiPriority w:val="0"/>
    <w:p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line="360" w:lineRule="auto"/>
      <w:ind w:firstLine="200" w:firstLineChars="200"/>
    </w:pPr>
    <w:rPr>
      <w:sz w:val="24"/>
    </w:rPr>
  </w:style>
  <w:style w:type="paragraph" w:customStyle="1" w:styleId="226">
    <w:name w:val="Char11"/>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after="12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60"/>
    <w:link w:val="31"/>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character" w:customStyle="1" w:styleId="243">
    <w:name w:val="font11"/>
    <w:basedOn w:val="60"/>
    <w:qFormat/>
    <w:uiPriority w:val="0"/>
    <w:rPr>
      <w:rFonts w:hint="eastAsia" w:ascii="宋体" w:hAnsi="宋体" w:eastAsia="宋体" w:cs="宋体"/>
      <w:color w:val="000000"/>
      <w:sz w:val="22"/>
      <w:szCs w:val="22"/>
      <w:u w:val="none"/>
    </w:rPr>
  </w:style>
  <w:style w:type="character" w:customStyle="1" w:styleId="244">
    <w:name w:val="font21"/>
    <w:basedOn w:val="60"/>
    <w:qFormat/>
    <w:uiPriority w:val="0"/>
    <w:rPr>
      <w:rFonts w:hint="default" w:ascii="Arial" w:hAnsi="Arial" w:cs="Arial"/>
      <w:color w:val="000000"/>
      <w:sz w:val="22"/>
      <w:szCs w:val="22"/>
      <w:u w:val="none"/>
    </w:rPr>
  </w:style>
  <w:style w:type="character" w:customStyle="1" w:styleId="245">
    <w:name w:val="NormalCharacter"/>
    <w:link w:val="1"/>
    <w:semiHidden/>
    <w:qFormat/>
    <w:uiPriority w:val="0"/>
    <w:rPr>
      <w:rFonts w:ascii="Times New Roman" w:hAnsi="Times New Roman" w:eastAsia="宋体" w:cs="Times New Roman"/>
      <w:kern w:val="2"/>
      <w:sz w:val="2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30</Pages>
  <Words>2254</Words>
  <Characters>12851</Characters>
  <Lines>107</Lines>
  <Paragraphs>30</Paragraphs>
  <TotalTime>0</TotalTime>
  <ScaleCrop>false</ScaleCrop>
  <LinksUpToDate>false</LinksUpToDate>
  <CharactersWithSpaces>15075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2023-08-07T11:03:00Z</dcterms:created>
  <dc:creator>周媛媛</dc:creator>
  <cp:lastModifiedBy>李薛龙</cp:lastModifiedBy>
  <cp:lastPrinted>2015-03-25T02:14:00Z</cp:lastPrinted>
  <dcterms:modified xsi:type="dcterms:W3CDTF">2026-06-09T10:51:00Z</dcterms:modified>
  <dc:title>竞争性谈判文件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05F656A91292456398FD608F850B7803</vt:lpwstr>
  </property>
</Properties>
</file>