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pStyle w:val="68"/>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pStyle w:val="68"/>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pPr>
        <w:pStyle w:val="69"/>
        <w:rPr>
          <w:rFonts w:hint="eastAsia" w:ascii="微软雅黑" w:hAnsi="微软雅黑" w:eastAsia="微软雅黑" w:cs="微软雅黑"/>
          <w:b w:val="0"/>
          <w:kern w:val="2"/>
          <w:sz w:val="44"/>
          <w:szCs w:val="44"/>
          <w:lang w:val="en-US" w:eastAsia="zh-CN" w:bidi="ar-SA"/>
        </w:rPr>
      </w:pPr>
    </w:p>
    <w:p>
      <w:pPr>
        <w:spacing w:line="360" w:lineRule="auto"/>
        <w:ind w:firstLine="2520" w:firstLineChars="7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YSB260350</w:t>
      </w:r>
    </w:p>
    <w:p>
      <w:pPr>
        <w:spacing w:line="700" w:lineRule="exact"/>
        <w:ind w:left="4320" w:hanging="4320" w:hangingChars="1200"/>
        <w:jc w:val="both"/>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 xml:space="preserve">              项目名称</w:t>
      </w:r>
      <w:r>
        <w:rPr>
          <w:rFonts w:hint="eastAsia" w:ascii="微软雅黑" w:hAnsi="微软雅黑" w:eastAsia="微软雅黑" w:cs="微软雅黑"/>
          <w:sz w:val="36"/>
          <w:szCs w:val="36"/>
          <w:u w:val="none"/>
          <w:lang w:val="en-US" w:eastAsia="zh-CN"/>
        </w:rPr>
        <w:t>：</w:t>
      </w:r>
      <w:r>
        <w:rPr>
          <w:rFonts w:hint="eastAsia" w:ascii="微软雅黑" w:hAnsi="微软雅黑" w:eastAsia="微软雅黑" w:cs="微软雅黑"/>
          <w:sz w:val="36"/>
          <w:szCs w:val="36"/>
          <w:u w:val="single"/>
          <w:lang w:val="en-US" w:eastAsia="zh-CN"/>
        </w:rPr>
        <w:t>多功能流式点阵仪维保</w:t>
      </w:r>
    </w:p>
    <w:p>
      <w:pPr>
        <w:spacing w:line="700" w:lineRule="exact"/>
        <w:ind w:left="2880" w:hanging="2880" w:hangingChars="800"/>
        <w:jc w:val="both"/>
        <w:rPr>
          <w:rFonts w:hint="eastAsia" w:ascii="微软雅黑" w:hAnsi="微软雅黑" w:eastAsia="微软雅黑" w:cs="微软雅黑"/>
          <w:sz w:val="36"/>
          <w:szCs w:val="36"/>
          <w:lang w:val="en-US" w:eastAsia="zh-CN"/>
        </w:rPr>
      </w:pPr>
    </w:p>
    <w:p>
      <w:pPr>
        <w:spacing w:line="500" w:lineRule="exact"/>
        <w:ind w:firstLine="2520" w:firstLineChars="700"/>
        <w:jc w:val="both"/>
        <w:outlineLvl w:val="0"/>
        <w:rPr>
          <w:rFonts w:hint="eastAsia" w:ascii="微软雅黑" w:hAnsi="微软雅黑" w:eastAsia="微软雅黑" w:cs="微软雅黑"/>
          <w:sz w:val="36"/>
          <w:szCs w:val="36"/>
          <w:lang w:val="en-US" w:eastAsia="zh-CN"/>
        </w:rPr>
      </w:pPr>
    </w:p>
    <w:p>
      <w:pPr>
        <w:spacing w:line="500" w:lineRule="exact"/>
        <w:ind w:firstLine="2520" w:firstLineChars="700"/>
        <w:jc w:val="both"/>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7</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_Toc29440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_Toc29440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_Toc30227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w:t>
      </w:r>
      <w:r>
        <w:rPr>
          <w:sz w:val="24"/>
          <w:szCs w:val="24"/>
        </w:rPr>
        <w:tab/>
      </w:r>
      <w:r>
        <w:rPr>
          <w:sz w:val="24"/>
          <w:szCs w:val="24"/>
        </w:rPr>
        <w:fldChar w:fldCharType="begin"/>
      </w:r>
      <w:r>
        <w:rPr>
          <w:sz w:val="24"/>
          <w:szCs w:val="24"/>
        </w:rPr>
        <w:instrText xml:space="preserve"> PAGEREF _Toc30227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_Toc22677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资格条件</w:t>
      </w:r>
      <w:r>
        <w:rPr>
          <w:sz w:val="24"/>
          <w:szCs w:val="24"/>
        </w:rPr>
        <w:tab/>
      </w:r>
      <w:r>
        <w:rPr>
          <w:sz w:val="24"/>
          <w:szCs w:val="24"/>
        </w:rPr>
        <w:fldChar w:fldCharType="begin"/>
      </w:r>
      <w:r>
        <w:rPr>
          <w:sz w:val="24"/>
          <w:szCs w:val="24"/>
        </w:rPr>
        <w:instrText xml:space="preserve"> PAGEREF _Toc22677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有关说明</w:t>
      </w:r>
      <w:r>
        <w:rPr>
          <w:sz w:val="24"/>
          <w:szCs w:val="24"/>
        </w:rPr>
        <w:tab/>
      </w:r>
      <w:r>
        <w:rPr>
          <w:sz w:val="24"/>
          <w:szCs w:val="24"/>
        </w:rPr>
        <w:fldChar w:fldCharType="begin"/>
      </w:r>
      <w:r>
        <w:rPr>
          <w:sz w:val="24"/>
          <w:szCs w:val="24"/>
        </w:rPr>
        <w:instrText xml:space="preserve"> PAGEREF _Toc13324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_Toc1570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_Toc1570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_Toc23073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w:t>
      </w:r>
      <w:r>
        <w:rPr>
          <w:sz w:val="24"/>
          <w:szCs w:val="24"/>
        </w:rPr>
        <w:tab/>
      </w:r>
      <w:r>
        <w:rPr>
          <w:sz w:val="24"/>
          <w:szCs w:val="24"/>
        </w:rPr>
        <w:fldChar w:fldCharType="begin"/>
      </w:r>
      <w:r>
        <w:rPr>
          <w:sz w:val="24"/>
          <w:szCs w:val="24"/>
        </w:rPr>
        <w:instrText xml:space="preserve"> PAGEREF _Toc23073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_Toc22608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、联系方式</w:t>
      </w:r>
      <w:r>
        <w:rPr>
          <w:sz w:val="24"/>
          <w:szCs w:val="24"/>
        </w:rPr>
        <w:tab/>
      </w:r>
      <w:r>
        <w:rPr>
          <w:sz w:val="24"/>
          <w:szCs w:val="24"/>
        </w:rPr>
        <w:fldChar w:fldCharType="begin"/>
      </w:r>
      <w:r>
        <w:rPr>
          <w:sz w:val="24"/>
          <w:szCs w:val="24"/>
        </w:rPr>
        <w:instrText xml:space="preserve"> PAGEREF _Toc22608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kern w:val="2"/>
          <w:sz w:val="24"/>
          <w:szCs w:val="24"/>
          <w:lang w:val="en-US" w:eastAsia="zh-CN" w:bidi="ar-SA"/>
        </w:rPr>
        <w:t>第二篇 项目技术（质量）需求</w:t>
      </w:r>
      <w:r>
        <w:rPr>
          <w:sz w:val="24"/>
          <w:szCs w:val="24"/>
        </w:rPr>
        <w:tab/>
      </w:r>
      <w:r>
        <w:rPr>
          <w:sz w:val="24"/>
          <w:szCs w:val="24"/>
        </w:rPr>
        <w:fldChar w:fldCharType="begin"/>
      </w:r>
      <w:r>
        <w:rPr>
          <w:sz w:val="24"/>
          <w:szCs w:val="24"/>
        </w:rPr>
        <w:instrText xml:space="preserve"> PAGEREF _Toc9327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_Toc19917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_Toc19917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_Toc16738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_Toc16738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_Toc5181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w:t>
      </w:r>
      <w:r>
        <w:rPr>
          <w:sz w:val="24"/>
          <w:szCs w:val="24"/>
        </w:rPr>
        <w:tab/>
      </w:r>
      <w:r>
        <w:rPr>
          <w:sz w:val="24"/>
          <w:szCs w:val="24"/>
        </w:rPr>
        <w:fldChar w:fldCharType="begin"/>
      </w:r>
      <w:r>
        <w:rPr>
          <w:sz w:val="24"/>
          <w:szCs w:val="24"/>
        </w:rPr>
        <w:instrText xml:space="preserve"> PAGEREF _Toc5181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_Toc22093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三、评标方法</w:t>
      </w:r>
      <w:r>
        <w:rPr>
          <w:sz w:val="24"/>
          <w:szCs w:val="24"/>
        </w:rPr>
        <w:tab/>
      </w:r>
      <w:r>
        <w:rPr>
          <w:sz w:val="24"/>
          <w:szCs w:val="24"/>
        </w:rPr>
        <w:fldChar w:fldCharType="begin"/>
      </w:r>
      <w:r>
        <w:rPr>
          <w:sz w:val="24"/>
          <w:szCs w:val="24"/>
        </w:rPr>
        <w:instrText xml:space="preserve"> PAGEREF _Toc22093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四、评审标准</w:t>
      </w:r>
      <w:r>
        <w:rPr>
          <w:sz w:val="24"/>
          <w:szCs w:val="24"/>
        </w:rPr>
        <w:tab/>
      </w:r>
      <w:r>
        <w:rPr>
          <w:sz w:val="24"/>
          <w:szCs w:val="24"/>
        </w:rPr>
        <w:fldChar w:fldCharType="begin"/>
      </w:r>
      <w:r>
        <w:rPr>
          <w:sz w:val="24"/>
          <w:szCs w:val="24"/>
        </w:rPr>
        <w:instrText xml:space="preserve"> PAGEREF _Toc21990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_Toc25770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、无效响应</w:t>
      </w:r>
      <w:r>
        <w:rPr>
          <w:sz w:val="24"/>
          <w:szCs w:val="24"/>
        </w:rPr>
        <w:tab/>
      </w:r>
      <w:r>
        <w:rPr>
          <w:sz w:val="24"/>
          <w:szCs w:val="24"/>
        </w:rPr>
        <w:fldChar w:fldCharType="begin"/>
      </w:r>
      <w:r>
        <w:rPr>
          <w:sz w:val="24"/>
          <w:szCs w:val="24"/>
        </w:rPr>
        <w:instrText xml:space="preserve"> PAGEREF _Toc25770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_Toc13026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废标条款</w:t>
      </w:r>
      <w:r>
        <w:rPr>
          <w:sz w:val="24"/>
          <w:szCs w:val="24"/>
        </w:rPr>
        <w:tab/>
      </w:r>
      <w:r>
        <w:rPr>
          <w:sz w:val="24"/>
          <w:szCs w:val="24"/>
        </w:rPr>
        <w:fldChar w:fldCharType="begin"/>
      </w:r>
      <w:r>
        <w:rPr>
          <w:sz w:val="24"/>
          <w:szCs w:val="24"/>
        </w:rPr>
        <w:instrText xml:space="preserve"> PAGEREF _Toc13026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_Toc12066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val="0"/>
          <w:sz w:val="24"/>
          <w:szCs w:val="24"/>
        </w:rPr>
        <w:t xml:space="preserve">第五篇  </w:t>
      </w:r>
      <w:r>
        <w:rPr>
          <w:rFonts w:hint="eastAsia" w:ascii="微软雅黑" w:hAnsi="微软雅黑" w:eastAsia="微软雅黑" w:cs="微软雅黑"/>
          <w:bCs w:val="0"/>
          <w:sz w:val="24"/>
          <w:szCs w:val="24"/>
          <w:lang w:eastAsia="zh-CN"/>
        </w:rPr>
        <w:t>投标人</w:t>
      </w:r>
      <w:r>
        <w:rPr>
          <w:rFonts w:hint="eastAsia" w:ascii="微软雅黑" w:hAnsi="微软雅黑" w:eastAsia="微软雅黑" w:cs="微软雅黑"/>
          <w:bCs w:val="0"/>
          <w:sz w:val="24"/>
          <w:szCs w:val="24"/>
        </w:rPr>
        <w:t>须知</w:t>
      </w:r>
      <w:r>
        <w:rPr>
          <w:sz w:val="24"/>
          <w:szCs w:val="24"/>
        </w:rPr>
        <w:tab/>
      </w:r>
      <w:r>
        <w:rPr>
          <w:sz w:val="24"/>
          <w:szCs w:val="24"/>
        </w:rPr>
        <w:fldChar w:fldCharType="begin"/>
      </w:r>
      <w:r>
        <w:rPr>
          <w:sz w:val="24"/>
          <w:szCs w:val="24"/>
        </w:rPr>
        <w:instrText xml:space="preserve"> PAGEREF _Toc12066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_Toc16988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_Toc16988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sz w:val="24"/>
          <w:szCs w:val="24"/>
        </w:rPr>
        <w:tab/>
      </w:r>
      <w:r>
        <w:rPr>
          <w:sz w:val="24"/>
          <w:szCs w:val="24"/>
        </w:rPr>
        <w:fldChar w:fldCharType="begin"/>
      </w:r>
      <w:r>
        <w:rPr>
          <w:sz w:val="24"/>
          <w:szCs w:val="24"/>
        </w:rPr>
        <w:instrText xml:space="preserve"> PAGEREF _Toc31408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要求</w:t>
      </w:r>
      <w:r>
        <w:rPr>
          <w:sz w:val="24"/>
          <w:szCs w:val="24"/>
        </w:rPr>
        <w:tab/>
      </w:r>
      <w:r>
        <w:rPr>
          <w:sz w:val="24"/>
          <w:szCs w:val="24"/>
        </w:rPr>
        <w:fldChar w:fldCharType="begin"/>
      </w:r>
      <w:r>
        <w:rPr>
          <w:sz w:val="24"/>
          <w:szCs w:val="24"/>
        </w:rPr>
        <w:instrText xml:space="preserve"> PAGEREF _Toc7643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_Toc10580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sz w:val="24"/>
          <w:szCs w:val="24"/>
        </w:rPr>
        <w:tab/>
      </w:r>
      <w:r>
        <w:rPr>
          <w:sz w:val="24"/>
          <w:szCs w:val="24"/>
        </w:rPr>
        <w:fldChar w:fldCharType="begin"/>
      </w:r>
      <w:r>
        <w:rPr>
          <w:sz w:val="24"/>
          <w:szCs w:val="24"/>
        </w:rPr>
        <w:instrText xml:space="preserve"> PAGEREF _Toc10580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_Toc23469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w:t>
      </w:r>
      <w:r>
        <w:rPr>
          <w:rFonts w:hint="eastAsia" w:ascii="微软雅黑" w:hAnsi="微软雅黑" w:eastAsia="微软雅黑" w:cs="微软雅黑"/>
          <w:sz w:val="24"/>
          <w:szCs w:val="24"/>
          <w:lang w:val="en-US" w:eastAsia="zh-CN"/>
        </w:rPr>
        <w:t>处理</w:t>
      </w:r>
      <w:r>
        <w:rPr>
          <w:sz w:val="24"/>
          <w:szCs w:val="24"/>
        </w:rPr>
        <w:tab/>
      </w:r>
      <w:r>
        <w:rPr>
          <w:sz w:val="24"/>
          <w:szCs w:val="24"/>
        </w:rPr>
        <w:fldChar w:fldCharType="begin"/>
      </w:r>
      <w:r>
        <w:rPr>
          <w:sz w:val="24"/>
          <w:szCs w:val="24"/>
        </w:rPr>
        <w:instrText xml:space="preserve"> PAGEREF _Toc27460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_Toc6600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_Toc17106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_Toc17106 \h </w:instrText>
      </w:r>
      <w:r>
        <w:rPr>
          <w:sz w:val="24"/>
          <w:szCs w:val="24"/>
        </w:rPr>
        <w:fldChar w:fldCharType="separate"/>
      </w:r>
      <w:r>
        <w:rPr>
          <w:sz w:val="24"/>
          <w:szCs w:val="24"/>
        </w:rPr>
        <w:t>- 14 -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_Toc1185 \h </w:instrText>
      </w:r>
      <w:r>
        <w:rPr>
          <w:sz w:val="24"/>
          <w:szCs w:val="24"/>
        </w:rPr>
        <w:fldChar w:fldCharType="separate"/>
      </w:r>
      <w:r>
        <w:rPr>
          <w:sz w:val="24"/>
          <w:szCs w:val="24"/>
        </w:rPr>
        <w:t>- 16 -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部分</w:t>
      </w:r>
      <w:r>
        <w:rPr>
          <w:sz w:val="24"/>
          <w:szCs w:val="24"/>
        </w:rPr>
        <w:tab/>
      </w:r>
      <w:r>
        <w:rPr>
          <w:sz w:val="24"/>
          <w:szCs w:val="24"/>
        </w:rPr>
        <w:fldChar w:fldCharType="begin"/>
      </w:r>
      <w:r>
        <w:rPr>
          <w:sz w:val="24"/>
          <w:szCs w:val="24"/>
        </w:rPr>
        <w:instrText xml:space="preserve"> PAGEREF _Toc14434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_Toc25027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_Toc25027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_Toc18208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_Toc18208 \h </w:instrText>
      </w:r>
      <w:r>
        <w:rPr>
          <w:sz w:val="24"/>
          <w:szCs w:val="24"/>
        </w:rPr>
        <w:fldChar w:fldCharType="separate"/>
      </w:r>
      <w:r>
        <w:rPr>
          <w:sz w:val="24"/>
          <w:szCs w:val="24"/>
        </w:rPr>
        <w:t>- 23 -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_Toc9271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_Toc9271 \h </w:instrText>
      </w:r>
      <w:r>
        <w:rPr>
          <w:sz w:val="24"/>
          <w:szCs w:val="24"/>
        </w:rPr>
        <w:fldChar w:fldCharType="separate"/>
      </w:r>
      <w:r>
        <w:rPr>
          <w:sz w:val="24"/>
          <w:szCs w:val="24"/>
        </w:rPr>
        <w:t>- 29 -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b/>
          <w:sz w:val="44"/>
          <w:szCs w:val="20"/>
        </w:rPr>
      </w:pPr>
      <w:bookmarkStart w:id="0" w:name="_Toc24037"/>
      <w:bookmarkStart w:id="1" w:name="_Toc29440"/>
      <w:bookmarkStart w:id="2" w:name="_Toc11641050"/>
      <w:bookmarkStart w:id="3" w:name="_Toc106030870"/>
      <w:bookmarkStart w:id="4" w:name="_Toc12789052"/>
      <w:bookmarkStart w:id="5" w:name="_Toc76462316"/>
      <w:r>
        <w:rPr>
          <w:rFonts w:hint="eastAsia" w:ascii="微软雅黑" w:hAnsi="微软雅黑" w:eastAsia="微软雅黑" w:cs="微软雅黑"/>
          <w:b/>
          <w:sz w:val="44"/>
          <w:szCs w:val="20"/>
        </w:rPr>
        <w:t>第一篇  采购邀请书</w:t>
      </w:r>
      <w:bookmarkEnd w:id="0"/>
      <w:bookmarkEnd w:id="1"/>
      <w:bookmarkEnd w:id="2"/>
      <w:bookmarkEnd w:id="3"/>
      <w:bookmarkEnd w:id="4"/>
      <w:bookmarkEnd w:id="5"/>
    </w:p>
    <w:p>
      <w:pPr>
        <w:keepNext w:val="0"/>
        <w:keepLines w:val="0"/>
        <w:pageBreakBefore w:val="0"/>
        <w:widowControl/>
        <w:kinsoku/>
        <w:wordWrap/>
        <w:overflowPunct/>
        <w:topLinePunct w:val="0"/>
        <w:autoSpaceDE/>
        <w:autoSpaceDN/>
        <w:bidi w:val="0"/>
        <w:adjustRightInd w:val="0"/>
        <w:snapToGrid w:val="0"/>
        <w:jc w:val="left"/>
        <w:textAlignment w:val="auto"/>
        <w:rPr>
          <w:rFonts w:hint="eastAsia" w:ascii="微软雅黑" w:hAnsi="微软雅黑" w:eastAsia="微软雅黑" w:cs="微软雅黑"/>
          <w:sz w:val="28"/>
          <w:szCs w:val="20"/>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rPr>
        <w:t>多功能流式点阵仪维保</w:t>
      </w:r>
      <w:r>
        <w:rPr>
          <w:rFonts w:hint="eastAsia" w:ascii="微软雅黑" w:hAnsi="微软雅黑" w:eastAsia="微软雅黑" w:cs="微软雅黑"/>
          <w:sz w:val="24"/>
          <w:szCs w:val="24"/>
          <w:u w:val="none"/>
          <w:lang w:val="en-US" w:eastAsia="zh-CN"/>
        </w:rPr>
        <w:t>项</w:t>
      </w:r>
      <w:r>
        <w:rPr>
          <w:rFonts w:hint="eastAsia" w:ascii="微软雅黑" w:hAnsi="微软雅黑" w:eastAsia="微软雅黑" w:cs="微软雅黑"/>
          <w:sz w:val="24"/>
          <w:szCs w:val="24"/>
        </w:rPr>
        <w:t>目进行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317775175"/>
      <w:bookmarkStart w:id="7" w:name="_Toc313893526"/>
      <w:bookmarkStart w:id="8" w:name="_Toc30227"/>
      <w:bookmarkStart w:id="9" w:name="_Toc76462317"/>
      <w:bookmarkStart w:id="10" w:name="_Toc106030871"/>
      <w:bookmarkStart w:id="11" w:name="_Toc3856"/>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6"/>
      <w:bookmarkEnd w:id="7"/>
      <w:bookmarkEnd w:id="8"/>
      <w:bookmarkEnd w:id="9"/>
      <w:bookmarkEnd w:id="10"/>
      <w:bookmarkEnd w:id="11"/>
    </w:p>
    <w:tbl>
      <w:tblPr>
        <w:tblStyle w:val="57"/>
        <w:tblW w:w="48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2554"/>
        <w:gridCol w:w="2695"/>
        <w:gridCol w:w="898"/>
        <w:gridCol w:w="1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95"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428"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507"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val="en-US" w:eastAsia="zh-CN"/>
              </w:rPr>
              <w:t>最高限价</w:t>
            </w:r>
          </w:p>
        </w:tc>
        <w:tc>
          <w:tcPr>
            <w:tcW w:w="50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765"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YSB260350</w:t>
            </w:r>
          </w:p>
        </w:tc>
        <w:tc>
          <w:tcPr>
            <w:tcW w:w="142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多功能流式点阵仪维保</w:t>
            </w:r>
          </w:p>
        </w:tc>
        <w:tc>
          <w:tcPr>
            <w:tcW w:w="15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kern w:val="0"/>
                <w:sz w:val="21"/>
                <w:szCs w:val="21"/>
                <w:lang w:val="en-US" w:eastAsia="zh-CN"/>
              </w:rPr>
            </w:pPr>
            <w:r>
              <w:rPr>
                <w:rFonts w:hint="eastAsia" w:ascii="微软雅黑" w:hAnsi="微软雅黑" w:eastAsia="微软雅黑" w:cs="微软雅黑"/>
                <w:color w:val="auto"/>
                <w:kern w:val="0"/>
                <w:sz w:val="21"/>
                <w:szCs w:val="21"/>
                <w:lang w:val="en-US" w:eastAsia="zh-CN"/>
              </w:rPr>
              <w:t>9万元</w:t>
            </w:r>
          </w:p>
        </w:tc>
        <w:tc>
          <w:tcPr>
            <w:tcW w:w="50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2000</w:t>
            </w:r>
          </w:p>
        </w:tc>
        <w:tc>
          <w:tcPr>
            <w:tcW w:w="76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22677"/>
      <w:r>
        <w:rPr>
          <w:rFonts w:hint="eastAsia" w:ascii="微软雅黑" w:hAnsi="微软雅黑" w:eastAsia="微软雅黑" w:cs="微软雅黑"/>
          <w:sz w:val="24"/>
        </w:rPr>
        <w:t>二、</w:t>
      </w:r>
      <w:bookmarkEnd w:id="12"/>
      <w:bookmarkEnd w:id="13"/>
      <w:bookmarkEnd w:id="16"/>
      <w:bookmarkStart w:id="18" w:name="_Toc106030873"/>
      <w:bookmarkStart w:id="19" w:name="_Toc76462319"/>
      <w:bookmarkStart w:id="20" w:name="_Toc4480"/>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7"/>
      <w:bookmarkEnd w:id="18"/>
      <w:bookmarkEnd w:id="19"/>
      <w:bookmarkEnd w:id="20"/>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（一）满足《中华人民共和国政府采购法》第二十二条规定；</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投标人特定资格条件</w:t>
      </w:r>
      <w:r>
        <w:rPr>
          <w:rFonts w:hint="eastAsia" w:ascii="微软雅黑" w:hAnsi="微软雅黑" w:eastAsia="微软雅黑" w:cs="微软雅黑"/>
          <w:sz w:val="24"/>
          <w:szCs w:val="24"/>
          <w:lang w:val="en-US" w:eastAsia="zh-CN"/>
        </w:rPr>
        <w:t>：无</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1" w:name="_Toc76462320"/>
      <w:bookmarkStart w:id="22" w:name="_Toc106030874"/>
      <w:bookmarkStart w:id="23" w:name="_Toc27954"/>
      <w:bookmarkStart w:id="24" w:name="_Toc13324"/>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6178"/>
      <w:bookmarkStart w:id="26" w:name="_Toc106034625"/>
      <w:bookmarkStart w:id="27" w:name="_Toc12841"/>
      <w:bookmarkStart w:id="28" w:name="_Toc11956"/>
      <w:bookmarkStart w:id="29" w:name="_Toc525047161"/>
      <w:bookmarkStart w:id="30" w:name="_Toc65660334"/>
      <w:bookmarkStart w:id="31" w:name="_Toc1570"/>
      <w:bookmarkStart w:id="32" w:name="_Toc521053053"/>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应足额交纳保证金（保证金金额详见本篇，一、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内容），并通过银行转账的方式直接转入重庆医科大学附属儿童医院对公账户</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lang w:val="en-US" w:eastAsia="zh-CN"/>
        </w:rPr>
        <w:t>单位：重庆医科大学附属儿童医院，开户行：中国建设银行股份有限公司重庆渝中区观音岩支行，账号：50050101380000000168</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2.各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w:t>
      </w:r>
      <w:r>
        <w:rPr>
          <w:rFonts w:hint="eastAsia" w:ascii="微软雅黑" w:hAnsi="微软雅黑" w:eastAsia="微软雅黑" w:cs="微软雅黑"/>
          <w:color w:val="auto"/>
          <w:sz w:val="24"/>
          <w:szCs w:val="24"/>
        </w:rPr>
        <w:t>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，无息退还至项目报名时所填写的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106034626"/>
      <w:bookmarkStart w:id="34" w:name="_Toc525047162"/>
      <w:bookmarkStart w:id="35" w:name="_Toc4355"/>
      <w:bookmarkStart w:id="36" w:name="_Toc521053054"/>
      <w:bookmarkStart w:id="37" w:name="_Toc65660335"/>
      <w:bookmarkStart w:id="38" w:name="_Toc2945"/>
      <w:bookmarkStart w:id="39" w:name="_Toc1546"/>
      <w:bookmarkStart w:id="40" w:name="_Toc23073"/>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33"/>
      <w:bookmarkEnd w:id="34"/>
      <w:bookmarkEnd w:id="35"/>
      <w:bookmarkEnd w:id="36"/>
      <w:bookmarkEnd w:id="37"/>
      <w:bookmarkEnd w:id="38"/>
      <w:bookmarkStart w:id="41" w:name="_Toc521053055"/>
      <w:bookmarkStart w:id="42" w:name="_Toc106034627"/>
      <w:bookmarkStart w:id="43" w:name="_Toc6563"/>
      <w:bookmarkStart w:id="44" w:name="_Toc65660336"/>
      <w:bookmarkStart w:id="45" w:name="_Toc525047163"/>
      <w:bookmarkStart w:id="46" w:name="_Toc16269"/>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文件有任何实质性疑问，应当以书面形式向招标方提出质疑，并须将该质疑文件纸质版（须加盖提出质疑单位的公章确认）在</w:t>
      </w:r>
      <w:r>
        <w:rPr>
          <w:rFonts w:hint="eastAsia" w:ascii="微软雅黑" w:hAnsi="微软雅黑" w:eastAsia="微软雅黑" w:cs="微软雅黑"/>
          <w:sz w:val="24"/>
          <w:szCs w:val="24"/>
          <w:lang w:val="en-US" w:eastAsia="zh-CN"/>
        </w:rPr>
        <w:t>投标截止时间前</w:t>
      </w:r>
      <w:r>
        <w:rPr>
          <w:rFonts w:hint="eastAsia" w:ascii="微软雅黑" w:hAnsi="微软雅黑" w:eastAsia="微软雅黑" w:cs="微软雅黑"/>
          <w:sz w:val="24"/>
          <w:szCs w:val="24"/>
        </w:rPr>
        <w:t>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733"/>
      <w:bookmarkStart w:id="48" w:name="_Toc521053056"/>
      <w:bookmarkStart w:id="49" w:name="_Toc24901"/>
      <w:bookmarkStart w:id="50" w:name="_Toc22608"/>
      <w:bookmarkStart w:id="51" w:name="_Toc525047164"/>
      <w:bookmarkStart w:id="52" w:name="_Toc65660337"/>
      <w:bookmarkStart w:id="53" w:name="_Toc10415"/>
      <w:bookmarkStart w:id="54" w:name="_Toc106034628"/>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418" w:bottom="1134" w:left="1418" w:header="964" w:footer="992" w:gutter="0"/>
          <w:pgNumType w:fmt="numberInDash"/>
          <w:cols w:space="720" w:num="1"/>
          <w:docGrid w:linePitch="312" w:charSpace="0"/>
        </w:sectPr>
      </w:pPr>
    </w:p>
    <w:p>
      <w:pPr>
        <w:pStyle w:val="3"/>
        <w:tabs>
          <w:tab w:val="left" w:pos="3360"/>
        </w:tabs>
        <w:spacing w:before="0" w:beforeLines="0" w:after="0" w:afterLines="0" w:line="360" w:lineRule="auto"/>
        <w:jc w:val="center"/>
        <w:rPr>
          <w:rFonts w:hint="eastAsia" w:ascii="微软雅黑" w:hAnsi="微软雅黑" w:eastAsia="微软雅黑" w:cs="微软雅黑"/>
          <w:b/>
          <w:kern w:val="2"/>
          <w:sz w:val="44"/>
          <w:szCs w:val="20"/>
          <w:lang w:val="en-US" w:eastAsia="zh-CN" w:bidi="ar-SA"/>
        </w:rPr>
      </w:pPr>
      <w:bookmarkStart w:id="55" w:name="_Toc1625"/>
      <w:bookmarkStart w:id="56" w:name="_Toc32686"/>
      <w:bookmarkStart w:id="57" w:name="_Toc8649"/>
      <w:bookmarkStart w:id="58" w:name="_Toc12959"/>
      <w:bookmarkStart w:id="59" w:name="_Toc1492"/>
      <w:bookmarkStart w:id="60" w:name="_Toc19886"/>
      <w:bookmarkStart w:id="61" w:name="_Toc2422"/>
      <w:bookmarkStart w:id="62" w:name="_Toc26176"/>
      <w:bookmarkStart w:id="63" w:name="_Toc25639"/>
      <w:bookmarkStart w:id="64" w:name="_Toc23143"/>
      <w:bookmarkStart w:id="65" w:name="_Toc5461"/>
      <w:bookmarkStart w:id="66" w:name="_Toc2070"/>
      <w:bookmarkStart w:id="67" w:name="_Toc11017"/>
      <w:bookmarkStart w:id="68" w:name="_Toc725"/>
      <w:bookmarkStart w:id="69" w:name="_Toc75793504"/>
      <w:bookmarkStart w:id="70" w:name="_Toc9327"/>
      <w:bookmarkStart w:id="71" w:name="_Toc106030380"/>
      <w:bookmarkStart w:id="72" w:name="_Toc12789058"/>
      <w:r>
        <w:rPr>
          <w:rFonts w:hint="eastAsia" w:ascii="微软雅黑" w:hAnsi="微软雅黑" w:eastAsia="微软雅黑" w:cs="微软雅黑"/>
          <w:b/>
          <w:kern w:val="2"/>
          <w:sz w:val="44"/>
          <w:szCs w:val="20"/>
          <w:lang w:val="en-US" w:eastAsia="zh-CN" w:bidi="ar-SA"/>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kern w:val="2"/>
          <w:sz w:val="44"/>
          <w:szCs w:val="20"/>
          <w:lang w:val="en-US" w:eastAsia="zh-CN" w:bidi="ar-SA"/>
        </w:rPr>
        <w:t>项目技术（质量）需求</w:t>
      </w:r>
      <w:bookmarkEnd w:id="70"/>
      <w:bookmarkEnd w:id="7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73" w:name="_Toc18470"/>
      <w:bookmarkStart w:id="74" w:name="_Toc32516"/>
      <w:bookmarkStart w:id="75" w:name="_Toc76462325"/>
      <w:bookmarkStart w:id="76" w:name="_Toc3196"/>
      <w:bookmarkStart w:id="77" w:name="_Toc1866"/>
      <w:bookmarkStart w:id="78" w:name="_Toc106030879"/>
      <w:bookmarkStart w:id="79" w:name="_Toc106030882"/>
      <w:bookmarkStart w:id="80" w:name="_Toc76462327"/>
      <w:bookmarkStart w:id="81" w:name="_Toc7791"/>
      <w:r>
        <w:rPr>
          <w:rFonts w:hint="eastAsia" w:ascii="微软雅黑" w:hAnsi="微软雅黑" w:eastAsia="微软雅黑" w:cs="微软雅黑"/>
          <w:sz w:val="24"/>
        </w:rPr>
        <w:t>一、项目基本概况介绍</w:t>
      </w:r>
      <w:bookmarkEnd w:id="73"/>
      <w:bookmarkEnd w:id="74"/>
      <w:bookmarkEnd w:id="75"/>
      <w:bookmarkEnd w:id="76"/>
      <w:bookmarkEnd w:id="77"/>
      <w:bookmarkEnd w:id="78"/>
    </w:p>
    <w:tbl>
      <w:tblPr>
        <w:tblStyle w:val="57"/>
        <w:tblW w:w="41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5"/>
        <w:gridCol w:w="1892"/>
        <w:gridCol w:w="1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2616"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bookmarkStart w:id="82" w:name="_Toc25495"/>
            <w:bookmarkStart w:id="83" w:name="_Toc12384"/>
            <w:bookmarkStart w:id="84" w:name="_Toc106030880"/>
            <w:r>
              <w:rPr>
                <w:rFonts w:hint="eastAsia" w:ascii="微软雅黑" w:hAnsi="微软雅黑" w:eastAsia="微软雅黑" w:cs="微软雅黑"/>
                <w:b/>
                <w:bCs/>
                <w:kern w:val="0"/>
                <w:sz w:val="28"/>
                <w:szCs w:val="28"/>
              </w:rPr>
              <w:t>项目</w:t>
            </w:r>
            <w:r>
              <w:rPr>
                <w:rFonts w:hint="eastAsia" w:ascii="微软雅黑" w:hAnsi="微软雅黑" w:eastAsia="微软雅黑" w:cs="微软雅黑"/>
                <w:b/>
                <w:bCs/>
                <w:kern w:val="0"/>
                <w:sz w:val="28"/>
                <w:szCs w:val="28"/>
                <w:lang w:eastAsia="zh-CN"/>
              </w:rPr>
              <w:t>名称</w:t>
            </w:r>
          </w:p>
        </w:tc>
        <w:tc>
          <w:tcPr>
            <w:tcW w:w="1174"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r>
              <w:rPr>
                <w:rFonts w:hint="eastAsia" w:ascii="微软雅黑" w:hAnsi="微软雅黑" w:eastAsia="微软雅黑" w:cs="微软雅黑"/>
                <w:b/>
                <w:bCs/>
                <w:kern w:val="0"/>
                <w:sz w:val="28"/>
                <w:szCs w:val="28"/>
                <w:lang w:eastAsia="zh-CN"/>
              </w:rPr>
              <w:t>合同期</w:t>
            </w:r>
          </w:p>
        </w:tc>
        <w:tc>
          <w:tcPr>
            <w:tcW w:w="1209"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r>
              <w:rPr>
                <w:rFonts w:hint="eastAsia" w:ascii="微软雅黑" w:hAnsi="微软雅黑" w:eastAsia="微软雅黑" w:cs="微软雅黑"/>
                <w:b/>
                <w:bCs/>
                <w:kern w:val="0"/>
                <w:sz w:val="28"/>
                <w:szCs w:val="28"/>
                <w:lang w:eastAsia="zh-CN"/>
              </w:rPr>
              <w:t>备</w:t>
            </w:r>
            <w:r>
              <w:rPr>
                <w:rFonts w:hint="eastAsia" w:ascii="微软雅黑" w:hAnsi="微软雅黑" w:eastAsia="微软雅黑" w:cs="微软雅黑"/>
                <w:b/>
                <w:bCs/>
                <w:kern w:val="0"/>
                <w:sz w:val="28"/>
                <w:szCs w:val="28"/>
                <w:lang w:val="en-US" w:eastAsia="zh-CN"/>
              </w:rPr>
              <w:t xml:space="preserve"> </w:t>
            </w:r>
            <w:r>
              <w:rPr>
                <w:rFonts w:hint="eastAsia" w:ascii="微软雅黑" w:hAnsi="微软雅黑" w:eastAsia="微软雅黑" w:cs="微软雅黑"/>
                <w:b/>
                <w:bCs/>
                <w:kern w:val="0"/>
                <w:sz w:val="28"/>
                <w:szCs w:val="28"/>
                <w:lang w:eastAsia="zh-CN"/>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2616"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kern w:val="0"/>
                <w:sz w:val="21"/>
                <w:szCs w:val="21"/>
              </w:rPr>
            </w:pPr>
            <w:r>
              <w:rPr>
                <w:rFonts w:hint="eastAsia" w:ascii="微软雅黑" w:hAnsi="微软雅黑" w:eastAsia="微软雅黑" w:cs="微软雅黑"/>
                <w:sz w:val="21"/>
                <w:szCs w:val="21"/>
                <w:lang w:val="en-US" w:eastAsia="zh-CN"/>
              </w:rPr>
              <w:t>多功能流式点阵仪维保</w:t>
            </w:r>
          </w:p>
        </w:tc>
        <w:tc>
          <w:tcPr>
            <w:tcW w:w="1174"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3年</w:t>
            </w:r>
          </w:p>
        </w:tc>
        <w:tc>
          <w:tcPr>
            <w:tcW w:w="1209"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bookmarkEnd w:id="82"/>
      <w:bookmarkEnd w:id="83"/>
      <w:bookmarkEnd w:id="84"/>
    </w:tbl>
    <w:p>
      <w:pPr>
        <w:numPr>
          <w:ilvl w:val="0"/>
          <w:numId w:val="0"/>
        </w:numPr>
        <w:spacing w:line="400" w:lineRule="exact"/>
        <w:ind w:firstLine="480" w:firstLineChars="200"/>
        <w:rPr>
          <w:rFonts w:hint="eastAsia"/>
          <w:lang w:val="en-US" w:eastAsia="zh-CN"/>
        </w:rPr>
      </w:pPr>
      <w:r>
        <w:rPr>
          <w:rFonts w:hint="eastAsia" w:ascii="微软雅黑" w:hAnsi="微软雅黑" w:eastAsia="微软雅黑" w:cs="微软雅黑"/>
          <w:b/>
          <w:bCs/>
          <w:sz w:val="24"/>
          <w:szCs w:val="24"/>
          <w:lang w:val="en-US" w:eastAsia="zh-CN"/>
        </w:rPr>
        <w:t>二、项目内容及要求</w:t>
      </w:r>
    </w:p>
    <w:p>
      <w:pPr>
        <w:snapToGrid w:val="0"/>
        <w:spacing w:line="400" w:lineRule="exact"/>
        <w:ind w:firstLine="480" w:firstLineChars="200"/>
        <w:rPr>
          <w:rFonts w:hint="eastAsia" w:ascii="微软雅黑" w:hAnsi="微软雅黑" w:eastAsia="微软雅黑" w:cs="微软雅黑"/>
          <w:sz w:val="24"/>
          <w:szCs w:val="24"/>
        </w:rPr>
      </w:pPr>
      <w:bookmarkStart w:id="85" w:name="_Toc19917"/>
      <w:r>
        <w:rPr>
          <w:rFonts w:hint="eastAsia" w:ascii="微软雅黑" w:hAnsi="微软雅黑" w:eastAsia="微软雅黑" w:cs="微软雅黑"/>
          <w:sz w:val="24"/>
          <w:szCs w:val="24"/>
        </w:rPr>
        <w:t>设备名称：多功能流式点阵仪</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品牌型号：Luminex 200</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三年服务期内每年提供一次全保臻选服务。在服务期限内，确保仪器性能最优化，要求合同方对采购人的仪器进行日常保养和及时维修；每年提供至少1次定期上门全面保养，检测仪器是否正常并对故障进行维修，并为采购人定期保养的具体时间与采购人视工作负荷事先约定。</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2.服务期内，提供上述luminex整机及所有配件的保修服务。包含但不限于：激光光源，真空泵、仪器显示板、鞘液流系统，管道、电源线、进样针、校检校对维护校准板、加热板等部件及附属设备。</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3.服务期内，若有其它消耗品，需提供参考报价清单。</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响应时间要求：投标人须确保合同内设备开机率≥98%，按照一年365天计算，停机时间一年累计不超过7天，单次停机时间不超过48小时，如果单次停机或累计停机超过时限，每超过一天，则合同期延长两天，并支付采购方（年度维保费用*1%）元/天/台的赔偿金，依此类推；机器正常工作状态后，作为维修结束。乙方提供24小时热线服务电话随时在线响应。接到采购方报修电话后，维修响应时间≤2小时（包括节假日），到达现场时间≤8小时，现场确认故障原因≤24小时。乙方工程师未按要求时间到达现场所造成的停机时间每延长一天（不足一天，按一天计算），合同期延长二天。不需更换配件的，技术人员在到达现场后的1工作日内到达服务实施现场提供维修服务；需更换配件的，技术人员在到达现场后的3工作日内到达服务实施现场提供维修服务。除采购人和供应商另有约定外，所有维保服务须在工作时间提供，即周一至周五（上午8:30-下午5:30）（法定假日除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5.合同期内，每年免费对仪器提供校准服务，并出具校准报告。软件系统每年免费更新，保证更新后的软件为最新版本。</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6.所有维修维保服务需提供原厂全新配件。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7.技术培训：定期对采购人使用科室相关人员进行合同内设备操作和日常保养的培训，含实例介绍、使用注意事项及软件更新的培训等，培训需在医学工程科备案，并提交培训资料。</w:t>
      </w:r>
    </w:p>
    <w:p>
      <w:pPr>
        <w:snapToGrid w:val="0"/>
        <w:spacing w:line="400" w:lineRule="exact"/>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sz w:val="24"/>
          <w:szCs w:val="24"/>
        </w:rPr>
        <w:t>8.每次维修或保养后向采购人提供书面报告。</w:t>
      </w:r>
      <w:r>
        <w:rPr>
          <w:rFonts w:hint="eastAsia" w:ascii="微软雅黑" w:hAnsi="微软雅黑" w:eastAsia="微软雅黑" w:cs="微软雅黑"/>
          <w:kern w:val="2"/>
          <w:sz w:val="24"/>
          <w:szCs w:val="24"/>
          <w:lang w:val="en-US" w:eastAsia="zh-CN" w:bidi="ar-SA"/>
        </w:rPr>
        <w:br w:type="page"/>
      </w:r>
    </w:p>
    <w:p>
      <w:pPr>
        <w:pStyle w:val="4"/>
        <w:spacing w:before="200" w:after="200" w:line="240" w:lineRule="auto"/>
        <w:jc w:val="cente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t xml:space="preserve">第三篇  </w:t>
      </w:r>
      <w:bookmarkEnd w:id="72"/>
      <w:r>
        <w:rPr>
          <w:rFonts w:hint="eastAsia" w:ascii="微软雅黑" w:hAnsi="微软雅黑" w:eastAsia="微软雅黑" w:cs="微软雅黑"/>
          <w:b/>
          <w:sz w:val="44"/>
          <w:szCs w:val="20"/>
        </w:rPr>
        <w:t>项目商务需求</w:t>
      </w:r>
      <w:bookmarkEnd w:id="79"/>
      <w:bookmarkEnd w:id="80"/>
      <w:bookmarkEnd w:id="81"/>
      <w:bookmarkEnd w:id="85"/>
    </w:p>
    <w:tbl>
      <w:tblPr>
        <w:tblStyle w:val="57"/>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服务期限、服务地点及考核方式</w:t>
            </w:r>
          </w:p>
        </w:tc>
        <w:tc>
          <w:tcPr>
            <w:tcW w:w="4271"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bidi="ar-SA"/>
              </w:rPr>
            </w:pPr>
            <w:r>
              <w:rPr>
                <w:rFonts w:hint="eastAsia" w:ascii="微软雅黑" w:hAnsi="微软雅黑" w:eastAsia="微软雅黑" w:cs="微软雅黑"/>
                <w:b w:val="0"/>
                <w:bCs w:val="0"/>
                <w:color w:val="auto"/>
                <w:kern w:val="0"/>
                <w:sz w:val="21"/>
                <w:szCs w:val="21"/>
                <w:lang w:val="en-US" w:eastAsia="zh-CN" w:bidi="ar-SA"/>
              </w:rPr>
              <w:t>以合同签订之日起，共计3年。（不包含因未达到服务质量要求而顺延的保修期时间）；</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bidi="ar-SA"/>
              </w:rPr>
            </w:pPr>
            <w:r>
              <w:rPr>
                <w:rFonts w:hint="eastAsia" w:ascii="微软雅黑" w:hAnsi="微软雅黑" w:eastAsia="微软雅黑" w:cs="微软雅黑"/>
                <w:b w:val="0"/>
                <w:bCs w:val="0"/>
                <w:color w:val="auto"/>
                <w:kern w:val="0"/>
                <w:sz w:val="21"/>
                <w:szCs w:val="21"/>
                <w:lang w:val="en-US" w:eastAsia="zh-CN" w:bidi="ar-SA"/>
              </w:rPr>
              <w:t>交货地点：重庆医科大学附属儿童医院；科室及医学工程科现场验收。在服务合同期内，达到全年开机率及响应时效要求，并提供经设备使用科室及医学工程科确认每次维修、保养的报告，并达到服务要求。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71"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1"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bidi="ar-SA"/>
              </w:rPr>
            </w:pPr>
            <w:r>
              <w:rPr>
                <w:rFonts w:hint="eastAsia" w:ascii="微软雅黑" w:hAnsi="微软雅黑" w:eastAsia="微软雅黑" w:cs="微软雅黑"/>
                <w:b w:val="0"/>
                <w:bCs w:val="0"/>
                <w:color w:val="auto"/>
                <w:kern w:val="0"/>
                <w:sz w:val="21"/>
                <w:szCs w:val="21"/>
                <w:lang w:val="en-US" w:eastAsia="zh-CN" w:bidi="ar-SA"/>
              </w:rPr>
              <w:t>1.该项目可在投标现场进行二次报价。</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bidi="ar-SA"/>
              </w:rPr>
            </w:pPr>
            <w:r>
              <w:rPr>
                <w:rFonts w:hint="eastAsia" w:ascii="微软雅黑" w:hAnsi="微软雅黑" w:eastAsia="微软雅黑" w:cs="微软雅黑"/>
                <w:b w:val="0"/>
                <w:bCs w:val="0"/>
                <w:color w:val="auto"/>
                <w:kern w:val="0"/>
                <w:sz w:val="21"/>
                <w:szCs w:val="21"/>
                <w:lang w:val="en-US" w:eastAsia="zh-CN" w:bidi="ar-SA"/>
              </w:rPr>
              <w:t>2.该项目需对项目包干总价进行报价，包括完成本项目所需的所有费用及各种应纳的税费。因中标人自身原因造成漏</w:t>
            </w:r>
            <w:bookmarkStart w:id="169" w:name="_GoBack"/>
            <w:bookmarkEnd w:id="169"/>
            <w:r>
              <w:rPr>
                <w:rFonts w:hint="eastAsia" w:ascii="微软雅黑" w:hAnsi="微软雅黑" w:eastAsia="微软雅黑" w:cs="微软雅黑"/>
                <w:b w:val="0"/>
                <w:bCs w:val="0"/>
                <w:color w:val="auto"/>
                <w:kern w:val="0"/>
                <w:sz w:val="21"/>
                <w:szCs w:val="21"/>
                <w:lang w:val="en-US" w:eastAsia="zh-CN" w:bidi="ar-SA"/>
              </w:rPr>
              <w:t>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1" w:type="pct"/>
            <w:vAlign w:val="center"/>
          </w:tcPr>
          <w:p>
            <w:pPr>
              <w:pStyle w:val="69"/>
              <w:rPr>
                <w:rFonts w:hint="eastAsia" w:ascii="微软雅黑" w:hAnsi="微软雅黑" w:eastAsia="微软雅黑" w:cs="微软雅黑"/>
                <w:b w:val="0"/>
                <w:bCs w:val="0"/>
                <w:color w:val="auto"/>
                <w:kern w:val="0"/>
                <w:sz w:val="21"/>
                <w:szCs w:val="21"/>
                <w:lang w:val="en-US" w:eastAsia="zh-CN" w:bidi="ar-SA"/>
              </w:rPr>
            </w:pPr>
            <w:r>
              <w:rPr>
                <w:rFonts w:hint="eastAsia" w:ascii="微软雅黑" w:hAnsi="微软雅黑" w:eastAsia="微软雅黑" w:cs="微软雅黑"/>
                <w:b w:val="0"/>
                <w:bCs w:val="0"/>
                <w:color w:val="auto"/>
                <w:kern w:val="0"/>
                <w:sz w:val="21"/>
                <w:szCs w:val="21"/>
                <w:lang w:val="en-US" w:eastAsia="zh-CN" w:bidi="ar-SA"/>
              </w:rPr>
              <w:t>结算方式：先服务后付款，维保合同生效后，每个维保年度结束后乙方向甲方提供当年度的正式发票和已实施维修维护保养记录（一式叁份）与甲方结算，经甲方核对合格后，原则上5 个工作日内按程序办理相关手续，除特殊情况外60个日历日内支付当年度的维保费用。</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bidi="ar-SA"/>
              </w:rPr>
            </w:pPr>
            <w:r>
              <w:rPr>
                <w:rFonts w:hint="eastAsia" w:ascii="微软雅黑" w:hAnsi="微软雅黑" w:eastAsia="微软雅黑" w:cs="微软雅黑"/>
                <w:b w:val="0"/>
                <w:bCs w:val="0"/>
                <w:color w:val="auto"/>
                <w:kern w:val="0"/>
                <w:sz w:val="21"/>
                <w:szCs w:val="21"/>
                <w:lang w:val="en-US" w:eastAsia="zh-CN" w:bidi="ar-SA"/>
              </w:rPr>
              <w:t>付款方式：银行转账。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知识产权</w:t>
            </w:r>
          </w:p>
        </w:tc>
        <w:tc>
          <w:tcPr>
            <w:tcW w:w="4271"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1"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1.投标人必须在响应文件中对以上条款和服务承诺明确列出，承诺内容必须达到本篇及协商文件其他条款的要求。</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2.其他未尽事宜由供需双方在采购合同中详细约定。</w:t>
            </w:r>
          </w:p>
        </w:tc>
      </w:tr>
    </w:tbl>
    <w:p>
      <w:pPr>
        <w:rPr>
          <w:rFonts w:hint="eastAsia" w:ascii="微软雅黑" w:hAnsi="微软雅黑" w:eastAsia="微软雅黑" w:cs="微软雅黑"/>
          <w:b/>
          <w:sz w:val="44"/>
          <w:szCs w:val="20"/>
        </w:rPr>
      </w:pPr>
      <w:bookmarkStart w:id="86" w:name="_Toc76462332"/>
      <w:bookmarkStart w:id="87" w:name="_Toc106030887"/>
      <w:bookmarkStart w:id="88" w:name="_Toc6692"/>
      <w:r>
        <w:rPr>
          <w:rFonts w:hint="eastAsia" w:ascii="微软雅黑" w:hAnsi="微软雅黑" w:eastAsia="微软雅黑" w:cs="微软雅黑"/>
          <w:b/>
          <w:sz w:val="44"/>
          <w:szCs w:val="20"/>
        </w:rPr>
        <w:br w:type="page"/>
      </w:r>
    </w:p>
    <w:bookmarkEnd w:id="86"/>
    <w:bookmarkEnd w:id="87"/>
    <w:bookmarkEnd w:id="88"/>
    <w:p>
      <w:pPr>
        <w:pStyle w:val="4"/>
        <w:pageBreakBefore w:val="0"/>
        <w:spacing w:before="200" w:after="200" w:line="240" w:lineRule="auto"/>
        <w:jc w:val="center"/>
        <w:rPr>
          <w:rFonts w:hint="eastAsia" w:ascii="微软雅黑" w:hAnsi="微软雅黑" w:eastAsia="微软雅黑" w:cs="微软雅黑"/>
          <w:b/>
          <w:sz w:val="44"/>
          <w:szCs w:val="20"/>
        </w:rPr>
      </w:pPr>
      <w:bookmarkStart w:id="89" w:name="_Toc16738"/>
      <w:bookmarkStart w:id="90" w:name="_Toc641"/>
      <w:bookmarkStart w:id="91" w:name="_Toc32163"/>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89"/>
      <w:bookmarkEnd w:id="90"/>
      <w:bookmarkEnd w:id="9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92" w:name="_Toc106030888"/>
      <w:bookmarkStart w:id="93" w:name="_Toc5379"/>
      <w:bookmarkStart w:id="94" w:name="_Toc76462333"/>
      <w:bookmarkStart w:id="95" w:name="_Toc14958"/>
      <w:bookmarkStart w:id="96" w:name="_Toc26698"/>
      <w:bookmarkStart w:id="97" w:name="_Toc5181"/>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92"/>
      <w:bookmarkEnd w:id="93"/>
      <w:bookmarkEnd w:id="94"/>
      <w:bookmarkEnd w:id="95"/>
      <w:bookmarkEnd w:id="96"/>
      <w:bookmarkEnd w:id="9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w:t>
      </w:r>
      <w:r>
        <w:rPr>
          <w:rFonts w:hint="eastAsia" w:ascii="微软雅黑" w:hAnsi="微软雅黑" w:eastAsia="微软雅黑" w:cs="微软雅黑"/>
          <w:sz w:val="24"/>
          <w:szCs w:val="24"/>
          <w:lang w:eastAsia="zh-CN"/>
        </w:rPr>
        <w:t>单位负责人</w:t>
      </w:r>
      <w:r>
        <w:rPr>
          <w:rFonts w:hint="eastAsia" w:ascii="微软雅黑" w:hAnsi="微软雅黑" w:eastAsia="微软雅黑" w:cs="微软雅黑"/>
          <w:sz w:val="24"/>
          <w:szCs w:val="24"/>
        </w:rPr>
        <w:t>（或其授权代表）或自然人参加。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3706" w:type="dxa"/>
            <w:gridSpan w:val="2"/>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5105" w:type="dxa"/>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510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5105"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5105" w:type="dxa"/>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510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按“第一篇三、</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资格要求（三）本项目的特定资格要求”的要求提交（如果有）。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2815" w:type="dxa"/>
            <w:noWrap w:val="0"/>
            <w:vAlign w:val="top"/>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三</w:t>
            </w:r>
            <w:r>
              <w:rPr>
                <w:rFonts w:hint="eastAsia" w:ascii="微软雅黑" w:hAnsi="微软雅黑" w:eastAsia="微软雅黑" w:cs="微软雅黑"/>
                <w:sz w:val="21"/>
                <w:szCs w:val="21"/>
                <w:lang w:eastAsia="zh-CN"/>
              </w:rPr>
              <w:t>）</w:t>
            </w:r>
          </w:p>
        </w:tc>
        <w:tc>
          <w:tcPr>
            <w:tcW w:w="891" w:type="dxa"/>
            <w:noWrap w:val="0"/>
            <w:vAlign w:val="top"/>
          </w:tcPr>
          <w:p>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2815" w:type="dxa"/>
            <w:noWrap w:val="0"/>
            <w:vAlign w:val="top"/>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98" w:name="_Toc27374"/>
      <w:r>
        <w:rPr>
          <w:rFonts w:hint="eastAsia" w:ascii="微软雅黑" w:hAnsi="微软雅黑" w:eastAsia="微软雅黑" w:cs="微软雅黑"/>
          <w:sz w:val="24"/>
        </w:rPr>
        <w:t>二、评标方法</w:t>
      </w:r>
      <w:bookmarkEnd w:id="98"/>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sz w:val="24"/>
          <w:szCs w:val="24"/>
        </w:rPr>
      </w:pPr>
      <w:bookmarkStart w:id="99" w:name="_Toc30944"/>
      <w:bookmarkStart w:id="100" w:name="_Toc106030889"/>
      <w:bookmarkStart w:id="101" w:name="_Toc76462334"/>
      <w:bookmarkStart w:id="102" w:name="_Toc24315"/>
      <w:bookmarkStart w:id="103" w:name="_Toc342913394"/>
      <w:bookmarkStart w:id="104" w:name="_Toc102227320"/>
      <w:r>
        <w:rPr>
          <w:rFonts w:hint="eastAsia" w:ascii="微软雅黑" w:hAnsi="微软雅黑" w:eastAsia="微软雅黑" w:cs="微软雅黑"/>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（二）推荐中标候选人名单。</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该项目可在投标现场进行二次报价。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99"/>
      <w:bookmarkEnd w:id="100"/>
      <w:bookmarkEnd w:id="101"/>
      <w:bookmarkEnd w:id="102"/>
    </w:p>
    <w:p>
      <w:pPr>
        <w:snapToGrid w:val="0"/>
        <w:spacing w:line="400" w:lineRule="exact"/>
        <w:ind w:firstLine="480" w:firstLineChars="200"/>
        <w:rPr>
          <w:rFonts w:hint="eastAsia" w:ascii="微软雅黑" w:hAnsi="微软雅黑" w:eastAsia="微软雅黑" w:cs="微软雅黑"/>
          <w:sz w:val="24"/>
          <w:szCs w:val="24"/>
        </w:rPr>
      </w:pPr>
      <w:bookmarkStart w:id="105" w:name="_Toc76462335"/>
      <w:bookmarkStart w:id="106" w:name="_Toc106030890"/>
      <w:bookmarkStart w:id="107"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8" w:name="_Toc17606"/>
      <w:r>
        <w:rPr>
          <w:rFonts w:hint="eastAsia" w:ascii="微软雅黑" w:hAnsi="微软雅黑" w:eastAsia="微软雅黑" w:cs="微软雅黑"/>
          <w:sz w:val="24"/>
        </w:rPr>
        <w:t>四、无效响应</w:t>
      </w:r>
      <w:bookmarkEnd w:id="105"/>
      <w:bookmarkEnd w:id="106"/>
      <w:bookmarkEnd w:id="107"/>
      <w:bookmarkEnd w:id="108"/>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9" w:name="_Toc106030891"/>
      <w:bookmarkStart w:id="110" w:name="_Toc12222"/>
      <w:bookmarkStart w:id="111" w:name="_Toc10687"/>
      <w:bookmarkStart w:id="112" w:name="_Toc76462336"/>
      <w:r>
        <w:rPr>
          <w:rFonts w:hint="eastAsia" w:ascii="微软雅黑" w:hAnsi="微软雅黑" w:eastAsia="微软雅黑" w:cs="微软雅黑"/>
          <w:sz w:val="24"/>
        </w:rPr>
        <w:t>五、</w:t>
      </w:r>
      <w:bookmarkEnd w:id="103"/>
      <w:bookmarkEnd w:id="104"/>
      <w:bookmarkEnd w:id="109"/>
      <w:bookmarkEnd w:id="110"/>
      <w:bookmarkEnd w:id="111"/>
      <w:bookmarkEnd w:id="112"/>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（三）在采购过程中符合要求的投标人或者报价未超过采购预算的投标人不足3家的；</w:t>
      </w:r>
      <w:r>
        <w:rPr>
          <w:rFonts w:hint="eastAsia" w:ascii="微软雅黑" w:hAnsi="微软雅黑" w:eastAsia="微软雅黑" w:cs="微软雅黑"/>
          <w:sz w:val="24"/>
          <w:szCs w:val="24"/>
          <w:lang w:eastAsia="zh-CN"/>
        </w:rPr>
        <w:t>（挂网次数大于等于</w:t>
      </w:r>
      <w:r>
        <w:rPr>
          <w:rFonts w:hint="eastAsia" w:ascii="微软雅黑" w:hAnsi="微软雅黑" w:eastAsia="微软雅黑" w:cs="微软雅黑"/>
          <w:sz w:val="24"/>
          <w:szCs w:val="24"/>
          <w:lang w:val="en-US" w:eastAsia="zh-CN"/>
        </w:rPr>
        <w:t>3次的除外)</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微软雅黑" w:hAnsi="微软雅黑" w:eastAsia="微软雅黑" w:cs="微软雅黑"/>
          <w:b/>
          <w:bCs w:val="0"/>
          <w:sz w:val="44"/>
          <w:szCs w:val="20"/>
        </w:rPr>
      </w:pPr>
      <w:bookmarkStart w:id="113" w:name="_Toc106030892"/>
      <w:bookmarkStart w:id="114" w:name="_Toc12066"/>
      <w:bookmarkStart w:id="115" w:name="_Toc76462337"/>
      <w:bookmarkStart w:id="116" w:name="_Toc102227313"/>
      <w:bookmarkStart w:id="117" w:name="_Toc29948"/>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13"/>
      <w:bookmarkEnd w:id="114"/>
      <w:bookmarkEnd w:id="115"/>
      <w:bookmarkEnd w:id="116"/>
      <w:bookmarkEnd w:id="11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8" w:name="_Toc342913389"/>
      <w:bookmarkStart w:id="119" w:name="_Toc76462338"/>
      <w:bookmarkStart w:id="120" w:name="_Toc26717"/>
      <w:bookmarkStart w:id="121" w:name="_Toc16988"/>
      <w:bookmarkStart w:id="122" w:name="_Toc106030893"/>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18"/>
      <w:bookmarkEnd w:id="119"/>
      <w:bookmarkEnd w:id="120"/>
      <w:bookmarkEnd w:id="121"/>
      <w:bookmarkEnd w:id="122"/>
    </w:p>
    <w:p>
      <w:pPr>
        <w:pStyle w:val="143"/>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3" w:name="_Toc342913391"/>
      <w:bookmarkStart w:id="124" w:name="_Toc31408"/>
      <w:bookmarkStart w:id="125" w:name="_Toc106030894"/>
      <w:bookmarkStart w:id="126" w:name="_Toc76462339"/>
      <w:bookmarkStart w:id="127" w:name="_Toc15712"/>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23"/>
      <w:bookmarkEnd w:id="124"/>
      <w:bookmarkEnd w:id="125"/>
      <w:bookmarkEnd w:id="126"/>
      <w:bookmarkEnd w:id="12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28" w:name="_Toc318166429"/>
      <w:bookmarkStart w:id="129" w:name="_Toc318159160"/>
      <w:bookmarkStart w:id="130" w:name="_Toc318159349"/>
      <w:bookmarkStart w:id="131" w:name="_Toc318159780"/>
    </w:p>
    <w:bookmarkEnd w:id="128"/>
    <w:bookmarkEnd w:id="129"/>
    <w:bookmarkEnd w:id="130"/>
    <w:bookmarkEnd w:id="131"/>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2" w:name="_Toc342913392"/>
      <w:bookmarkStart w:id="133" w:name="_Toc102227318"/>
      <w:bookmarkStart w:id="134" w:name="_Toc7643"/>
      <w:bookmarkStart w:id="135" w:name="_Toc26007"/>
      <w:bookmarkStart w:id="136" w:name="_Toc106030895"/>
      <w:bookmarkStart w:id="137" w:name="_Toc76462340"/>
      <w:bookmarkStart w:id="138" w:name="_Toc179714297"/>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32"/>
      <w:bookmarkEnd w:id="133"/>
      <w:bookmarkEnd w:id="134"/>
      <w:bookmarkEnd w:id="135"/>
      <w:bookmarkEnd w:id="136"/>
      <w:bookmarkEnd w:id="137"/>
      <w:bookmarkEnd w:id="13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若响应文件出现计算或表达上的错误，修正错误的原则如下：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1.响应文件中开标一览表（报价表）内容与响应文件中相应内容不一致的，以开标一览表（报价表）为准；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kern w:val="2"/>
          <w:sz w:val="24"/>
          <w:szCs w:val="20"/>
          <w:lang w:val="en-US" w:eastAsia="zh-CN" w:bidi="ar"/>
        </w:rPr>
        <w:t>1.响应文件一式六份，其中正本一份，副本五份，电子文档一份</w:t>
      </w:r>
      <w:r>
        <w:rPr>
          <w:rFonts w:hint="eastAsia" w:ascii="微软雅黑" w:hAnsi="微软雅黑" w:eastAsia="微软雅黑" w:cs="微软雅黑"/>
          <w:sz w:val="24"/>
          <w:szCs w:val="24"/>
        </w:rPr>
        <w:t>（</w:t>
      </w:r>
      <w:r>
        <w:rPr>
          <w:rFonts w:hint="eastAsia" w:ascii="微软雅黑" w:hAnsi="微软雅黑" w:eastAsia="微软雅黑" w:cs="微软雅黑"/>
          <w:b/>
          <w:bCs/>
          <w:sz w:val="24"/>
          <w:szCs w:val="24"/>
          <w:u w:val="single"/>
          <w:lang w:val="en-US" w:eastAsia="zh-CN"/>
        </w:rPr>
        <w:t>电子文档须将完整的响应文件</w:t>
      </w:r>
      <w:r>
        <w:rPr>
          <w:rFonts w:hint="eastAsia" w:ascii="微软雅黑" w:hAnsi="微软雅黑" w:eastAsia="微软雅黑" w:cs="微软雅黑"/>
          <w:b/>
          <w:bCs/>
          <w:sz w:val="24"/>
          <w:szCs w:val="24"/>
          <w:u w:val="single"/>
        </w:rPr>
        <w:t>正本PDF版上传到电子招投标平台</w:t>
      </w:r>
      <w:r>
        <w:rPr>
          <w:rFonts w:hint="eastAsia" w:ascii="微软雅黑" w:hAnsi="微软雅黑" w:eastAsia="微软雅黑" w:cs="微软雅黑"/>
          <w:b/>
          <w:bCs/>
          <w:sz w:val="24"/>
          <w:szCs w:val="24"/>
          <w:u w:val="single"/>
          <w:lang w:eastAsia="zh-CN"/>
        </w:rPr>
        <w:t>，</w:t>
      </w:r>
      <w:r>
        <w:rPr>
          <w:rFonts w:hint="eastAsia" w:ascii="微软雅黑" w:hAnsi="微软雅黑" w:eastAsia="微软雅黑" w:cs="微软雅黑"/>
          <w:b/>
          <w:bCs/>
          <w:sz w:val="24"/>
          <w:szCs w:val="24"/>
          <w:u w:val="single"/>
          <w:lang w:val="en-US" w:eastAsia="zh-CN"/>
        </w:rPr>
        <w:t>如电子文档与纸质响应文件的实质性内容出现差异，则视为未报名成功</w:t>
      </w:r>
      <w:r>
        <w:rPr>
          <w:rFonts w:hint="eastAsia" w:ascii="微软雅黑" w:hAnsi="微软雅黑" w:eastAsia="微软雅黑" w:cs="微软雅黑"/>
          <w:sz w:val="24"/>
          <w:szCs w:val="24"/>
        </w:rPr>
        <w:t>）</w:t>
      </w:r>
      <w:r>
        <w:rPr>
          <w:rFonts w:hint="eastAsia" w:ascii="微软雅黑" w:hAnsi="微软雅黑" w:eastAsia="微软雅黑" w:cs="微软雅黑"/>
          <w:kern w:val="2"/>
          <w:sz w:val="24"/>
          <w:szCs w:val="20"/>
          <w:lang w:val="en-US" w:eastAsia="zh-CN" w:bidi="ar"/>
        </w:rPr>
        <w:t>；</w:t>
      </w:r>
      <w:r>
        <w:rPr>
          <w:rFonts w:hint="eastAsia" w:ascii="微软雅黑" w:hAnsi="微软雅黑" w:eastAsia="微软雅黑" w:cs="微软雅黑"/>
          <w:sz w:val="24"/>
          <w:szCs w:val="24"/>
        </w:rPr>
        <w:t>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pPr>
        <w:pStyle w:val="3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9" w:name="_Toc106030896"/>
      <w:bookmarkStart w:id="140" w:name="_Toc6435"/>
      <w:bookmarkStart w:id="141" w:name="_Toc10580"/>
      <w:bookmarkStart w:id="142" w:name="_Toc76462341"/>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39"/>
      <w:bookmarkEnd w:id="140"/>
      <w:bookmarkEnd w:id="141"/>
      <w:bookmarkEnd w:id="142"/>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3" w:name="_Toc102227321"/>
      <w:bookmarkStart w:id="144" w:name="_Toc23469"/>
      <w:bookmarkStart w:id="145" w:name="_Toc21532"/>
      <w:bookmarkStart w:id="146" w:name="_Toc106030897"/>
      <w:bookmarkStart w:id="147" w:name="_Toc76462342"/>
      <w:bookmarkStart w:id="148" w:name="_Toc342913395"/>
      <w:r>
        <w:rPr>
          <w:rFonts w:hint="eastAsia" w:ascii="微软雅黑" w:hAnsi="微软雅黑" w:eastAsia="微软雅黑" w:cs="微软雅黑"/>
          <w:sz w:val="24"/>
        </w:rPr>
        <w:t>五、成交通知</w:t>
      </w:r>
      <w:bookmarkEnd w:id="143"/>
      <w:bookmarkEnd w:id="144"/>
      <w:bookmarkEnd w:id="145"/>
      <w:bookmarkEnd w:id="146"/>
      <w:bookmarkEnd w:id="147"/>
      <w:bookmarkEnd w:id="14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val="en-US" w:eastAsia="zh-CN"/>
        </w:rPr>
        <w:t>采购管理处公室</w:t>
      </w:r>
      <w:r>
        <w:rPr>
          <w:rFonts w:hint="eastAsia" w:ascii="微软雅黑" w:hAnsi="微软雅黑" w:eastAsia="微软雅黑" w:cs="微软雅黑"/>
          <w:sz w:val="24"/>
          <w:szCs w:val="24"/>
        </w:rPr>
        <w:t>将平台内发出《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9" w:name="_Toc106030898"/>
      <w:bookmarkStart w:id="150" w:name="_Toc27460"/>
      <w:bookmarkStart w:id="151" w:name="_Toc76462343"/>
      <w:bookmarkStart w:id="152" w:name="_Toc21448"/>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49"/>
      <w:bookmarkEnd w:id="150"/>
      <w:bookmarkEnd w:id="151"/>
      <w:bookmarkEnd w:id="15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53" w:name="_Toc76462344"/>
      <w:bookmarkStart w:id="154" w:name="_Toc28334"/>
      <w:bookmarkStart w:id="155" w:name="_Toc106030899"/>
    </w:p>
    <w:p>
      <w:pPr>
        <w:pStyle w:val="4"/>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6" w:name="_Toc6600"/>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53"/>
      <w:bookmarkEnd w:id="154"/>
      <w:bookmarkEnd w:id="155"/>
      <w:bookmarkStart w:id="157" w:name="_Toc102227322"/>
      <w:bookmarkStart w:id="158" w:name="_Toc3372"/>
      <w:bookmarkStart w:id="159" w:name="_Toc76462346"/>
      <w:bookmarkStart w:id="160" w:name="_Toc342913396"/>
      <w:bookmarkStart w:id="161" w:name="_Toc106030901"/>
      <w:bookmarkStart w:id="162" w:name="_Toc12789059"/>
      <w:bookmarkStart w:id="163" w:name="_Toc11641055"/>
      <w:r>
        <w:rPr>
          <w:rFonts w:hint="eastAsia" w:ascii="微软雅黑" w:hAnsi="微软雅黑" w:eastAsia="微软雅黑" w:cs="微软雅黑"/>
          <w:color w:val="auto"/>
          <w:sz w:val="24"/>
        </w:rPr>
        <w:t>签订</w:t>
      </w:r>
      <w:bookmarkEnd w:id="157"/>
      <w:r>
        <w:rPr>
          <w:rFonts w:hint="eastAsia" w:ascii="微软雅黑" w:hAnsi="微软雅黑" w:eastAsia="微软雅黑" w:cs="微软雅黑"/>
          <w:color w:val="auto"/>
          <w:sz w:val="24"/>
        </w:rPr>
        <w:t>合同</w:t>
      </w:r>
      <w:bookmarkEnd w:id="156"/>
      <w:bookmarkEnd w:id="158"/>
      <w:bookmarkEnd w:id="159"/>
      <w:bookmarkEnd w:id="160"/>
      <w:bookmarkEnd w:id="161"/>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w:t>
      </w:r>
      <w:r>
        <w:rPr>
          <w:rFonts w:hint="eastAsia" w:ascii="微软雅黑" w:hAnsi="微软雅黑" w:eastAsia="微软雅黑" w:cs="微软雅黑"/>
          <w:color w:val="auto"/>
          <w:sz w:val="24"/>
          <w:lang w:eastAsia="zh-CN"/>
        </w:rPr>
        <w:t>采购人</w:t>
      </w:r>
      <w:r>
        <w:rPr>
          <w:rFonts w:hint="eastAsia" w:ascii="微软雅黑" w:hAnsi="微软雅黑" w:eastAsia="微软雅黑" w:cs="微软雅黑"/>
          <w:color w:val="auto"/>
          <w:sz w:val="24"/>
        </w:rPr>
        <w:t>将有充分的理由废除授标，将中标人纳入</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62"/>
      <w:bookmarkEnd w:id="163"/>
    </w:p>
    <w:p>
      <w:pPr>
        <w:pStyle w:val="4"/>
        <w:spacing w:before="200" w:after="200" w:line="240" w:lineRule="auto"/>
        <w:jc w:val="center"/>
        <w:rPr>
          <w:rFonts w:hint="eastAsia" w:ascii="微软雅黑" w:hAnsi="微软雅黑" w:eastAsia="微软雅黑" w:cs="微软雅黑"/>
          <w:b/>
          <w:sz w:val="44"/>
          <w:szCs w:val="20"/>
        </w:rPr>
      </w:pPr>
      <w:bookmarkStart w:id="164" w:name="_Hlt41879464"/>
      <w:bookmarkEnd w:id="164"/>
      <w:bookmarkStart w:id="165" w:name="_Toc76462349"/>
      <w:bookmarkStart w:id="166" w:name="_Toc17106"/>
      <w:bookmarkStart w:id="167" w:name="_Toc27984"/>
      <w:bookmarkStart w:id="168" w:name="_Toc106030905"/>
      <w:r>
        <w:rPr>
          <w:rFonts w:hint="eastAsia" w:ascii="微软雅黑" w:hAnsi="微软雅黑" w:eastAsia="微软雅黑" w:cs="微软雅黑"/>
          <w:b/>
          <w:sz w:val="44"/>
          <w:szCs w:val="20"/>
        </w:rPr>
        <w:t>第六篇  响应文件编制要求</w:t>
      </w:r>
      <w:bookmarkEnd w:id="165"/>
      <w:bookmarkEnd w:id="166"/>
      <w:bookmarkEnd w:id="167"/>
      <w:bookmarkEnd w:id="16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（二）明细报价表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技术响应承诺</w:t>
      </w:r>
      <w:r>
        <w:rPr>
          <w:rFonts w:hint="eastAsia" w:ascii="微软雅黑" w:hAnsi="微软雅黑" w:eastAsia="微软雅黑" w:cs="微软雅黑"/>
          <w:sz w:val="24"/>
          <w:szCs w:val="24"/>
        </w:rPr>
        <w:t>（格式自定）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商务响应</w:t>
      </w:r>
      <w:r>
        <w:rPr>
          <w:rFonts w:hint="eastAsia" w:ascii="微软雅黑" w:hAnsi="微软雅黑" w:eastAsia="微软雅黑" w:cs="微软雅黑"/>
          <w:sz w:val="24"/>
          <w:szCs w:val="24"/>
        </w:rPr>
        <w:t>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t>五、其他资料</w:t>
      </w:r>
    </w:p>
    <w:p>
      <w:pPr>
        <w:spacing w:line="360" w:lineRule="auto"/>
        <w:jc w:val="both"/>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21377C"/>
    <w:rsid w:val="026C7369"/>
    <w:rsid w:val="030620E3"/>
    <w:rsid w:val="043206CC"/>
    <w:rsid w:val="079B568B"/>
    <w:rsid w:val="07F103E0"/>
    <w:rsid w:val="092E6FC0"/>
    <w:rsid w:val="09A32CA4"/>
    <w:rsid w:val="0A823A37"/>
    <w:rsid w:val="0AC159DE"/>
    <w:rsid w:val="0B264DAA"/>
    <w:rsid w:val="0B4077B6"/>
    <w:rsid w:val="0BB87E47"/>
    <w:rsid w:val="0BC54681"/>
    <w:rsid w:val="0D1F249B"/>
    <w:rsid w:val="0E727B5D"/>
    <w:rsid w:val="10DB6AB4"/>
    <w:rsid w:val="11EB1626"/>
    <w:rsid w:val="147A5E14"/>
    <w:rsid w:val="14D956BC"/>
    <w:rsid w:val="15935DB5"/>
    <w:rsid w:val="15BB3449"/>
    <w:rsid w:val="17351C20"/>
    <w:rsid w:val="1788079A"/>
    <w:rsid w:val="178B1D79"/>
    <w:rsid w:val="17A1211B"/>
    <w:rsid w:val="18ED7A84"/>
    <w:rsid w:val="19255AF5"/>
    <w:rsid w:val="193B151F"/>
    <w:rsid w:val="198C43BA"/>
    <w:rsid w:val="1A7E6296"/>
    <w:rsid w:val="1C5F6A76"/>
    <w:rsid w:val="1D004156"/>
    <w:rsid w:val="1F0D01CA"/>
    <w:rsid w:val="1FB23339"/>
    <w:rsid w:val="20FD7945"/>
    <w:rsid w:val="210746C9"/>
    <w:rsid w:val="21864056"/>
    <w:rsid w:val="21F05643"/>
    <w:rsid w:val="223427F4"/>
    <w:rsid w:val="224815AE"/>
    <w:rsid w:val="2486441F"/>
    <w:rsid w:val="24A264A9"/>
    <w:rsid w:val="25707285"/>
    <w:rsid w:val="2A7C79AC"/>
    <w:rsid w:val="2AA01F44"/>
    <w:rsid w:val="2CC005E5"/>
    <w:rsid w:val="2E2D3EDF"/>
    <w:rsid w:val="300C58E0"/>
    <w:rsid w:val="30B221E5"/>
    <w:rsid w:val="31ED6DCC"/>
    <w:rsid w:val="332D1E43"/>
    <w:rsid w:val="33564527"/>
    <w:rsid w:val="34CF6884"/>
    <w:rsid w:val="35397720"/>
    <w:rsid w:val="359927BC"/>
    <w:rsid w:val="38141CAD"/>
    <w:rsid w:val="39AA75C6"/>
    <w:rsid w:val="39C353F8"/>
    <w:rsid w:val="3AA74FA8"/>
    <w:rsid w:val="3AC32089"/>
    <w:rsid w:val="3ACE5D4F"/>
    <w:rsid w:val="3C045DD1"/>
    <w:rsid w:val="3C55524B"/>
    <w:rsid w:val="3CD2331B"/>
    <w:rsid w:val="3D175F93"/>
    <w:rsid w:val="3D525F31"/>
    <w:rsid w:val="3DF6488D"/>
    <w:rsid w:val="3E3B40E7"/>
    <w:rsid w:val="3EEC6CD3"/>
    <w:rsid w:val="3F120674"/>
    <w:rsid w:val="3F1C71CA"/>
    <w:rsid w:val="3FDB0AF9"/>
    <w:rsid w:val="406334F2"/>
    <w:rsid w:val="409F14A1"/>
    <w:rsid w:val="415F6EA3"/>
    <w:rsid w:val="41B20BF4"/>
    <w:rsid w:val="42395B6E"/>
    <w:rsid w:val="423A7D1B"/>
    <w:rsid w:val="452C7897"/>
    <w:rsid w:val="45C76B65"/>
    <w:rsid w:val="47690EAD"/>
    <w:rsid w:val="479F10AA"/>
    <w:rsid w:val="48794403"/>
    <w:rsid w:val="487A6880"/>
    <w:rsid w:val="48CC3872"/>
    <w:rsid w:val="492B622D"/>
    <w:rsid w:val="494B5EE6"/>
    <w:rsid w:val="494C6B8D"/>
    <w:rsid w:val="497B7CB3"/>
    <w:rsid w:val="49DD37B6"/>
    <w:rsid w:val="4AA8351C"/>
    <w:rsid w:val="4B2D12E0"/>
    <w:rsid w:val="4B303151"/>
    <w:rsid w:val="4BEB6B31"/>
    <w:rsid w:val="4D4E307F"/>
    <w:rsid w:val="4DD36371"/>
    <w:rsid w:val="4F070047"/>
    <w:rsid w:val="4F3C244F"/>
    <w:rsid w:val="50F458C0"/>
    <w:rsid w:val="51073809"/>
    <w:rsid w:val="5115115D"/>
    <w:rsid w:val="52012A17"/>
    <w:rsid w:val="521E4A24"/>
    <w:rsid w:val="52D92ACB"/>
    <w:rsid w:val="52D93D20"/>
    <w:rsid w:val="53B4776F"/>
    <w:rsid w:val="53DF1E3A"/>
    <w:rsid w:val="558E730F"/>
    <w:rsid w:val="568C5652"/>
    <w:rsid w:val="57857077"/>
    <w:rsid w:val="57EF5962"/>
    <w:rsid w:val="596B5247"/>
    <w:rsid w:val="5B9C3E91"/>
    <w:rsid w:val="5CA67F0E"/>
    <w:rsid w:val="5FD8265A"/>
    <w:rsid w:val="600122C5"/>
    <w:rsid w:val="60E05AE3"/>
    <w:rsid w:val="614516F9"/>
    <w:rsid w:val="61625D90"/>
    <w:rsid w:val="632C5478"/>
    <w:rsid w:val="63771B5C"/>
    <w:rsid w:val="639D20F7"/>
    <w:rsid w:val="65C328F3"/>
    <w:rsid w:val="66246E50"/>
    <w:rsid w:val="67A04914"/>
    <w:rsid w:val="68BD663A"/>
    <w:rsid w:val="692F74C0"/>
    <w:rsid w:val="69537A0E"/>
    <w:rsid w:val="696405DD"/>
    <w:rsid w:val="6A232BBB"/>
    <w:rsid w:val="6B26444A"/>
    <w:rsid w:val="6B2E5407"/>
    <w:rsid w:val="6DDF6239"/>
    <w:rsid w:val="6F4859CD"/>
    <w:rsid w:val="6FE969BF"/>
    <w:rsid w:val="70003319"/>
    <w:rsid w:val="701245F9"/>
    <w:rsid w:val="71175C34"/>
    <w:rsid w:val="71342D51"/>
    <w:rsid w:val="71D760BF"/>
    <w:rsid w:val="747D277F"/>
    <w:rsid w:val="74D70DF7"/>
    <w:rsid w:val="750950F5"/>
    <w:rsid w:val="750D16CF"/>
    <w:rsid w:val="77557570"/>
    <w:rsid w:val="789F3DA6"/>
    <w:rsid w:val="78A52377"/>
    <w:rsid w:val="78EF15F1"/>
    <w:rsid w:val="79082185"/>
    <w:rsid w:val="7A6F77AB"/>
    <w:rsid w:val="7A98155F"/>
    <w:rsid w:val="7AAC4823"/>
    <w:rsid w:val="7B5B7497"/>
    <w:rsid w:val="7BEF5F10"/>
    <w:rsid w:val="7DF1049E"/>
    <w:rsid w:val="7E2157DA"/>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2"/>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3"/>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4"/>
    <w:qFormat/>
    <w:uiPriority w:val="0"/>
  </w:style>
  <w:style w:type="paragraph" w:styleId="33">
    <w:name w:val="Body Text Indent 2"/>
    <w:basedOn w:val="1"/>
    <w:link w:val="75"/>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6"/>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7"/>
    <w:qFormat/>
    <w:uiPriority w:val="0"/>
    <w:pPr>
      <w:adjustRightInd/>
      <w:spacing w:line="240" w:lineRule="auto"/>
      <w:textAlignment w:val="auto"/>
    </w:pPr>
  </w:style>
  <w:style w:type="paragraph" w:styleId="55">
    <w:name w:val="Body Text First Indent"/>
    <w:basedOn w:val="1"/>
    <w:next w:val="1"/>
    <w:qFormat/>
    <w:uiPriority w:val="0"/>
    <w:pPr>
      <w:spacing w:line="360" w:lineRule="auto"/>
      <w:ind w:firstLine="420"/>
    </w:pPr>
    <w:rPr>
      <w:rFonts w:ascii="宋体" w:hAnsi="宋体"/>
      <w:sz w:val="24"/>
    </w:rPr>
  </w:style>
  <w:style w:type="paragraph" w:styleId="56">
    <w:name w:val="Body Text First Indent 2"/>
    <w:basedOn w:val="23"/>
    <w:link w:val="78"/>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basedOn w:val="59"/>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Char"/>
    <w:link w:val="4"/>
    <w:qFormat/>
    <w:uiPriority w:val="0"/>
    <w:rPr>
      <w:rFonts w:ascii="Arial" w:hAnsi="Arial" w:eastAsia="黑体"/>
      <w:b/>
      <w:kern w:val="2"/>
      <w:sz w:val="32"/>
    </w:rPr>
  </w:style>
  <w:style w:type="character" w:customStyle="1" w:styleId="71">
    <w:name w:val="标题 3 Char"/>
    <w:link w:val="5"/>
    <w:qFormat/>
    <w:uiPriority w:val="0"/>
    <w:rPr>
      <w:rFonts w:eastAsia="宋体"/>
      <w:b/>
      <w:kern w:val="2"/>
      <w:sz w:val="32"/>
      <w:lang w:val="en-US" w:eastAsia="zh-CN"/>
    </w:rPr>
  </w:style>
  <w:style w:type="character" w:customStyle="1" w:styleId="72">
    <w:name w:val="批注文字 Char"/>
    <w:link w:val="20"/>
    <w:qFormat/>
    <w:uiPriority w:val="0"/>
    <w:rPr>
      <w:sz w:val="24"/>
    </w:rPr>
  </w:style>
  <w:style w:type="character" w:customStyle="1" w:styleId="73">
    <w:name w:val="正文文本缩进 Char"/>
    <w:link w:val="23"/>
    <w:qFormat/>
    <w:uiPriority w:val="0"/>
    <w:rPr>
      <w:kern w:val="2"/>
      <w:sz w:val="44"/>
    </w:rPr>
  </w:style>
  <w:style w:type="character" w:customStyle="1" w:styleId="74">
    <w:name w:val="日期 Char"/>
    <w:link w:val="32"/>
    <w:qFormat/>
    <w:uiPriority w:val="0"/>
    <w:rPr>
      <w:kern w:val="2"/>
      <w:sz w:val="28"/>
    </w:rPr>
  </w:style>
  <w:style w:type="character" w:customStyle="1" w:styleId="75">
    <w:name w:val="正文文本缩进 2 Char"/>
    <w:link w:val="33"/>
    <w:qFormat/>
    <w:uiPriority w:val="0"/>
    <w:rPr>
      <w:kern w:val="2"/>
      <w:sz w:val="28"/>
    </w:rPr>
  </w:style>
  <w:style w:type="character" w:customStyle="1" w:styleId="76">
    <w:name w:val="脚注文本 Char"/>
    <w:link w:val="40"/>
    <w:qFormat/>
    <w:uiPriority w:val="0"/>
    <w:rPr>
      <w:kern w:val="2"/>
      <w:sz w:val="18"/>
    </w:rPr>
  </w:style>
  <w:style w:type="character" w:customStyle="1" w:styleId="77">
    <w:name w:val="批注主题 Char"/>
    <w:link w:val="54"/>
    <w:qFormat/>
    <w:uiPriority w:val="0"/>
  </w:style>
  <w:style w:type="character" w:customStyle="1" w:styleId="78">
    <w:name w:val="正文首行缩进 2 Char"/>
    <w:link w:val="56"/>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3"/>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8"/>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0"/>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8"/>
    <w:qFormat/>
    <w:uiPriority w:val="0"/>
    <w:rPr>
      <w:rFonts w:ascii="宋体" w:hAnsi="Tahoma"/>
    </w:rPr>
  </w:style>
  <w:style w:type="paragraph" w:customStyle="1" w:styleId="147">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2">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3">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4">
    <w:name w:val="Table Paragraph"/>
    <w:basedOn w:val="1"/>
    <w:qFormat/>
    <w:uiPriority w:val="1"/>
    <w:pPr>
      <w:autoSpaceDE w:val="0"/>
      <w:autoSpaceDN w:val="0"/>
      <w:spacing w:before="99"/>
      <w:jc w:val="left"/>
    </w:pPr>
    <w:rPr>
      <w:rFonts w:hAnsi="宋体" w:cs="宋体"/>
      <w:sz w:val="22"/>
      <w:szCs w:val="22"/>
      <w:lang w:val="zh-CN" w:bidi="zh-CN"/>
    </w:rPr>
  </w:style>
  <w:style w:type="paragraph" w:customStyle="1" w:styleId="245">
    <w:name w:val="p0"/>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1</TotalTime>
  <ScaleCrop>false</ScaleCrop>
  <LinksUpToDate>false</LinksUpToDate>
  <CharactersWithSpaces>13743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李薛龙</cp:lastModifiedBy>
  <cp:lastPrinted>2015-03-25T02:14:00Z</cp:lastPrinted>
  <dcterms:modified xsi:type="dcterms:W3CDTF">2026-07-06T00:55:51Z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6B5EB5377A2141929531074515C26EFD</vt:lpwstr>
  </property>
</Properties>
</file>