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60368</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default" w:ascii="微软雅黑" w:hAnsi="微软雅黑" w:eastAsia="微软雅黑" w:cs="微软雅黑"/>
          <w:sz w:val="36"/>
          <w:szCs w:val="36"/>
          <w:u w:val="single"/>
          <w:lang w:val="en-US" w:eastAsia="zh-CN"/>
        </w:rPr>
        <w:t>CYP2C19基因分型检测试剂盒</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24037"/>
      <w:bookmarkStart w:id="1" w:name="_Toc76462316"/>
      <w:bookmarkStart w:id="2" w:name="_Toc12789052"/>
      <w:bookmarkStart w:id="3" w:name="_Toc7678"/>
      <w:bookmarkStart w:id="4" w:name="_Toc106030870"/>
      <w:bookmarkStart w:id="5" w:name="_Toc11641050"/>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default" w:ascii="微软雅黑" w:hAnsi="微软雅黑" w:eastAsia="微软雅黑" w:cs="微软雅黑"/>
          <w:sz w:val="24"/>
          <w:szCs w:val="24"/>
          <w:u w:val="single"/>
          <w:lang w:val="en-US" w:eastAsia="zh-CN"/>
        </w:rPr>
        <w:t>CYP2C19基因分型检测试剂盒</w:t>
      </w:r>
      <w:r>
        <w:rPr>
          <w:rFonts w:hint="eastAsia" w:ascii="微软雅黑" w:hAnsi="微软雅黑" w:eastAsia="微软雅黑" w:cs="微软雅黑"/>
          <w:sz w:val="24"/>
          <w:szCs w:val="24"/>
        </w:rPr>
        <w:t>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76462317"/>
      <w:bookmarkStart w:id="8" w:name="_Toc313893526"/>
      <w:bookmarkStart w:id="9" w:name="_Toc317775175"/>
      <w:bookmarkStart w:id="10" w:name="_Toc18148"/>
      <w:bookmarkStart w:id="11" w:name="_Toc3856"/>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3115"/>
        <w:gridCol w:w="1282"/>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93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9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YSB260368</w:t>
            </w:r>
          </w:p>
        </w:tc>
        <w:tc>
          <w:tcPr>
            <w:tcW w:w="193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default" w:ascii="微软雅黑" w:hAnsi="微软雅黑" w:eastAsia="微软雅黑" w:cs="微软雅黑"/>
                <w:b w:val="0"/>
                <w:bCs/>
                <w:color w:val="333333"/>
                <w:kern w:val="0"/>
                <w:sz w:val="21"/>
                <w:szCs w:val="21"/>
                <w:lang w:val="en-US" w:eastAsia="zh-CN"/>
              </w:rPr>
              <w:t>CYP2C19基因分型检测试剂盒</w:t>
            </w:r>
          </w:p>
        </w:tc>
        <w:tc>
          <w:tcPr>
            <w:tcW w:w="79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76462319"/>
      <w:bookmarkStart w:id="19" w:name="_Toc4480"/>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27954"/>
      <w:bookmarkStart w:id="23" w:name="_Toc76462320"/>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28629"/>
      <w:bookmarkStart w:id="26" w:name="_Toc65660334"/>
      <w:bookmarkStart w:id="27" w:name="_Toc12841"/>
      <w:bookmarkStart w:id="28" w:name="_Toc11956"/>
      <w:bookmarkStart w:id="29" w:name="_Toc521053053"/>
      <w:bookmarkStart w:id="30" w:name="_Toc106034625"/>
      <w:bookmarkStart w:id="31" w:name="_Toc6178"/>
      <w:bookmarkStart w:id="32" w:name="_Toc52504716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fldChar w:fldCharType="begin"/>
      </w:r>
      <w:r>
        <w:rPr>
          <w:rFonts w:hint="eastAsia" w:ascii="微软雅黑" w:hAnsi="微软雅黑" w:eastAsia="微软雅黑" w:cs="微软雅黑"/>
          <w:color w:val="auto"/>
          <w:sz w:val="24"/>
          <w:szCs w:val="24"/>
          <w:u w:val="single"/>
        </w:rPr>
        <w:instrText xml:space="preserve"> HYPERLINK "mailto:2.成交供应商的保证金，将在与我院完成签订本项目合同并提交采购管理处（将合同扫描文件发送至zbb63632469@qq.com）之后60个工作日内，无息退还至项目报名时所填写的投标单位对公账户。" </w:instrText>
      </w:r>
      <w:r>
        <w:rPr>
          <w:rFonts w:hint="eastAsia" w:ascii="微软雅黑" w:hAnsi="微软雅黑" w:eastAsia="微软雅黑" w:cs="微软雅黑"/>
          <w:color w:val="auto"/>
          <w:sz w:val="24"/>
          <w:szCs w:val="24"/>
          <w:u w:val="single"/>
        </w:rPr>
        <w:fldChar w:fldCharType="separate"/>
      </w: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r>
        <w:rPr>
          <w:rFonts w:hint="eastAsia" w:ascii="微软雅黑" w:hAnsi="微软雅黑" w:eastAsia="微软雅黑" w:cs="微软雅黑"/>
          <w:color w:val="auto"/>
          <w:sz w:val="24"/>
          <w:szCs w:val="24"/>
          <w:u w:val="single"/>
        </w:rPr>
        <w:fldChar w:fldCharType="end"/>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（三）投标人有下列情形之一的，采购人应当不退还投标保证金：</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1.投标人在投标过程中弄虚作假，提供虚假材料的；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2.中标人无正当理由不与采购人签订合同的；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3.中标人将中标项目转让给他人或者在响应文件中未说明且未经采购人同意，将中标项目分包给他人的；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4.中标人拒绝履行合同义务的；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525047162"/>
      <w:bookmarkStart w:id="35" w:name="_Toc521053054"/>
      <w:bookmarkStart w:id="36" w:name="_Toc106034626"/>
      <w:bookmarkStart w:id="37" w:name="_Toc2945"/>
      <w:bookmarkStart w:id="38" w:name="_Toc65660335"/>
      <w:bookmarkStart w:id="39" w:name="_Toc2349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3"/>
      <w:bookmarkStart w:id="42" w:name="_Toc16269"/>
      <w:bookmarkStart w:id="43" w:name="_Toc106034627"/>
      <w:bookmarkStart w:id="44" w:name="_Toc525047163"/>
      <w:bookmarkStart w:id="45" w:name="_Toc521053055"/>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733"/>
      <w:bookmarkStart w:id="48" w:name="_Toc106034628"/>
      <w:bookmarkStart w:id="49" w:name="_Toc10415"/>
      <w:bookmarkStart w:id="50" w:name="_Toc521053056"/>
      <w:bookmarkStart w:id="51" w:name="_Toc24901"/>
      <w:bookmarkStart w:id="52" w:name="_Toc20454"/>
      <w:bookmarkStart w:id="53" w:name="_Toc525047164"/>
      <w:bookmarkStart w:id="54" w:name="_Toc65660337"/>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5461"/>
      <w:bookmarkStart w:id="57" w:name="_Toc25639"/>
      <w:bookmarkStart w:id="58" w:name="_Toc8649"/>
      <w:bookmarkStart w:id="59" w:name="_Toc1492"/>
      <w:bookmarkStart w:id="60" w:name="_Toc11017"/>
      <w:bookmarkStart w:id="61" w:name="_Toc2070"/>
      <w:bookmarkStart w:id="62" w:name="_Toc19886"/>
      <w:bookmarkStart w:id="63" w:name="_Toc32686"/>
      <w:bookmarkStart w:id="64" w:name="_Toc2422"/>
      <w:bookmarkStart w:id="65" w:name="_Toc75793504"/>
      <w:bookmarkStart w:id="66" w:name="_Toc23143"/>
      <w:bookmarkStart w:id="67" w:name="_Toc26176"/>
      <w:bookmarkStart w:id="68" w:name="_Toc725"/>
      <w:bookmarkStart w:id="69" w:name="_Toc1625"/>
      <w:bookmarkStart w:id="70" w:name="_Toc12959"/>
      <w:bookmarkStart w:id="71" w:name="_Toc20802"/>
      <w:bookmarkStart w:id="72" w:name="_Toc106030380"/>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106030381"/>
      <w:bookmarkStart w:id="74" w:name="_Toc7027"/>
      <w:bookmarkStart w:id="75" w:name="_Toc20979"/>
      <w:bookmarkStart w:id="76" w:name="_Toc4519"/>
      <w:bookmarkStart w:id="77" w:name="_Toc29985"/>
      <w:bookmarkStart w:id="78" w:name="_Toc23504"/>
      <w:bookmarkStart w:id="79" w:name="_Toc11703"/>
      <w:bookmarkStart w:id="80" w:name="_Toc19238"/>
      <w:bookmarkStart w:id="81" w:name="_Toc22910"/>
      <w:bookmarkStart w:id="82" w:name="_Toc8370"/>
      <w:bookmarkStart w:id="83" w:name="_Toc4531"/>
      <w:bookmarkStart w:id="84" w:name="_Toc75793505"/>
      <w:bookmarkStart w:id="85" w:name="_Toc4913"/>
      <w:bookmarkStart w:id="86" w:name="_Toc9261"/>
      <w:bookmarkStart w:id="87" w:name="_Toc23656"/>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CYP2C19基因分型检测试剂盒</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106030382"/>
      <w:bookmarkStart w:id="89" w:name="_Toc32262"/>
      <w:bookmarkStart w:id="90" w:name="_Toc23975"/>
      <w:bookmarkStart w:id="91" w:name="_Toc28205"/>
      <w:bookmarkStart w:id="92" w:name="_Toc12568"/>
      <w:bookmarkStart w:id="93" w:name="_Toc27067"/>
      <w:bookmarkStart w:id="94" w:name="_Toc18903"/>
      <w:bookmarkStart w:id="95" w:name="_Toc18800"/>
      <w:bookmarkStart w:id="96" w:name="_Toc26453"/>
      <w:bookmarkStart w:id="97" w:name="_Toc21817"/>
      <w:bookmarkStart w:id="98" w:name="_Toc15696"/>
      <w:bookmarkStart w:id="99" w:name="_Toc5751"/>
      <w:bookmarkStart w:id="100" w:name="_Toc7792"/>
      <w:bookmarkStart w:id="101" w:name="_Toc695"/>
      <w:bookmarkStart w:id="102" w:name="_Toc10143"/>
      <w:bookmarkStart w:id="103" w:name="_Toc75793506"/>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lang w:eastAsia="zh-CN"/>
        </w:rPr>
      </w:pPr>
      <w:bookmarkStart w:id="104" w:name="_Toc106030882"/>
      <w:bookmarkStart w:id="105" w:name="_Toc76462327"/>
      <w:bookmarkStart w:id="106" w:name="_Toc17712"/>
      <w:bookmarkStart w:id="107" w:name="_Toc7791"/>
      <w:r>
        <w:rPr>
          <w:rFonts w:hint="eastAsia" w:ascii="微软雅黑" w:hAnsi="微软雅黑" w:eastAsia="微软雅黑" w:cs="微软雅黑"/>
          <w:sz w:val="24"/>
          <w:szCs w:val="24"/>
          <w:lang w:val="en-US" w:eastAsia="zh-CN"/>
        </w:rPr>
        <w:t>1、检测方法：荧光</w:t>
      </w:r>
      <w:r>
        <w:rPr>
          <w:rFonts w:hint="default" w:ascii="微软雅黑" w:hAnsi="微软雅黑" w:eastAsia="微软雅黑" w:cs="微软雅黑"/>
          <w:sz w:val="24"/>
          <w:szCs w:val="24"/>
        </w:rPr>
        <w:t>PCR法</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2、检测指标：定性检测样本DNA中CYP2C19基因CYP2C19*2（c. 681G＞A）、CYP2C19*3（c. 636G＞A）、CYP2C19*17（c. -806C＞T）三个多态性位点，每个位点均可区分野生型、纯合突变型和杂合突变型；</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3、</w:t>
      </w:r>
      <w:r>
        <w:rPr>
          <w:rFonts w:hint="default" w:ascii="微软雅黑" w:hAnsi="微软雅黑" w:eastAsia="微软雅黑" w:cs="微软雅黑"/>
          <w:sz w:val="24"/>
          <w:szCs w:val="24"/>
        </w:rPr>
        <w:t>样本类型：全血样本</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default" w:ascii="微软雅黑" w:hAnsi="微软雅黑" w:eastAsia="微软雅黑" w:cs="微软雅黑"/>
          <w:sz w:val="24"/>
          <w:szCs w:val="24"/>
        </w:rPr>
        <w:t>检测试剂包含</w:t>
      </w:r>
      <w:r>
        <w:rPr>
          <w:rFonts w:hint="eastAsia" w:ascii="微软雅黑" w:hAnsi="微软雅黑" w:eastAsia="微软雅黑" w:cs="微软雅黑"/>
          <w:sz w:val="24"/>
          <w:szCs w:val="24"/>
          <w:lang w:val="en-US" w:eastAsia="zh-CN"/>
        </w:rPr>
        <w:t>质控</w:t>
      </w:r>
      <w:r>
        <w:rPr>
          <w:rFonts w:hint="default" w:ascii="微软雅黑" w:hAnsi="微软雅黑" w:eastAsia="微软雅黑" w:cs="微软雅黑"/>
          <w:sz w:val="24"/>
          <w:szCs w:val="24"/>
        </w:rPr>
        <w:t>系统</w:t>
      </w:r>
      <w:r>
        <w:rPr>
          <w:rFonts w:hint="eastAsia" w:ascii="微软雅黑" w:hAnsi="微软雅黑" w:eastAsia="微软雅黑" w:cs="微软雅黑"/>
          <w:sz w:val="24"/>
          <w:szCs w:val="24"/>
          <w:lang w:val="en-US" w:eastAsia="zh-CN"/>
        </w:rPr>
        <w:t>和阴阳性对照品；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r>
        <w:rPr>
          <w:rFonts w:hint="default" w:ascii="微软雅黑" w:hAnsi="微软雅黑" w:eastAsia="微软雅黑" w:cs="微软雅黑"/>
          <w:sz w:val="24"/>
          <w:szCs w:val="24"/>
        </w:rPr>
        <w:t>反应体系中包含防污染酶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 xml:space="preserve">预防PCR产物污染；     </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br w:type="page"/>
      </w:r>
    </w:p>
    <w:p>
      <w:pPr>
        <w:snapToGrid w:val="0"/>
        <w:spacing w:line="400" w:lineRule="exact"/>
        <w:ind w:firstLine="480" w:firstLineChars="200"/>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  </w:t>
      </w:r>
    </w:p>
    <w:p>
      <w:pPr>
        <w:pStyle w:val="2"/>
        <w:rPr>
          <w:rFonts w:hint="eastAsia"/>
          <w:b/>
          <w:bCs/>
          <w:lang w:val="en-US" w:eastAsia="zh-CN"/>
        </w:rPr>
      </w:pPr>
    </w:p>
    <w:p>
      <w:pPr>
        <w:snapToGrid w:val="0"/>
        <w:spacing w:line="360" w:lineRule="auto"/>
        <w:ind w:firstLine="880" w:firstLineChars="200"/>
        <w:jc w:val="center"/>
        <w:rPr>
          <w:rFonts w:hint="eastAsia" w:ascii="微软雅黑" w:hAnsi="微软雅黑" w:eastAsia="微软雅黑" w:cs="微软雅黑"/>
          <w:b/>
          <w:bCs/>
          <w:sz w:val="44"/>
        </w:rPr>
      </w:pPr>
      <w:r>
        <w:rPr>
          <w:rFonts w:hint="eastAsia" w:ascii="微软雅黑" w:hAnsi="微软雅黑" w:eastAsia="微软雅黑" w:cs="微软雅黑"/>
          <w:b/>
          <w:bCs/>
          <w:sz w:val="44"/>
        </w:rPr>
        <w:t xml:space="preserve">第三篇  </w:t>
      </w:r>
      <w:bookmarkEnd w:id="55"/>
      <w:r>
        <w:rPr>
          <w:rFonts w:hint="eastAsia" w:ascii="微软雅黑" w:hAnsi="微软雅黑" w:eastAsia="微软雅黑" w:cs="微软雅黑"/>
          <w:b/>
          <w:bCs/>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合同期：三年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交货期：中标人在收到采购人通知后在7个日历日内（或者在采购人临时具体书面指定天数内）将物资运到采购人指定交货地点。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3.免费提供本试剂校准及验证等配套服务，至少每年一次性能验证。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4.若因该试剂对应的收费项目下降，中标供应商需配合医院调整供货价，调整后试剂供货价/项目收费价的比例不得超出定标时的该比例，否则医院可无条件终止采购合同，重新招标。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8" w:name="_Toc76462332"/>
      <w:bookmarkStart w:id="109" w:name="_Toc6692"/>
      <w:bookmarkStart w:id="110"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1"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8"/>
      <w:bookmarkEnd w:id="109"/>
      <w:bookmarkEnd w:id="110"/>
      <w:bookmarkEnd w:id="11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14958"/>
      <w:bookmarkStart w:id="113" w:name="_Toc3410"/>
      <w:bookmarkStart w:id="114" w:name="_Toc76462333"/>
      <w:bookmarkStart w:id="115" w:name="_Toc10603088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2"/>
      <w:bookmarkEnd w:id="113"/>
      <w:bookmarkEnd w:id="114"/>
      <w:bookmarkEnd w:id="11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6" w:name="_Toc29068"/>
      <w:r>
        <w:rPr>
          <w:rFonts w:hint="eastAsia" w:ascii="微软雅黑" w:hAnsi="微软雅黑" w:eastAsia="微软雅黑" w:cs="微软雅黑"/>
          <w:sz w:val="24"/>
        </w:rPr>
        <w:t>二、评标方法</w:t>
      </w:r>
      <w:bookmarkEnd w:id="116"/>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7" w:name="_Toc30944"/>
      <w:bookmarkStart w:id="118" w:name="_Toc106030889"/>
      <w:bookmarkStart w:id="119" w:name="_Toc76462334"/>
      <w:bookmarkStart w:id="120" w:name="_Toc102227320"/>
      <w:bookmarkStart w:id="121" w:name="_Toc342913394"/>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92" w:name="_GoBack"/>
      <w:bookmarkEnd w:id="192"/>
      <w:r>
        <w:rPr>
          <w:rFonts w:hint="eastAsia" w:ascii="微软雅黑" w:hAnsi="微软雅黑" w:eastAsia="微软雅黑" w:cs="微软雅黑"/>
          <w:color w:val="auto"/>
          <w:kern w:val="0"/>
          <w:sz w:val="24"/>
          <w:szCs w:val="24"/>
          <w:lang w:val="en-US" w:eastAsia="zh-CN"/>
        </w:rPr>
        <w:t>。</w:t>
      </w:r>
      <w:bookmarkStart w:id="122"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2"/>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3" w:name="_Toc5837"/>
      <w:bookmarkStart w:id="124" w:name="_Toc13703"/>
      <w:r>
        <w:rPr>
          <w:rFonts w:hint="eastAsia" w:ascii="微软雅黑" w:hAnsi="微软雅黑" w:eastAsia="微软雅黑" w:cs="微软雅黑"/>
          <w:kern w:val="0"/>
          <w:sz w:val="24"/>
          <w:szCs w:val="24"/>
          <w:lang w:val="en-US" w:eastAsia="zh-CN"/>
        </w:rPr>
        <w:t>本项目投标人可在投标现场进行第二次报价。</w:t>
      </w:r>
      <w:bookmarkEnd w:id="123"/>
      <w:bookmarkEnd w:id="12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23723"/>
      <w:r>
        <w:rPr>
          <w:rFonts w:hint="eastAsia" w:ascii="微软雅黑" w:hAnsi="微软雅黑" w:eastAsia="微软雅黑" w:cs="微软雅黑"/>
          <w:sz w:val="24"/>
        </w:rPr>
        <w:t>四、评审标准</w:t>
      </w:r>
      <w:bookmarkEnd w:id="117"/>
      <w:bookmarkEnd w:id="118"/>
      <w:bookmarkEnd w:id="119"/>
      <w:bookmarkEnd w:id="125"/>
    </w:p>
    <w:p>
      <w:pPr>
        <w:snapToGrid w:val="0"/>
        <w:spacing w:line="400" w:lineRule="exact"/>
        <w:ind w:firstLine="480" w:firstLineChars="200"/>
        <w:rPr>
          <w:rFonts w:hint="eastAsia" w:ascii="微软雅黑" w:hAnsi="微软雅黑" w:eastAsia="微软雅黑" w:cs="微软雅黑"/>
          <w:sz w:val="24"/>
          <w:szCs w:val="24"/>
        </w:rPr>
      </w:pPr>
      <w:bookmarkStart w:id="126" w:name="_Toc106030890"/>
      <w:bookmarkStart w:id="127" w:name="_Toc76462335"/>
      <w:bookmarkStart w:id="128"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0"/>
    <w:bookmarkEnd w:id="121"/>
    <w:bookmarkEnd w:id="126"/>
    <w:bookmarkEnd w:id="127"/>
    <w:bookmarkEnd w:id="12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3878"/>
      <w:bookmarkStart w:id="130" w:name="_Toc4326"/>
      <w:r>
        <w:rPr>
          <w:rFonts w:hint="eastAsia" w:ascii="微软雅黑" w:hAnsi="微软雅黑" w:eastAsia="微软雅黑" w:cs="微软雅黑"/>
          <w:sz w:val="24"/>
        </w:rPr>
        <w:t>五、无效响应</w:t>
      </w:r>
      <w:bookmarkEnd w:id="129"/>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10687"/>
      <w:bookmarkStart w:id="132" w:name="_Toc106030891"/>
      <w:bookmarkStart w:id="133" w:name="_Toc76462336"/>
      <w:bookmarkStart w:id="134" w:name="_Toc25327"/>
      <w:bookmarkStart w:id="135" w:name="_Toc22602"/>
      <w:r>
        <w:rPr>
          <w:rFonts w:hint="eastAsia" w:ascii="微软雅黑" w:hAnsi="微软雅黑" w:eastAsia="微软雅黑" w:cs="微软雅黑"/>
          <w:sz w:val="24"/>
        </w:rPr>
        <w:t>六、</w:t>
      </w:r>
      <w:bookmarkEnd w:id="131"/>
      <w:bookmarkEnd w:id="132"/>
      <w:bookmarkEnd w:id="133"/>
      <w:r>
        <w:rPr>
          <w:rFonts w:hint="eastAsia" w:ascii="微软雅黑" w:hAnsi="微软雅黑" w:eastAsia="微软雅黑" w:cs="微软雅黑"/>
          <w:sz w:val="24"/>
        </w:rPr>
        <w:t>废标条款</w:t>
      </w:r>
      <w:bookmarkEnd w:id="134"/>
      <w:bookmarkEnd w:id="13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6" w:name="_Toc102227313"/>
      <w:bookmarkStart w:id="137" w:name="_Toc29948"/>
      <w:bookmarkStart w:id="138" w:name="_Toc76462337"/>
      <w:bookmarkStart w:id="139" w:name="_Toc106030892"/>
      <w:bookmarkStart w:id="140" w:name="_Toc7572"/>
      <w:r>
        <w:rPr>
          <w:rFonts w:hint="eastAsia" w:ascii="微软雅黑" w:hAnsi="微软雅黑" w:eastAsia="微软雅黑" w:cs="微软雅黑"/>
          <w:sz w:val="44"/>
        </w:rPr>
        <w:t>第五篇  投标人须知</w:t>
      </w:r>
      <w:bookmarkEnd w:id="136"/>
      <w:bookmarkEnd w:id="137"/>
      <w:bookmarkEnd w:id="138"/>
      <w:bookmarkEnd w:id="139"/>
      <w:bookmarkEnd w:id="14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76462338"/>
      <w:bookmarkStart w:id="142" w:name="_Toc106030893"/>
      <w:bookmarkStart w:id="143" w:name="_Toc342913389"/>
      <w:bookmarkStart w:id="144" w:name="_Toc9364"/>
      <w:bookmarkStart w:id="145" w:name="_Toc26717"/>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1"/>
      <w:bookmarkEnd w:id="142"/>
      <w:bookmarkEnd w:id="143"/>
      <w:bookmarkEnd w:id="144"/>
      <w:bookmarkEnd w:id="1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106030894"/>
      <w:bookmarkStart w:id="147" w:name="_Toc15712"/>
      <w:bookmarkStart w:id="148" w:name="_Toc76462339"/>
      <w:bookmarkStart w:id="149" w:name="_Toc20281"/>
      <w:bookmarkStart w:id="150" w:name="_Toc342913391"/>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6"/>
      <w:bookmarkEnd w:id="147"/>
      <w:bookmarkEnd w:id="148"/>
      <w:bookmarkEnd w:id="149"/>
      <w:bookmarkEnd w:id="15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1" w:name="_Toc318159349"/>
      <w:bookmarkStart w:id="152" w:name="_Toc318159160"/>
      <w:bookmarkStart w:id="153" w:name="_Toc318159780"/>
      <w:bookmarkStart w:id="154" w:name="_Toc318166429"/>
    </w:p>
    <w:bookmarkEnd w:id="151"/>
    <w:bookmarkEnd w:id="152"/>
    <w:bookmarkEnd w:id="153"/>
    <w:bookmarkEnd w:id="15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102227318"/>
      <w:bookmarkStart w:id="156" w:name="_Toc342913392"/>
      <w:bookmarkStart w:id="157" w:name="_Toc8971"/>
      <w:bookmarkStart w:id="158" w:name="_Toc179714297"/>
      <w:bookmarkStart w:id="159" w:name="_Toc76462340"/>
      <w:bookmarkStart w:id="160" w:name="_Toc26007"/>
      <w:bookmarkStart w:id="161" w:name="_Toc106030895"/>
      <w:r>
        <w:rPr>
          <w:rFonts w:hint="eastAsia" w:ascii="微软雅黑" w:hAnsi="微软雅黑" w:eastAsia="微软雅黑" w:cs="微软雅黑"/>
          <w:sz w:val="24"/>
        </w:rPr>
        <w:t>三、比选要求</w:t>
      </w:r>
      <w:bookmarkEnd w:id="155"/>
      <w:bookmarkEnd w:id="156"/>
      <w:bookmarkEnd w:id="157"/>
      <w:bookmarkEnd w:id="158"/>
      <w:bookmarkEnd w:id="159"/>
      <w:bookmarkEnd w:id="160"/>
      <w:bookmarkEnd w:id="16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2" w:name="_Toc6435"/>
      <w:bookmarkStart w:id="163" w:name="_Toc13378"/>
      <w:bookmarkStart w:id="164" w:name="_Toc106030896"/>
      <w:bookmarkStart w:id="165" w:name="_Toc76462341"/>
      <w:r>
        <w:rPr>
          <w:rFonts w:hint="eastAsia" w:ascii="微软雅黑" w:hAnsi="微软雅黑" w:eastAsia="微软雅黑" w:cs="微软雅黑"/>
          <w:sz w:val="24"/>
        </w:rPr>
        <w:t>四、成交供应商的确认和变更</w:t>
      </w:r>
      <w:bookmarkEnd w:id="162"/>
      <w:bookmarkEnd w:id="163"/>
      <w:bookmarkEnd w:id="164"/>
      <w:bookmarkEnd w:id="16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6" w:name="_Toc712"/>
      <w:bookmarkStart w:id="167" w:name="_Toc76462342"/>
      <w:bookmarkStart w:id="168" w:name="_Toc102227321"/>
      <w:bookmarkStart w:id="169" w:name="_Toc342913395"/>
      <w:bookmarkStart w:id="170" w:name="_Toc21532"/>
      <w:bookmarkStart w:id="171" w:name="_Toc106030897"/>
      <w:r>
        <w:rPr>
          <w:rFonts w:hint="eastAsia" w:ascii="微软雅黑" w:hAnsi="微软雅黑" w:eastAsia="微软雅黑" w:cs="微软雅黑"/>
          <w:sz w:val="24"/>
        </w:rPr>
        <w:t>五、成交通知</w:t>
      </w:r>
      <w:bookmarkEnd w:id="166"/>
      <w:bookmarkEnd w:id="167"/>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2" w:name="_Toc22564"/>
      <w:bookmarkStart w:id="173" w:name="_Toc106030898"/>
      <w:bookmarkStart w:id="174" w:name="_Toc76462343"/>
      <w:bookmarkStart w:id="175" w:name="_Toc21448"/>
      <w:r>
        <w:rPr>
          <w:rFonts w:hint="eastAsia" w:ascii="微软雅黑" w:hAnsi="微软雅黑" w:eastAsia="微软雅黑" w:cs="微软雅黑"/>
          <w:sz w:val="24"/>
        </w:rPr>
        <w:t>六、质疑处理</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6" w:name="_Toc106030899"/>
      <w:bookmarkStart w:id="177" w:name="_Toc76462344"/>
      <w:bookmarkStart w:id="178"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9" w:name="_Toc32500"/>
      <w:r>
        <w:rPr>
          <w:rFonts w:hint="eastAsia" w:ascii="微软雅黑" w:hAnsi="微软雅黑" w:eastAsia="微软雅黑" w:cs="微软雅黑"/>
          <w:sz w:val="24"/>
        </w:rPr>
        <w:t>七、</w:t>
      </w:r>
      <w:bookmarkEnd w:id="176"/>
      <w:bookmarkEnd w:id="177"/>
      <w:bookmarkEnd w:id="178"/>
      <w:bookmarkStart w:id="180" w:name="_Toc102227322"/>
      <w:bookmarkStart w:id="181" w:name="_Toc342913396"/>
      <w:bookmarkStart w:id="182" w:name="_Toc106030901"/>
      <w:bookmarkStart w:id="183" w:name="_Toc76462346"/>
      <w:bookmarkStart w:id="184" w:name="_Toc3372"/>
      <w:bookmarkStart w:id="185" w:name="_Toc12789059"/>
      <w:bookmarkStart w:id="186" w:name="_Toc11641055"/>
      <w:r>
        <w:rPr>
          <w:rFonts w:hint="eastAsia" w:ascii="微软雅黑" w:hAnsi="微软雅黑" w:eastAsia="微软雅黑" w:cs="微软雅黑"/>
          <w:sz w:val="24"/>
        </w:rPr>
        <w:t>签订</w:t>
      </w:r>
      <w:bookmarkEnd w:id="180"/>
      <w:r>
        <w:rPr>
          <w:rFonts w:hint="eastAsia" w:ascii="微软雅黑" w:hAnsi="微软雅黑" w:eastAsia="微软雅黑" w:cs="微软雅黑"/>
          <w:sz w:val="24"/>
        </w:rPr>
        <w:t>合同</w:t>
      </w:r>
      <w:bookmarkEnd w:id="179"/>
      <w:bookmarkEnd w:id="181"/>
      <w:bookmarkEnd w:id="182"/>
      <w:bookmarkEnd w:id="183"/>
      <w:bookmarkEnd w:id="18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5"/>
      <w:bookmarkEnd w:id="186"/>
    </w:p>
    <w:p>
      <w:pPr>
        <w:pStyle w:val="4"/>
        <w:spacing w:before="200" w:after="200" w:line="240" w:lineRule="auto"/>
        <w:jc w:val="center"/>
        <w:rPr>
          <w:rFonts w:hint="eastAsia" w:ascii="微软雅黑" w:hAnsi="微软雅黑" w:eastAsia="微软雅黑" w:cs="微软雅黑"/>
          <w:sz w:val="44"/>
        </w:rPr>
      </w:pPr>
      <w:bookmarkStart w:id="187" w:name="_Hlt41879464"/>
      <w:bookmarkEnd w:id="187"/>
      <w:bookmarkStart w:id="188" w:name="_Toc106030905"/>
      <w:bookmarkStart w:id="189" w:name="_Toc27984"/>
      <w:bookmarkStart w:id="190" w:name="_Toc6345"/>
      <w:bookmarkStart w:id="191" w:name="_Toc76462349"/>
      <w:r>
        <w:rPr>
          <w:rFonts w:hint="eastAsia" w:ascii="微软雅黑" w:hAnsi="微软雅黑" w:eastAsia="微软雅黑" w:cs="微软雅黑"/>
          <w:sz w:val="44"/>
        </w:rPr>
        <w:t>第六篇  响应文件编制要求</w:t>
      </w:r>
      <w:bookmarkEnd w:id="188"/>
      <w:bookmarkEnd w:id="189"/>
      <w:bookmarkEnd w:id="190"/>
      <w:bookmarkEnd w:id="19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183C63"/>
    <w:rsid w:val="043B13F3"/>
    <w:rsid w:val="04EC2E74"/>
    <w:rsid w:val="0501052E"/>
    <w:rsid w:val="056939FB"/>
    <w:rsid w:val="05B83278"/>
    <w:rsid w:val="067530C0"/>
    <w:rsid w:val="079B568B"/>
    <w:rsid w:val="07F103E0"/>
    <w:rsid w:val="08257811"/>
    <w:rsid w:val="08F52CD2"/>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EF909E1"/>
    <w:rsid w:val="0F4F0F37"/>
    <w:rsid w:val="1009316D"/>
    <w:rsid w:val="112E1BB3"/>
    <w:rsid w:val="115C3EAF"/>
    <w:rsid w:val="11E97BB4"/>
    <w:rsid w:val="11ED3999"/>
    <w:rsid w:val="12D87969"/>
    <w:rsid w:val="13C44C6D"/>
    <w:rsid w:val="14093EF5"/>
    <w:rsid w:val="140E691A"/>
    <w:rsid w:val="147A5E14"/>
    <w:rsid w:val="148D1984"/>
    <w:rsid w:val="14D11CFB"/>
    <w:rsid w:val="153901DE"/>
    <w:rsid w:val="15935DB5"/>
    <w:rsid w:val="159B4F18"/>
    <w:rsid w:val="15B252EE"/>
    <w:rsid w:val="15BB3449"/>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1D84F78"/>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D2000A"/>
    <w:rsid w:val="2FD649D6"/>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8DD20CF"/>
    <w:rsid w:val="390C4855"/>
    <w:rsid w:val="3ACE5D4F"/>
    <w:rsid w:val="3B89534D"/>
    <w:rsid w:val="3C55524B"/>
    <w:rsid w:val="3CCE1388"/>
    <w:rsid w:val="3CED5AB6"/>
    <w:rsid w:val="3D117539"/>
    <w:rsid w:val="3DC14F27"/>
    <w:rsid w:val="3DDD46D4"/>
    <w:rsid w:val="3DE559F8"/>
    <w:rsid w:val="3DF6488D"/>
    <w:rsid w:val="3E2734A9"/>
    <w:rsid w:val="3E2D176B"/>
    <w:rsid w:val="3E5E05BF"/>
    <w:rsid w:val="3E880123"/>
    <w:rsid w:val="3F1C71CA"/>
    <w:rsid w:val="3F464493"/>
    <w:rsid w:val="3F5929D1"/>
    <w:rsid w:val="3FB630C0"/>
    <w:rsid w:val="3FD67934"/>
    <w:rsid w:val="406334F2"/>
    <w:rsid w:val="409F14A1"/>
    <w:rsid w:val="415F6EA3"/>
    <w:rsid w:val="42E4764C"/>
    <w:rsid w:val="43291680"/>
    <w:rsid w:val="434A174F"/>
    <w:rsid w:val="44256EDB"/>
    <w:rsid w:val="45277FC2"/>
    <w:rsid w:val="452C7897"/>
    <w:rsid w:val="45C410F4"/>
    <w:rsid w:val="46151D23"/>
    <w:rsid w:val="46AB67D5"/>
    <w:rsid w:val="46D026EE"/>
    <w:rsid w:val="476B30BF"/>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AC54D9F"/>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663793"/>
    <w:rsid w:val="658B38AE"/>
    <w:rsid w:val="660232D5"/>
    <w:rsid w:val="663C214A"/>
    <w:rsid w:val="665B2E8B"/>
    <w:rsid w:val="670A099E"/>
    <w:rsid w:val="688B0082"/>
    <w:rsid w:val="68BD663A"/>
    <w:rsid w:val="692F74C0"/>
    <w:rsid w:val="696405DD"/>
    <w:rsid w:val="69BE2355"/>
    <w:rsid w:val="69CB639D"/>
    <w:rsid w:val="6B75107A"/>
    <w:rsid w:val="6BFE1706"/>
    <w:rsid w:val="6C55768A"/>
    <w:rsid w:val="6D5236ED"/>
    <w:rsid w:val="6E123B42"/>
    <w:rsid w:val="6E2B5D12"/>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C450406"/>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2</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2026-07-13T05:59:51Z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