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公开比选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项目编号：</w:t>
      </w:r>
      <w:r>
        <w:rPr>
          <w:rFonts w:hint="eastAsia" w:ascii="微软雅黑" w:hAnsi="微软雅黑" w:eastAsia="微软雅黑" w:cs="微软雅黑"/>
          <w:color w:val="auto"/>
          <w:sz w:val="36"/>
          <w:szCs w:val="36"/>
          <w:u w:val="single"/>
          <w:lang w:val="en-US" w:eastAsia="zh-CN"/>
        </w:rPr>
        <w:t>YSB260491</w:t>
      </w:r>
    </w:p>
    <w:p>
      <w:pPr>
        <w:spacing w:line="360" w:lineRule="auto"/>
        <w:ind w:firstLine="1800" w:firstLineChars="500"/>
        <w:outlineLvl w:val="0"/>
        <w:rPr>
          <w:rFonts w:hint="eastAsia" w:ascii="微软雅黑" w:hAnsi="微软雅黑" w:eastAsia="微软雅黑" w:cs="微软雅黑"/>
          <w:color w:val="auto"/>
          <w:sz w:val="36"/>
          <w:szCs w:val="36"/>
          <w:u w:val="single"/>
          <w:lang w:val="en-US" w:eastAsia="zh-CN"/>
        </w:rPr>
      </w:pPr>
      <w:r>
        <w:rPr>
          <w:rFonts w:hint="eastAsia" w:ascii="微软雅黑" w:hAnsi="微软雅黑" w:eastAsia="微软雅黑" w:cs="微软雅黑"/>
          <w:color w:val="auto"/>
          <w:sz w:val="36"/>
          <w:szCs w:val="36"/>
        </w:rPr>
        <w:t>项目名称：</w:t>
      </w:r>
      <w:r>
        <w:rPr>
          <w:rFonts w:hint="eastAsia" w:ascii="微软雅黑" w:hAnsi="微软雅黑" w:eastAsia="微软雅黑" w:cs="微软雅黑"/>
          <w:color w:val="auto"/>
          <w:sz w:val="36"/>
          <w:szCs w:val="36"/>
          <w:u w:val="single"/>
          <w:lang w:val="en-US" w:eastAsia="zh-CN"/>
        </w:rPr>
        <w:t>二氧化碳培养箱</w:t>
      </w:r>
    </w:p>
    <w:p>
      <w:pPr>
        <w:spacing w:line="700" w:lineRule="exact"/>
        <w:rPr>
          <w:rFonts w:hint="eastAsia" w:ascii="微软雅黑" w:hAnsi="微软雅黑" w:eastAsia="微软雅黑" w:cs="微软雅黑"/>
          <w:b/>
          <w:color w:val="auto"/>
          <w:sz w:val="36"/>
          <w:szCs w:val="36"/>
        </w:rPr>
      </w:pPr>
    </w:p>
    <w:p>
      <w:pPr>
        <w:spacing w:line="500" w:lineRule="exact"/>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9</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"_Toc27110"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第一篇  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"_Toc13094"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_Toc13094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"_Toc14168"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二、投标人资格条件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_Toc14168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"_Toc9183"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三、比选有关说明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_Toc9183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"_Toc26664"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四、保证金</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_Toc26664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"_Toc24100"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五、其它</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_Toc24100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"_Toc21079"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rPr>
        <w:t xml:space="preserve">    </w:t>
      </w: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"_Toc22327"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第二篇 项目技术（质量）需求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_Toc22327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"_Toc14433"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"_Toc18675"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二、项目技术需求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"_Toc12473"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第三篇  项目商务需求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"_Toc19431"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第四篇  公开比选程序及方法、评审标准、无效响应和采购终止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_Toc19431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"_Toc26127"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_Toc26127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"_Toc27374"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二、评标方法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_Toc27374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"_Toc24315"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三、评审标准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_Toc24315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"_Toc17606"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四、无效响应</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_Toc17606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"_Toc12222"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五、采购终止</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"_Toc13119"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第五篇  投标人须知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_Toc13119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"_Toc20271"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一、公开比选采购费用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_Toc20271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"_Toc27891"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二、公开比选采购文件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"_Toc20510"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三、比选要求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_Toc20510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"_Toc32166"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的确认和变更</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_Toc32166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"_Toc2729"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"_Toc4796"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六、质疑处理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"_Toc23896"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七、签订合同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_Toc23896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"_Toc17526"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第六篇  响应文件编制要求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_Toc17526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"_Toc11260"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_Toc11260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"_Toc2495"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二、服务部分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"_Toc12962"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_Toc12962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sz w:val="24"/>
          <w:szCs w:val="24"/>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"_Toc13280"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_Toc13280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- 24 -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ind w:left="560"/>
        <w:rPr>
          <w:rFonts w:hint="eastAsia" w:ascii="微软雅黑" w:hAnsi="微软雅黑" w:eastAsia="微软雅黑" w:cs="微软雅黑"/>
        </w:rPr>
      </w:pPr>
      <w:r>
        <w:rPr>
          <w:rFonts w:hint="eastAsia" w:ascii="微软雅黑" w:hAnsi="微软雅黑" w:eastAsia="微软雅黑" w:cs="微软雅黑"/>
        </w:rPr>
        <w:fldChar w:fldCharType="begin"/>
      </w:r>
      <w:r>
        <w:rPr>
          <w:rFonts w:hint="eastAsia" w:ascii="微软雅黑" w:hAnsi="微软雅黑" w:eastAsia="微软雅黑" w:cs="微软雅黑"/>
        </w:rPr>
        <w:instrText xml:space="preserve"> HYPERLINK \l "_Toc13605" </w:instrText>
      </w:r>
      <w:r>
        <w:rPr>
          <w:rFonts w:hint="eastAsia" w:ascii="微软雅黑" w:hAnsi="微软雅黑" w:eastAsia="微软雅黑" w:cs="微软雅黑"/>
        </w:rPr>
        <w:fldChar w:fldCharType="separate"/>
      </w:r>
      <w:r>
        <w:rPr>
          <w:rFonts w:hint="eastAsia" w:ascii="微软雅黑" w:hAnsi="微软雅黑" w:eastAsia="微软雅黑" w:cs="微软雅黑"/>
          <w:sz w:val="24"/>
          <w:szCs w:val="24"/>
        </w:rPr>
        <w:t>五、其他资料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_Toc13605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- 30 -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06030870"/>
      <w:bookmarkStart w:id="1" w:name="_Toc11641050"/>
      <w:bookmarkStart w:id="2" w:name="_Toc76462316"/>
      <w:bookmarkStart w:id="3" w:name="_Toc12789052"/>
      <w:bookmarkStart w:id="4" w:name="_Toc27110"/>
      <w:bookmarkStart w:id="5" w:name="_Toc24037"/>
      <w:r>
        <w:rPr>
          <w:rFonts w:hint="eastAsia" w:ascii="微软雅黑" w:hAnsi="微软雅黑" w:eastAsia="微软雅黑" w:cs="微软雅黑"/>
          <w:sz w:val="44"/>
        </w:rPr>
        <w:t>第一篇  采购邀请书</w:t>
      </w:r>
      <w:bookmarkEnd w:id="0"/>
      <w:bookmarkEnd w:id="1"/>
      <w:bookmarkEnd w:id="2"/>
      <w:bookmarkEnd w:id="3"/>
      <w:bookmarkEnd w:id="4"/>
      <w:bookmarkEnd w:id="5"/>
    </w:p>
    <w:p>
      <w:pPr>
        <w:rPr>
          <w:rFonts w:hint="eastAsia" w:ascii="微软雅黑" w:hAnsi="微软雅黑" w:eastAsia="微软雅黑" w:cs="微软雅黑"/>
        </w:rPr>
      </w:pPr>
      <w:r>
        <w:rPr>
          <w:rFonts w:hint="eastAsia" w:ascii="微软雅黑" w:hAnsi="微软雅黑" w:eastAsia="微软雅黑" w:cs="微软雅黑"/>
          <w:sz w:val="24"/>
          <w:szCs w:val="24"/>
        </w:rPr>
        <w:t xml:space="preserve">    重庆医科大学附属儿童医院对</w:t>
      </w:r>
      <w:r>
        <w:rPr>
          <w:rFonts w:hint="eastAsia" w:ascii="微软雅黑" w:hAnsi="微软雅黑" w:eastAsia="微软雅黑" w:cs="微软雅黑"/>
          <w:sz w:val="24"/>
          <w:szCs w:val="24"/>
          <w:u w:val="single"/>
          <w:lang w:val="en-US" w:eastAsia="zh-CN"/>
        </w:rPr>
        <w:t>二氧化碳培养箱</w:t>
      </w:r>
      <w:r>
        <w:rPr>
          <w:rFonts w:hint="eastAsia" w:ascii="微软雅黑" w:hAnsi="微软雅黑" w:eastAsia="微软雅黑" w:cs="微软雅黑"/>
          <w:sz w:val="24"/>
          <w:szCs w:val="24"/>
        </w:rPr>
        <w:t>项目进行公开比选采购。欢迎有资格的投标人前来参与。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313893526"/>
      <w:bookmarkStart w:id="8" w:name="_Toc76462317"/>
      <w:bookmarkStart w:id="9" w:name="_Toc106030871"/>
      <w:bookmarkStart w:id="10" w:name="_Toc3856"/>
      <w:bookmarkStart w:id="11" w:name="_Toc13094"/>
      <w:r>
        <w:rPr>
          <w:rFonts w:hint="eastAsia" w:ascii="微软雅黑" w:hAnsi="微软雅黑" w:eastAsia="微软雅黑" w:cs="微软雅黑"/>
          <w:sz w:val="24"/>
        </w:rPr>
        <w:t>公开比选采购内容</w:t>
      </w:r>
      <w:bookmarkEnd w:id="6"/>
      <w:bookmarkEnd w:id="7"/>
      <w:bookmarkEnd w:id="8"/>
      <w:bookmarkEnd w:id="9"/>
      <w:bookmarkEnd w:id="10"/>
      <w:bookmarkEnd w:id="11"/>
    </w:p>
    <w:tbl>
      <w:tblPr>
        <w:tblStyle w:val="58"/>
        <w:tblW w:w="430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7"/>
        <w:gridCol w:w="2872"/>
        <w:gridCol w:w="1234"/>
        <w:gridCol w:w="854"/>
        <w:gridCol w:w="1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932"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75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753" w:type="pct"/>
            <w:tcBorders>
              <w:top w:val="single" w:color="auto" w:sz="4" w:space="0"/>
              <w:left w:val="single" w:color="auto" w:sz="4" w:space="0"/>
              <w:right w:val="single" w:color="auto" w:sz="4" w:space="0"/>
            </w:tcBorders>
            <w:vAlign w:val="center"/>
          </w:tcPr>
          <w:p>
            <w:pPr>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最高限价（万元）</w:t>
            </w:r>
          </w:p>
        </w:tc>
        <w:tc>
          <w:tcPr>
            <w:tcW w:w="52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037" w:type="pct"/>
            <w:tcBorders>
              <w:top w:val="single" w:color="auto" w:sz="4" w:space="0"/>
              <w:left w:val="single" w:color="auto" w:sz="4" w:space="0"/>
              <w:right w:val="single" w:color="auto" w:sz="4" w:space="0"/>
            </w:tcBorders>
            <w:vAlign w:val="center"/>
          </w:tcPr>
          <w:p>
            <w:pPr>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lang w:eastAsia="zh-CN"/>
              </w:rPr>
              <w:t>中标人</w:t>
            </w:r>
            <w:r>
              <w:rPr>
                <w:rFonts w:hint="eastAsia" w:ascii="微软雅黑" w:hAnsi="微软雅黑" w:eastAsia="微软雅黑" w:cs="微软雅黑"/>
                <w:b/>
                <w:bCs/>
                <w:kern w:val="0"/>
                <w:sz w:val="21"/>
                <w:szCs w:val="24"/>
              </w:rPr>
              <w:t>数量（名）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32"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color w:val="0000FF"/>
                <w:kern w:val="0"/>
                <w:sz w:val="21"/>
                <w:szCs w:val="21"/>
                <w:lang w:val="en-US" w:eastAsia="zh-CN"/>
              </w:rPr>
            </w:pPr>
            <w:r>
              <w:rPr>
                <w:rFonts w:hint="eastAsia" w:ascii="微软雅黑" w:hAnsi="微软雅黑" w:eastAsia="微软雅黑" w:cs="微软雅黑"/>
                <w:sz w:val="21"/>
                <w:szCs w:val="21"/>
                <w:lang w:val="en-US" w:eastAsia="zh-CN"/>
              </w:rPr>
              <w:t>YSB260491</w:t>
            </w:r>
          </w:p>
        </w:tc>
        <w:tc>
          <w:tcPr>
            <w:tcW w:w="175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sz w:val="21"/>
                <w:szCs w:val="21"/>
                <w:lang w:val="en-US" w:eastAsia="zh-CN"/>
              </w:rPr>
              <w:t>二氧化碳培养箱</w:t>
            </w:r>
          </w:p>
        </w:tc>
        <w:tc>
          <w:tcPr>
            <w:tcW w:w="753" w:type="pct"/>
            <w:tcBorders>
              <w:top w:val="single" w:color="auto" w:sz="4" w:space="0"/>
              <w:left w:val="single" w:color="auto" w:sz="4" w:space="0"/>
              <w:bottom w:val="single" w:color="auto" w:sz="4" w:space="0"/>
              <w:right w:val="single" w:color="auto" w:sz="4" w:space="0"/>
            </w:tcBorders>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color w:val="auto"/>
                <w:sz w:val="21"/>
                <w:szCs w:val="21"/>
                <w:lang w:val="en-US" w:eastAsia="zh-CN"/>
              </w:rPr>
              <w:t>19</w:t>
            </w:r>
          </w:p>
        </w:tc>
        <w:tc>
          <w:tcPr>
            <w:tcW w:w="52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2000</w:t>
            </w:r>
          </w:p>
        </w:tc>
        <w:tc>
          <w:tcPr>
            <w:tcW w:w="103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14168"/>
      <w:r>
        <w:rPr>
          <w:rFonts w:hint="eastAsia" w:ascii="微软雅黑" w:hAnsi="微软雅黑" w:eastAsia="微软雅黑" w:cs="微软雅黑"/>
          <w:sz w:val="24"/>
        </w:rPr>
        <w:t>二、</w:t>
      </w:r>
      <w:bookmarkEnd w:id="12"/>
      <w:bookmarkEnd w:id="13"/>
      <w:bookmarkEnd w:id="16"/>
      <w:bookmarkStart w:id="18" w:name="_Toc4480"/>
      <w:bookmarkStart w:id="19" w:name="_Toc76462319"/>
      <w:bookmarkStart w:id="20" w:name="_Toc106030873"/>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76462320"/>
      <w:bookmarkStart w:id="22" w:name="_Toc106030874"/>
      <w:bookmarkStart w:id="23" w:name="_Toc27954"/>
      <w:bookmarkStart w:id="24" w:name="_Toc918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所提供产品不属于医疗器械的无需提供上述</w:t>
      </w:r>
      <w:r>
        <w:rPr>
          <w:rFonts w:hint="eastAsia" w:ascii="微软雅黑" w:hAnsi="微软雅黑" w:eastAsia="微软雅黑" w:cs="微软雅黑"/>
          <w:sz w:val="24"/>
          <w:szCs w:val="24"/>
          <w:lang w:eastAsia="zh-CN"/>
        </w:rPr>
        <w:t>第</w:t>
      </w: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lang w:eastAsia="zh-CN"/>
        </w:rPr>
        <w:t>款</w:t>
      </w:r>
      <w:r>
        <w:rPr>
          <w:rFonts w:hint="eastAsia" w:ascii="微软雅黑" w:hAnsi="微软雅黑" w:eastAsia="微软雅黑" w:cs="微软雅黑"/>
          <w:sz w:val="24"/>
          <w:szCs w:val="24"/>
        </w:rPr>
        <w:t>材料</w:t>
      </w:r>
      <w:r>
        <w:rPr>
          <w:rFonts w:hint="eastAsia" w:ascii="微软雅黑" w:hAnsi="微软雅黑" w:eastAsia="微软雅黑" w:cs="微软雅黑"/>
          <w:sz w:val="24"/>
          <w:szCs w:val="24"/>
          <w:lang w:eastAsia="zh-CN"/>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投标人所投产品必须为国内生产。</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b/>
          <w:bCs/>
          <w:sz w:val="24"/>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公开比选采购的投标人，请在重庆医科大学附属儿童医院电子招投标平台下载本项目公开比选采购文件以及其他所有项目资料，无论投标人下载与否，均视为已知晓所有公开比选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公开比选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（四）公开比选采购公告期限及报名截止期限：详见电子招投标平台该项目公告内容。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178"/>
      <w:bookmarkStart w:id="26" w:name="_Toc11956"/>
      <w:bookmarkStart w:id="27" w:name="_Toc521053053"/>
      <w:bookmarkStart w:id="28" w:name="_Toc26664"/>
      <w:bookmarkStart w:id="29" w:name="_Toc65660334"/>
      <w:bookmarkStart w:id="30" w:name="_Toc12841"/>
      <w:bookmarkStart w:id="31" w:name="_Toc525047161"/>
      <w:bookmarkStart w:id="32" w:name="_Toc106034625"/>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公开比选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5"/>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（二）保证金退还方式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1.未</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的保证金，在中标通知书发放后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的保证金，将在与我院完成签订本项目合同并提交</w:t>
      </w:r>
      <w:r>
        <w:rPr>
          <w:rFonts w:hint="eastAsia" w:ascii="微软雅黑" w:hAnsi="微软雅黑" w:eastAsia="微软雅黑" w:cs="微软雅黑"/>
          <w:sz w:val="24"/>
          <w:szCs w:val="24"/>
          <w:lang w:eastAsia="zh-CN"/>
        </w:rPr>
        <w:t>采购管理处办</w:t>
      </w:r>
      <w:r>
        <w:rPr>
          <w:rFonts w:hint="eastAsia" w:ascii="微软雅黑" w:hAnsi="微软雅黑" w:eastAsia="微软雅黑" w:cs="微软雅黑"/>
          <w:sz w:val="24"/>
          <w:szCs w:val="24"/>
        </w:rPr>
        <w:t>公室（将合同扫描文件发送至zbb63632469@qq.com）之后</w:t>
      </w:r>
      <w:r>
        <w:rPr>
          <w:rFonts w:hint="eastAsia" w:ascii="微软雅黑" w:hAnsi="微软雅黑" w:eastAsia="微软雅黑" w:cs="微软雅黑"/>
          <w:sz w:val="24"/>
          <w:szCs w:val="24"/>
          <w:lang w:val="en-US" w:eastAsia="zh-CN"/>
        </w:rPr>
        <w:t>60</w:t>
      </w:r>
      <w:r>
        <w:rPr>
          <w:rFonts w:hint="eastAsia" w:ascii="微软雅黑" w:hAnsi="微软雅黑" w:eastAsia="微软雅黑" w:cs="微软雅黑"/>
          <w:sz w:val="24"/>
          <w:szCs w:val="24"/>
        </w:rPr>
        <w:t>个</w:t>
      </w:r>
      <w:r>
        <w:rPr>
          <w:rFonts w:hint="eastAsia" w:ascii="微软雅黑" w:hAnsi="微软雅黑" w:eastAsia="微软雅黑" w:cs="微软雅黑"/>
          <w:sz w:val="24"/>
          <w:szCs w:val="24"/>
          <w:lang w:val="en-US" w:eastAsia="zh-CN"/>
        </w:rPr>
        <w:t>工作</w:t>
      </w:r>
      <w:r>
        <w:rPr>
          <w:rFonts w:hint="eastAsia" w:ascii="微软雅黑" w:hAnsi="微软雅黑" w:eastAsia="微软雅黑" w:cs="微软雅黑"/>
          <w:sz w:val="24"/>
          <w:szCs w:val="24"/>
        </w:rPr>
        <w:t>日内，无息退还至项目报名时所填写的投标单位对公账户。</w:t>
      </w:r>
    </w:p>
    <w:p>
      <w:pPr>
        <w:snapToGrid w:val="0"/>
        <w:spacing w:line="400" w:lineRule="exact"/>
        <w:ind w:firstLine="480" w:firstLineChars="200"/>
        <w:rPr>
          <w:rFonts w:hint="eastAsia" w:ascii="微软雅黑" w:hAnsi="微软雅黑" w:eastAsia="微软雅黑" w:cs="微软雅黑"/>
          <w:sz w:val="24"/>
          <w:szCs w:val="24"/>
        </w:rPr>
      </w:pPr>
      <w:bookmarkStart w:id="33" w:name="_Toc4355"/>
      <w:bookmarkStart w:id="34" w:name="_Toc525047162"/>
      <w:bookmarkStart w:id="35" w:name="_Toc2945"/>
      <w:bookmarkStart w:id="36" w:name="_Toc65660335"/>
      <w:bookmarkStart w:id="37" w:name="_Toc521053054"/>
      <w:bookmarkStart w:id="38" w:name="_Toc106034626"/>
      <w:bookmarkStart w:id="39" w:name="_Toc24100"/>
      <w:bookmarkStart w:id="40" w:name="_Toc1546"/>
      <w:r>
        <w:rPr>
          <w:rFonts w:hint="eastAsia" w:ascii="微软雅黑" w:hAnsi="微软雅黑" w:eastAsia="微软雅黑" w:cs="微软雅黑"/>
          <w:sz w:val="24"/>
          <w:szCs w:val="24"/>
        </w:rPr>
        <w:t>（三）投标人有下列情形之一的，采购人应当不退还投标保证金：</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1.投标人在投标过程中弄虚作假，提供虚假材料的；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2.中标人无正当理由不与采购人签订合同的；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3.中标人将中标项目转让给他人或者在响应文件中未说明且未经采购人同意，将中标项目分包给他人的；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4.中标人拒绝履行合同义务的；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5.其他严重扰乱招投标程序的。</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五、</w:t>
      </w:r>
      <w:bookmarkEnd w:id="33"/>
      <w:bookmarkEnd w:id="34"/>
      <w:bookmarkEnd w:id="35"/>
      <w:bookmarkEnd w:id="36"/>
      <w:bookmarkEnd w:id="37"/>
      <w:bookmarkEnd w:id="38"/>
      <w:bookmarkStart w:id="41" w:name="_Toc525047163"/>
      <w:bookmarkStart w:id="42" w:name="_Toc65660336"/>
      <w:bookmarkStart w:id="43" w:name="_Toc16269"/>
      <w:bookmarkStart w:id="44" w:name="_Toc6563"/>
      <w:bookmarkStart w:id="45" w:name="_Toc106034627"/>
      <w:bookmarkStart w:id="46" w:name="_Toc521053055"/>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公室所作出的一切书面通知、修改、补充说明、答疑等内容，都是公开比选采购文件不可分割的组成部分。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（二）投标人如对本公开比选采购文件有任何实质性疑问，应当以书面形式向招标方提出质疑，并须将该质疑文件纸质版（须加盖提出质疑单位的公章确认）在投标截止时间前送达重庆医科大学附属儿童医院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公室，否则即视为完全放弃对本公开比选采购文件的质疑权利。如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（三）投标人应仔细阅读和检查公开比选采购文件的全部内容。如发现缺页或附件不全，应及时提出，以便补齐。如有疑问，请在投标截止日前向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不再受理对于公开比选采购文件的疑问。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525047164"/>
      <w:bookmarkStart w:id="49" w:name="_Toc521053056"/>
      <w:bookmarkStart w:id="50" w:name="_Toc24901"/>
      <w:bookmarkStart w:id="51" w:name="_Toc106034628"/>
      <w:bookmarkStart w:id="52" w:name="_Toc1733"/>
      <w:bookmarkStart w:id="53" w:name="_Toc21079"/>
      <w:bookmarkStart w:id="54" w:name="_Toc65660337"/>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w:t>
      </w: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pStyle w:val="3"/>
        <w:tabs>
          <w:tab w:val="left" w:pos="3360"/>
        </w:tabs>
        <w:spacing w:line="240" w:lineRule="auto"/>
        <w:jc w:val="center"/>
        <w:rPr>
          <w:rFonts w:hint="eastAsia" w:ascii="微软雅黑" w:hAnsi="微软雅黑" w:eastAsia="微软雅黑" w:cs="微软雅黑"/>
          <w:b/>
          <w:sz w:val="44"/>
        </w:rPr>
      </w:pPr>
      <w:bookmarkStart w:id="55" w:name="_Toc75793504"/>
      <w:bookmarkStart w:id="56" w:name="_Toc2070"/>
      <w:bookmarkStart w:id="57" w:name="_Toc1625"/>
      <w:bookmarkStart w:id="58" w:name="_Toc1492"/>
      <w:bookmarkStart w:id="59" w:name="_Toc11017"/>
      <w:bookmarkStart w:id="60" w:name="_Toc725"/>
      <w:bookmarkStart w:id="61" w:name="_Toc8649"/>
      <w:bookmarkStart w:id="62" w:name="_Toc5461"/>
      <w:bookmarkStart w:id="63" w:name="_Toc12959"/>
      <w:bookmarkStart w:id="64" w:name="_Toc25639"/>
      <w:bookmarkStart w:id="65" w:name="_Toc2422"/>
      <w:bookmarkStart w:id="66" w:name="_Toc19886"/>
      <w:bookmarkStart w:id="67" w:name="_Toc23143"/>
      <w:bookmarkStart w:id="68" w:name="_Toc32686"/>
      <w:bookmarkStart w:id="69" w:name="_Toc26176"/>
      <w:bookmarkStart w:id="70" w:name="_Toc106030380"/>
      <w:bookmarkStart w:id="71" w:name="_Toc22327"/>
      <w:bookmarkStart w:id="72" w:name="_Toc12789058"/>
      <w:r>
        <w:rPr>
          <w:rFonts w:hint="eastAsia" w:ascii="微软雅黑" w:hAnsi="微软雅黑" w:eastAsia="微软雅黑" w:cs="微软雅黑"/>
          <w:b/>
          <w:sz w:val="44"/>
        </w:rPr>
        <w:t xml:space="preserve">第二篇 </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r>
        <w:rPr>
          <w:rFonts w:hint="eastAsia" w:ascii="微软雅黑" w:hAnsi="微软雅黑" w:eastAsia="微软雅黑" w:cs="微软雅黑"/>
          <w:b/>
          <w:sz w:val="44"/>
        </w:rPr>
        <w:t>项目技术（质量）需求</w:t>
      </w:r>
      <w:bookmarkEnd w:id="70"/>
      <w:bookmarkEnd w:id="71"/>
    </w:p>
    <w:p>
      <w:pPr>
        <w:ind w:firstLine="480" w:firstLineChars="200"/>
        <w:rPr>
          <w:rFonts w:hint="eastAsia" w:ascii="微软雅黑" w:hAnsi="微软雅黑" w:eastAsia="微软雅黑" w:cs="微软雅黑"/>
          <w:b/>
          <w:bCs/>
          <w:sz w:val="24"/>
          <w:szCs w:val="24"/>
        </w:rPr>
      </w:pPr>
      <w:bookmarkStart w:id="73" w:name="_Toc19238"/>
      <w:bookmarkStart w:id="74" w:name="_Toc4913"/>
      <w:bookmarkStart w:id="75" w:name="_Toc23504"/>
      <w:bookmarkStart w:id="76" w:name="_Toc23656"/>
      <w:bookmarkStart w:id="77" w:name="_Toc4531"/>
      <w:bookmarkStart w:id="78" w:name="_Toc22910"/>
      <w:bookmarkStart w:id="79" w:name="_Toc8370"/>
      <w:bookmarkStart w:id="80" w:name="_Toc7027"/>
      <w:bookmarkStart w:id="81" w:name="_Toc9261"/>
      <w:bookmarkStart w:id="82" w:name="_Toc106030381"/>
      <w:bookmarkStart w:id="83" w:name="_Toc4519"/>
      <w:bookmarkStart w:id="84" w:name="_Toc29985"/>
      <w:bookmarkStart w:id="85" w:name="_Toc20979"/>
      <w:bookmarkStart w:id="86" w:name="_Toc75793505"/>
      <w:bookmarkStart w:id="87" w:name="_Toc14433"/>
      <w:bookmarkStart w:id="88" w:name="_Toc11703"/>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40"/>
        <w:gridCol w:w="3614"/>
        <w:gridCol w:w="1462"/>
        <w:gridCol w:w="14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6" w:hRule="atLeast"/>
          <w:jc w:val="center"/>
        </w:trPr>
        <w:tc>
          <w:tcPr>
            <w:tcW w:w="1340"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361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462"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462" w:type="dxa"/>
            <w:vAlign w:val="center"/>
          </w:tcPr>
          <w:p>
            <w:pPr>
              <w:jc w:val="center"/>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340" w:type="dxa"/>
            <w:vAlign w:val="center"/>
          </w:tcPr>
          <w:p>
            <w:pPr>
              <w:pStyle w:val="24"/>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3614" w:type="dxa"/>
            <w:vAlign w:val="center"/>
          </w:tcPr>
          <w:p>
            <w:pPr>
              <w:pStyle w:val="24"/>
              <w:spacing w:line="240" w:lineRule="auto"/>
              <w:ind w:left="0"/>
              <w:jc w:val="center"/>
              <w:outlineLvl w:val="0"/>
              <w:rPr>
                <w:rFonts w:hint="eastAsia" w:ascii="微软雅黑" w:hAnsi="微软雅黑" w:eastAsia="微软雅黑" w:cs="微软雅黑"/>
                <w:color w:val="0000FF"/>
                <w:sz w:val="21"/>
                <w:szCs w:val="21"/>
                <w:lang w:eastAsia="zh-CN"/>
              </w:rPr>
            </w:pPr>
            <w:r>
              <w:rPr>
                <w:rFonts w:hint="eastAsia" w:ascii="微软雅黑" w:hAnsi="微软雅黑" w:eastAsia="微软雅黑" w:cs="微软雅黑"/>
                <w:kern w:val="2"/>
                <w:sz w:val="21"/>
                <w:szCs w:val="21"/>
                <w:lang w:val="en-US" w:eastAsia="zh-CN" w:bidi="ar-SA"/>
              </w:rPr>
              <w:t>二氧化碳培养箱</w:t>
            </w:r>
          </w:p>
        </w:tc>
        <w:tc>
          <w:tcPr>
            <w:tcW w:w="1462" w:type="dxa"/>
            <w:vAlign w:val="center"/>
          </w:tcPr>
          <w:p>
            <w:pPr>
              <w:jc w:val="center"/>
              <w:rPr>
                <w:rFonts w:hint="default" w:ascii="微软雅黑" w:hAnsi="微软雅黑" w:eastAsia="微软雅黑" w:cs="微软雅黑"/>
                <w:color w:val="0000FF"/>
                <w:sz w:val="21"/>
                <w:szCs w:val="21"/>
                <w:lang w:val="en-US" w:eastAsia="zh-CN"/>
              </w:rPr>
            </w:pPr>
            <w:r>
              <w:rPr>
                <w:rFonts w:hint="eastAsia" w:ascii="微软雅黑" w:hAnsi="微软雅黑" w:eastAsia="微软雅黑" w:cs="微软雅黑"/>
                <w:kern w:val="2"/>
                <w:sz w:val="21"/>
                <w:szCs w:val="21"/>
                <w:lang w:val="en-US" w:eastAsia="zh-CN" w:bidi="ar-SA"/>
              </w:rPr>
              <w:t>3台</w:t>
            </w:r>
          </w:p>
        </w:tc>
        <w:tc>
          <w:tcPr>
            <w:tcW w:w="1462" w:type="dxa"/>
            <w:vAlign w:val="center"/>
          </w:tcPr>
          <w:p>
            <w:pPr>
              <w:jc w:val="center"/>
              <w:rPr>
                <w:rFonts w:hint="eastAsia" w:ascii="微软雅黑" w:hAnsi="微软雅黑" w:eastAsia="微软雅黑" w:cs="微软雅黑"/>
                <w:sz w:val="21"/>
                <w:szCs w:val="21"/>
                <w:lang w:val="en-US" w:eastAsia="zh-CN"/>
              </w:rPr>
            </w:pPr>
          </w:p>
        </w:tc>
      </w:tr>
    </w:tbl>
    <w:p>
      <w:pPr>
        <w:ind w:firstLine="480" w:firstLineChars="200"/>
        <w:rPr>
          <w:rFonts w:hint="eastAsia" w:ascii="微软雅黑" w:hAnsi="微软雅黑" w:eastAsia="微软雅黑" w:cs="微软雅黑"/>
          <w:sz w:val="24"/>
          <w:szCs w:val="24"/>
        </w:rPr>
      </w:pPr>
      <w:bookmarkStart w:id="89" w:name="_Toc15696"/>
      <w:bookmarkStart w:id="90" w:name="_Toc21817"/>
      <w:bookmarkStart w:id="91" w:name="_Toc12568"/>
      <w:bookmarkStart w:id="92" w:name="_Toc18800"/>
      <w:bookmarkStart w:id="93" w:name="_Toc10143"/>
      <w:bookmarkStart w:id="94" w:name="_Toc75793506"/>
      <w:bookmarkStart w:id="95" w:name="_Toc695"/>
      <w:bookmarkStart w:id="96" w:name="_Toc18903"/>
      <w:bookmarkStart w:id="97" w:name="_Toc106030382"/>
      <w:bookmarkStart w:id="98" w:name="_Toc7792"/>
      <w:bookmarkStart w:id="99" w:name="_Toc18675"/>
      <w:bookmarkStart w:id="100" w:name="_Toc32262"/>
      <w:bookmarkStart w:id="101" w:name="_Toc27067"/>
      <w:bookmarkStart w:id="102" w:name="_Toc23975"/>
      <w:bookmarkStart w:id="103" w:name="_Toc28205"/>
      <w:bookmarkStart w:id="104" w:name="_Toc26453"/>
      <w:bookmarkStart w:id="105" w:name="_Toc5751"/>
      <w:r>
        <w:rPr>
          <w:rFonts w:hint="eastAsia" w:ascii="微软雅黑" w:hAnsi="微软雅黑" w:eastAsia="微软雅黑" w:cs="微软雅黑"/>
          <w:b/>
          <w:bCs/>
          <w:sz w:val="24"/>
          <w:szCs w:val="24"/>
        </w:rPr>
        <w:t>二、项目技术需求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6" w:name="_Toc7791"/>
      <w:bookmarkStart w:id="107" w:name="_Toc76462327"/>
      <w:bookmarkStart w:id="108" w:name="_Toc106030882"/>
      <w:bookmarkStart w:id="109" w:name="_Toc12473"/>
      <w:r>
        <w:rPr>
          <w:rFonts w:hint="eastAsia" w:ascii="微软雅黑" w:hAnsi="微软雅黑" w:eastAsia="微软雅黑" w:cs="微软雅黑"/>
          <w:sz w:val="24"/>
          <w:szCs w:val="24"/>
          <w:lang w:val="en-US" w:eastAsia="zh-CN"/>
        </w:rPr>
        <w:t>（可优于以下配置）</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参数一（数量：2台，单台限价：6万元）</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工作体积：180-200L; 外部尺寸（W*D）≤70 * 65 CM；</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 xml:space="preserve">标配搁板数目/最多可选装搁板数：4块/16块，隔板尺寸≥470mm×470mm，每个搁板表面积≥0.22 </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 xml:space="preserve">，箱体最大表面积≥3.6 </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(提供彩页盖章证明)</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温度控制范围：（高于室温5℃）～50℃（最高控制温度为50℃），温度控制精度：±0.1℃；</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温度均一性: ±0.3℃(在温度设置为37℃的情况下)；</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二氧化碳浓度和温度跟踪报警：有；</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温度显示：绿色LED，保温方式：六面直热；</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二氧化碳控制范围：0～20%，二氧化碳控制精度：±0.1%；二氧化碳精度：±0.2 %。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二氧化碳浓度控制：采用位于培养腔体内部的TC 热导传感器（非红外传感器），设备进行高温干热灭菌时探头可保持原位；(提供彩页盖章证明)；</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HEPA高效过滤系统在关门5分钟内使腔体达到100级洁净指标，每隔1分钟腔体内空气自动过滤循环一次；（投标时需提供厂商盖章的彩页予以证明）</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10.</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断电自动启动：有，具有程序自检功能；</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显示控制：LED数字显示温度和二氧化碳浓度；</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12.</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兼容原装可去除VOC的HEPA过滤器，可用于去除挥发性有机物；</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具有不小于140摄氏度干热灭菌程序，可进行培养箱除菌。程序运行时间小于3小时，包括降温过程小于14小时；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 xml:space="preserve"> 显示控制：绿色LED数字显示温度和二氧化碳浓度。正常运行状态下，设备显示屏幕显示“Class100”表示设备处于正常状态。</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可配备同品牌独立玻璃内门（8 扇小门）和独立细胞培养室，培养室带有滤膜，带有锁扣小门，培养箱外层18号冷轧钢，覆粉末涂层</w:t>
      </w:r>
      <w:r>
        <w:rPr>
          <w:rFonts w:hint="eastAsia" w:ascii="微软雅黑" w:hAnsi="微软雅黑" w:eastAsia="微软雅黑" w:cs="微软雅黑"/>
          <w:sz w:val="24"/>
          <w:szCs w:val="24"/>
          <w:lang w:val="en-US"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16.</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t>进出孔和</w:t>
      </w:r>
      <m:oMath>
        <m:r>
          <m:rPr>
            <m:sty m:val="p"/>
          </m:rPr>
          <w:rPr>
            <w:rFonts w:hint="eastAsia" w:ascii="Cambria Math" w:hAnsi="Cambria Math" w:eastAsia="微软雅黑" w:cs="微软雅黑"/>
            <w:sz w:val="24"/>
            <w:szCs w:val="24"/>
          </w:rPr>
          <m:t>C</m:t>
        </m:r>
        <m:sSub>
          <m:sSubPr>
            <m:ctrlPr>
              <w:rPr>
                <w:rFonts w:hint="eastAsia" w:ascii="Cambria Math" w:hAnsi="Cambria Math" w:eastAsia="微软雅黑" w:cs="微软雅黑"/>
                <w:sz w:val="24"/>
                <w:szCs w:val="24"/>
              </w:rPr>
            </m:ctrlPr>
          </m:sSubPr>
          <m:e>
            <m:r>
              <m:rPr>
                <m:sty m:val="p"/>
              </m:rPr>
              <w:rPr>
                <w:rFonts w:hint="eastAsia" w:ascii="Cambria Math" w:hAnsi="Cambria Math" w:eastAsia="微软雅黑" w:cs="微软雅黑"/>
                <w:sz w:val="24"/>
                <w:szCs w:val="24"/>
              </w:rPr>
              <m:t>O</m:t>
            </m:r>
            <m:ctrlPr>
              <w:rPr>
                <w:rFonts w:hint="eastAsia" w:ascii="Cambria Math" w:hAnsi="Cambria Math" w:eastAsia="微软雅黑" w:cs="微软雅黑"/>
                <w:sz w:val="24"/>
                <w:szCs w:val="24"/>
              </w:rPr>
            </m:ctrlPr>
          </m:e>
          <m:sub>
            <m:r>
              <m:rPr>
                <m:sty m:val="p"/>
              </m:rPr>
              <w:rPr>
                <w:rFonts w:hint="eastAsia" w:ascii="Cambria Math" w:hAnsi="Cambria Math" w:eastAsia="微软雅黑" w:cs="微软雅黑"/>
                <w:sz w:val="24"/>
                <w:szCs w:val="24"/>
              </w:rPr>
              <m:t>2</m:t>
            </m:r>
            <m:ctrlPr>
              <w:rPr>
                <w:rFonts w:hint="eastAsia" w:ascii="Cambria Math" w:hAnsi="Cambria Math" w:eastAsia="微软雅黑" w:cs="微软雅黑"/>
                <w:sz w:val="24"/>
                <w:szCs w:val="24"/>
              </w:rPr>
            </m:ctrlPr>
          </m:sub>
        </m:sSub>
      </m:oMath>
      <w:r>
        <w:rPr>
          <w:rFonts w:hint="eastAsia" w:ascii="微软雅黑" w:hAnsi="微软雅黑" w:eastAsia="微软雅黑" w:cs="微软雅黑"/>
          <w:sz w:val="24"/>
          <w:szCs w:val="24"/>
        </w:rPr>
        <w:t xml:space="preserve"> 进气口≤3.3cm，带可拆卸硅胶塞和 1/4" 软管</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17.单台配置：（1）二氧化碳培养箱主机1台；（2）隔板4块</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参数二（数量：1台，限价：7万元）</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有效容积160-190L。</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温度范围：室温+5℃-55℃（最高控制温度为55℃）；温度控制精度±0.1℃；温度波动：±0.3（@37℃）；温度均匀性：±0.5（@37℃）</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m:oMath>
        <m:r>
          <m:rPr>
            <m:sty m:val="p"/>
          </m:rPr>
          <w:rPr>
            <w:rFonts w:hint="eastAsia" w:ascii="Cambria Math" w:hAnsi="Cambria Math" w:eastAsia="微软雅黑" w:cs="微软雅黑"/>
            <w:sz w:val="24"/>
            <w:szCs w:val="24"/>
          </w:rPr>
          <m:t>C</m:t>
        </m:r>
        <m:sSub>
          <m:sSubPr>
            <m:ctrlPr>
              <w:rPr>
                <w:rFonts w:hint="eastAsia" w:ascii="Cambria Math" w:hAnsi="Cambria Math" w:eastAsia="微软雅黑" w:cs="微软雅黑"/>
                <w:sz w:val="24"/>
                <w:szCs w:val="24"/>
              </w:rPr>
            </m:ctrlPr>
          </m:sSubPr>
          <m:e>
            <m:r>
              <m:rPr>
                <m:sty m:val="p"/>
              </m:rPr>
              <w:rPr>
                <w:rFonts w:hint="eastAsia" w:ascii="Cambria Math" w:hAnsi="Cambria Math" w:eastAsia="微软雅黑" w:cs="微软雅黑"/>
                <w:sz w:val="24"/>
                <w:szCs w:val="24"/>
              </w:rPr>
              <m:t>O</m:t>
            </m:r>
            <m:ctrlPr>
              <w:rPr>
                <w:rFonts w:hint="eastAsia" w:ascii="Cambria Math" w:hAnsi="Cambria Math" w:eastAsia="微软雅黑" w:cs="微软雅黑"/>
                <w:sz w:val="24"/>
                <w:szCs w:val="24"/>
              </w:rPr>
            </m:ctrlPr>
          </m:e>
          <m:sub>
            <m:r>
              <m:rPr>
                <m:sty m:val="p"/>
              </m:rPr>
              <w:rPr>
                <w:rFonts w:hint="eastAsia" w:ascii="Cambria Math" w:hAnsi="Cambria Math" w:eastAsia="微软雅黑" w:cs="微软雅黑"/>
                <w:sz w:val="24"/>
                <w:szCs w:val="24"/>
              </w:rPr>
              <m:t>2</m:t>
            </m:r>
            <m:ctrlPr>
              <w:rPr>
                <w:rFonts w:hint="eastAsia" w:ascii="Cambria Math" w:hAnsi="Cambria Math" w:eastAsia="微软雅黑" w:cs="微软雅黑"/>
                <w:sz w:val="24"/>
                <w:szCs w:val="24"/>
              </w:rPr>
            </m:ctrlPr>
          </m:sub>
        </m:sSub>
      </m:oMath>
      <w:r>
        <w:rPr>
          <w:rFonts w:hint="eastAsia" w:ascii="微软雅黑" w:hAnsi="微软雅黑" w:eastAsia="微软雅黑" w:cs="微软雅黑"/>
          <w:sz w:val="24"/>
          <w:szCs w:val="24"/>
        </w:rPr>
        <w:t>控制范围：0-20%；</w:t>
      </w:r>
      <m:oMath>
        <m:r>
          <m:rPr>
            <m:sty m:val="p"/>
          </m:rPr>
          <w:rPr>
            <w:rFonts w:hint="eastAsia" w:ascii="Cambria Math" w:hAnsi="Cambria Math" w:eastAsia="微软雅黑" w:cs="微软雅黑"/>
            <w:sz w:val="24"/>
            <w:szCs w:val="24"/>
          </w:rPr>
          <m:t>C</m:t>
        </m:r>
        <m:sSub>
          <m:sSubPr>
            <m:ctrlPr>
              <w:rPr>
                <w:rFonts w:hint="eastAsia" w:ascii="Cambria Math" w:hAnsi="Cambria Math" w:eastAsia="微软雅黑" w:cs="微软雅黑"/>
                <w:sz w:val="24"/>
                <w:szCs w:val="24"/>
              </w:rPr>
            </m:ctrlPr>
          </m:sSubPr>
          <m:e>
            <m:r>
              <m:rPr>
                <m:sty m:val="p"/>
              </m:rPr>
              <w:rPr>
                <w:rFonts w:hint="eastAsia" w:ascii="Cambria Math" w:hAnsi="Cambria Math" w:eastAsia="微软雅黑" w:cs="微软雅黑"/>
                <w:sz w:val="24"/>
                <w:szCs w:val="24"/>
              </w:rPr>
              <m:t>O</m:t>
            </m:r>
            <m:ctrlPr>
              <w:rPr>
                <w:rFonts w:hint="eastAsia" w:ascii="Cambria Math" w:hAnsi="Cambria Math" w:eastAsia="微软雅黑" w:cs="微软雅黑"/>
                <w:sz w:val="24"/>
                <w:szCs w:val="24"/>
              </w:rPr>
            </m:ctrlPr>
          </m:e>
          <m:sub>
            <m:r>
              <m:rPr>
                <m:sty m:val="p"/>
              </m:rPr>
              <w:rPr>
                <w:rFonts w:hint="eastAsia" w:ascii="Cambria Math" w:hAnsi="Cambria Math" w:eastAsia="微软雅黑" w:cs="微软雅黑"/>
                <w:sz w:val="24"/>
                <w:szCs w:val="24"/>
              </w:rPr>
              <m:t>2</m:t>
            </m:r>
            <m:ctrlPr>
              <w:rPr>
                <w:rFonts w:hint="eastAsia" w:ascii="Cambria Math" w:hAnsi="Cambria Math" w:eastAsia="微软雅黑" w:cs="微软雅黑"/>
                <w:sz w:val="24"/>
                <w:szCs w:val="24"/>
              </w:rPr>
            </m:ctrlPr>
          </m:sub>
        </m:sSub>
      </m:oMath>
      <w:r>
        <w:rPr>
          <w:rFonts w:hint="eastAsia" w:ascii="微软雅黑" w:hAnsi="微软雅黑" w:eastAsia="微软雅黑" w:cs="微软雅黑"/>
          <w:sz w:val="24"/>
          <w:szCs w:val="24"/>
        </w:rPr>
        <w:t>控制精度±0.1%，二氧化碳精度：±0.1%。</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类型：采用气套式加热模式</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控温方式：采用PT100温度传感器</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m:oMath>
        <m:r>
          <m:rPr>
            <m:sty m:val="p"/>
          </m:rPr>
          <w:rPr>
            <w:rFonts w:hint="eastAsia" w:ascii="Cambria Math" w:hAnsi="Cambria Math" w:eastAsia="微软雅黑" w:cs="微软雅黑"/>
            <w:sz w:val="24"/>
            <w:szCs w:val="24"/>
          </w:rPr>
          <m:t>C</m:t>
        </m:r>
        <m:sSub>
          <m:sSubPr>
            <m:ctrlPr>
              <w:rPr>
                <w:rFonts w:hint="eastAsia" w:ascii="Cambria Math" w:hAnsi="Cambria Math" w:eastAsia="微软雅黑" w:cs="微软雅黑"/>
                <w:sz w:val="24"/>
                <w:szCs w:val="24"/>
              </w:rPr>
            </m:ctrlPr>
          </m:sSubPr>
          <m:e>
            <m:r>
              <m:rPr>
                <m:sty m:val="p"/>
              </m:rPr>
              <w:rPr>
                <w:rFonts w:hint="eastAsia" w:ascii="Cambria Math" w:hAnsi="Cambria Math" w:eastAsia="微软雅黑" w:cs="微软雅黑"/>
                <w:sz w:val="24"/>
                <w:szCs w:val="24"/>
              </w:rPr>
              <m:t>O</m:t>
            </m:r>
            <m:ctrlPr>
              <w:rPr>
                <w:rFonts w:hint="eastAsia" w:ascii="Cambria Math" w:hAnsi="Cambria Math" w:eastAsia="微软雅黑" w:cs="微软雅黑"/>
                <w:sz w:val="24"/>
                <w:szCs w:val="24"/>
              </w:rPr>
            </m:ctrlPr>
          </m:e>
          <m:sub>
            <m:r>
              <m:rPr>
                <m:sty m:val="p"/>
              </m:rPr>
              <w:rPr>
                <w:rFonts w:hint="eastAsia" w:ascii="Cambria Math" w:hAnsi="Cambria Math" w:eastAsia="微软雅黑" w:cs="微软雅黑"/>
                <w:sz w:val="24"/>
                <w:szCs w:val="24"/>
              </w:rPr>
              <m:t>2</m:t>
            </m:r>
            <m:ctrlPr>
              <w:rPr>
                <w:rFonts w:hint="eastAsia" w:ascii="Cambria Math" w:hAnsi="Cambria Math" w:eastAsia="微软雅黑" w:cs="微软雅黑"/>
                <w:sz w:val="24"/>
                <w:szCs w:val="24"/>
              </w:rPr>
            </m:ctrlPr>
          </m:sub>
        </m:sSub>
      </m:oMath>
      <w:r>
        <w:rPr>
          <w:rFonts w:hint="eastAsia" w:ascii="微软雅黑" w:hAnsi="微软雅黑" w:eastAsia="微软雅黑" w:cs="微软雅黑"/>
          <w:sz w:val="24"/>
          <w:szCs w:val="24"/>
        </w:rPr>
        <w:t xml:space="preserve"> 控制方式：采用IR红外线传感器，可以在高温高湿环境长期运行。</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7</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过滤器种类：进气管路具有HEPA高效过滤器，对于0.3μm的颗粒，过滤效率达99.97%</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8</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隔板：≥4件</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9</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界面显示：液晶屏显示</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10</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灭菌方式：具备UV灭菌功能</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具备外门加热功能，防止玻璃起雾和门框四周产生冷凝水，外门温度可以自行调节。</w:t>
      </w:r>
    </w:p>
    <w:p>
      <w:pPr>
        <w:snapToGrid w:val="0"/>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12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配置要求：主机一台</w:t>
      </w:r>
      <w:r>
        <w:rPr>
          <w:rFonts w:hint="eastAsia" w:ascii="微软雅黑" w:hAnsi="微软雅黑" w:eastAsia="微软雅黑" w:cs="微软雅黑"/>
          <w:sz w:val="24"/>
          <w:szCs w:val="24"/>
          <w:lang w:eastAsia="zh-CN"/>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eastAsia="zh-CN"/>
        </w:rPr>
        <w:t>参数二要求请提供相应官网截图</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产品彩页</w:t>
      </w:r>
      <w:r>
        <w:rPr>
          <w:rFonts w:hint="eastAsia" w:ascii="微软雅黑" w:hAnsi="微软雅黑" w:eastAsia="微软雅黑" w:cs="微软雅黑"/>
          <w:sz w:val="24"/>
          <w:szCs w:val="24"/>
          <w:lang w:val="en-US" w:eastAsia="zh-CN"/>
        </w:rPr>
        <w:t>/产品说明书/检验报告等佐证材料（需生产厂家盖章、投标人盖章）。</w:t>
      </w:r>
      <w:r>
        <w:rPr>
          <w:rFonts w:hint="eastAsia" w:ascii="微软雅黑" w:hAnsi="微软雅黑" w:eastAsia="微软雅黑" w:cs="微软雅黑"/>
          <w:sz w:val="24"/>
          <w:szCs w:val="24"/>
          <w:lang w:val="en-US" w:eastAsia="zh-CN"/>
        </w:rPr>
        <w:br w:type="page"/>
      </w:r>
    </w:p>
    <w:p>
      <w:pPr>
        <w:pStyle w:val="4"/>
        <w:spacing w:before="200" w:after="200" w:line="240" w:lineRule="auto"/>
        <w:jc w:val="center"/>
        <w:rPr>
          <w:rFonts w:hint="eastAsia" w:ascii="微软雅黑" w:hAnsi="微软雅黑" w:eastAsia="微软雅黑" w:cs="微软雅黑"/>
          <w:sz w:val="44"/>
        </w:rPr>
      </w:pPr>
      <w:r>
        <w:rPr>
          <w:rFonts w:hint="eastAsia" w:ascii="微软雅黑" w:hAnsi="微软雅黑" w:eastAsia="微软雅黑" w:cs="微软雅黑"/>
          <w:sz w:val="44"/>
        </w:rPr>
        <w:t xml:space="preserve">第三篇  </w:t>
      </w:r>
      <w:bookmarkEnd w:id="72"/>
      <w:r>
        <w:rPr>
          <w:rFonts w:hint="eastAsia" w:ascii="微软雅黑" w:hAnsi="微软雅黑" w:eastAsia="微软雅黑" w:cs="微软雅黑"/>
          <w:sz w:val="44"/>
        </w:rPr>
        <w:t>项目商务需求</w:t>
      </w:r>
      <w:bookmarkEnd w:id="106"/>
      <w:bookmarkEnd w:id="107"/>
      <w:bookmarkEnd w:id="108"/>
      <w:bookmarkEnd w:id="109"/>
    </w:p>
    <w:tbl>
      <w:tblPr>
        <w:tblStyle w:val="58"/>
        <w:tblW w:w="5284" w:type="pct"/>
        <w:tblInd w:w="-1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6"/>
        <w:gridCol w:w="87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color w:val="0000FF"/>
                <w:sz w:val="24"/>
                <w:szCs w:val="24"/>
              </w:rPr>
            </w:pPr>
            <w:r>
              <w:rPr>
                <w:rFonts w:hint="eastAsia" w:ascii="微软雅黑" w:hAnsi="微软雅黑" w:eastAsia="微软雅黑" w:cs="微软雅黑"/>
                <w:b/>
                <w:bCs/>
                <w:color w:val="auto"/>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交货时间、交货地点及验收方式</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交货期：合同签订或接到需求科室送货通知后10个日历日内将设备运到采购人指定交货地点.</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交货地点：重庆医科大学附属儿童医院</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验收方式：需求科室与医学工程科现场验收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质量保证及售后服务</w:t>
            </w:r>
          </w:p>
        </w:tc>
        <w:tc>
          <w:tcPr>
            <w:tcW w:w="4303" w:type="pct"/>
            <w:vAlign w:val="center"/>
          </w:tcPr>
          <w:p>
            <w:pPr>
              <w:numPr>
                <w:ilvl w:val="0"/>
                <w:numId w:val="15"/>
              </w:num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质保期：</w:t>
            </w:r>
          </w:p>
          <w:p>
            <w:pPr>
              <w:numPr>
                <w:ilvl w:val="-1"/>
                <w:numId w:val="0"/>
              </w:num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参数一：不低于3年；</w:t>
            </w:r>
          </w:p>
          <w:p>
            <w:pPr>
              <w:numPr>
                <w:ilvl w:val="-1"/>
                <w:numId w:val="0"/>
              </w:num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参数二：不低于5年；</w:t>
            </w:r>
          </w:p>
          <w:p>
            <w:pPr>
              <w:numPr>
                <w:ilvl w:val="-1"/>
                <w:numId w:val="0"/>
              </w:num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质保期内免费维修维保，免费更换所有需要的配件，质保期外免费维修，采购人只支付维修设备配件等费用，不得支付维修产生的差旅费等费用。</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2.</w:t>
            </w:r>
            <w:r>
              <w:rPr>
                <w:rFonts w:hint="eastAsia" w:ascii="微软雅黑" w:hAnsi="微软雅黑" w:eastAsia="微软雅黑" w:cs="微软雅黑"/>
                <w:color w:val="auto"/>
                <w:kern w:val="2"/>
                <w:sz w:val="21"/>
                <w:szCs w:val="21"/>
                <w:lang w:val="de-DE" w:eastAsia="zh-CN" w:bidi="ar-SA"/>
              </w:rPr>
              <w:t>机器故障应2</w:t>
            </w:r>
            <w:r>
              <w:rPr>
                <w:rFonts w:hint="eastAsia" w:ascii="微软雅黑" w:hAnsi="微软雅黑" w:eastAsia="微软雅黑" w:cs="微软雅黑"/>
                <w:color w:val="auto"/>
                <w:kern w:val="2"/>
                <w:sz w:val="21"/>
                <w:szCs w:val="21"/>
                <w:lang w:val="en-US" w:eastAsia="zh-CN" w:bidi="ar-SA"/>
              </w:rPr>
              <w:t>小时</w:t>
            </w:r>
            <w:r>
              <w:rPr>
                <w:rFonts w:hint="eastAsia" w:ascii="微软雅黑" w:hAnsi="微软雅黑" w:eastAsia="微软雅黑" w:cs="微软雅黑"/>
                <w:color w:val="auto"/>
                <w:kern w:val="2"/>
                <w:sz w:val="21"/>
                <w:szCs w:val="21"/>
                <w:lang w:val="de-DE" w:eastAsia="zh-CN" w:bidi="ar-SA"/>
              </w:rPr>
              <w:t>内故障响应，</w:t>
            </w:r>
            <w:r>
              <w:rPr>
                <w:rFonts w:hint="eastAsia" w:ascii="微软雅黑" w:hAnsi="微软雅黑" w:eastAsia="微软雅黑" w:cs="微软雅黑"/>
                <w:color w:val="auto"/>
                <w:kern w:val="2"/>
                <w:sz w:val="21"/>
                <w:szCs w:val="21"/>
                <w:lang w:val="en-US" w:eastAsia="zh-CN" w:bidi="ar-SA"/>
              </w:rPr>
              <w:t>4小时</w:t>
            </w:r>
            <w:r>
              <w:rPr>
                <w:rFonts w:hint="eastAsia" w:ascii="微软雅黑" w:hAnsi="微软雅黑" w:eastAsia="微软雅黑" w:cs="微软雅黑"/>
                <w:color w:val="auto"/>
                <w:kern w:val="2"/>
                <w:sz w:val="21"/>
                <w:szCs w:val="21"/>
                <w:lang w:val="de-DE" w:eastAsia="zh-CN" w:bidi="ar-SA"/>
              </w:rPr>
              <w:t>内到达现场解决故障。</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3.不能解决故障则应48小时内提供备用机或解决方案。</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4.</w:t>
            </w:r>
            <w:r>
              <w:rPr>
                <w:rFonts w:hint="eastAsia" w:ascii="微软雅黑" w:hAnsi="微软雅黑" w:eastAsia="微软雅黑" w:cs="微软雅黑"/>
                <w:color w:val="auto"/>
                <w:kern w:val="2"/>
                <w:sz w:val="21"/>
                <w:szCs w:val="21"/>
                <w:lang w:val="de-DE" w:eastAsia="zh-CN" w:bidi="ar-SA"/>
              </w:rPr>
              <w:t>提供维修技术资料。</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5.</w:t>
            </w:r>
            <w:r>
              <w:rPr>
                <w:rFonts w:hint="eastAsia" w:ascii="微软雅黑" w:hAnsi="微软雅黑" w:eastAsia="微软雅黑" w:cs="微软雅黑"/>
                <w:color w:val="auto"/>
                <w:kern w:val="2"/>
                <w:sz w:val="21"/>
                <w:szCs w:val="21"/>
                <w:lang w:val="de-DE" w:eastAsia="zh-CN" w:bidi="ar-SA"/>
              </w:rPr>
              <w:t>维修工程师免费上门安装、培训。</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6.</w:t>
            </w:r>
            <w:r>
              <w:rPr>
                <w:rFonts w:hint="eastAsia" w:ascii="微软雅黑" w:hAnsi="微软雅黑" w:eastAsia="微软雅黑" w:cs="微软雅黑"/>
                <w:color w:val="auto"/>
                <w:kern w:val="2"/>
                <w:sz w:val="21"/>
                <w:szCs w:val="21"/>
                <w:lang w:val="de-DE" w:eastAsia="zh-CN" w:bidi="ar-SA"/>
              </w:rPr>
              <w:t>一年不低于4次定期维护保养，</w:t>
            </w:r>
            <w:r>
              <w:rPr>
                <w:rFonts w:hint="eastAsia" w:ascii="微软雅黑" w:hAnsi="微软雅黑" w:eastAsia="微软雅黑" w:cs="微软雅黑"/>
                <w:color w:val="auto"/>
                <w:kern w:val="2"/>
                <w:sz w:val="21"/>
                <w:szCs w:val="21"/>
                <w:lang w:val="en-US" w:eastAsia="zh-CN" w:bidi="ar-SA"/>
              </w:rPr>
              <w:t>有故障情况发生，终身免费上门维修</w:t>
            </w:r>
            <w:r>
              <w:rPr>
                <w:rFonts w:hint="eastAsia" w:ascii="微软雅黑" w:hAnsi="微软雅黑" w:eastAsia="微软雅黑" w:cs="微软雅黑"/>
                <w:color w:val="auto"/>
                <w:kern w:val="2"/>
                <w:sz w:val="21"/>
                <w:szCs w:val="21"/>
                <w:lang w:val="de-DE" w:eastAsia="zh-CN" w:bidi="ar-SA"/>
              </w:rPr>
              <w:t>。</w:t>
            </w:r>
          </w:p>
          <w:p>
            <w:pPr>
              <w:spacing w:line="360" w:lineRule="auto"/>
              <w:rPr>
                <w:rFonts w:hint="eastAsia" w:ascii="微软雅黑" w:hAnsi="微软雅黑" w:eastAsia="微软雅黑" w:cs="微软雅黑"/>
                <w:color w:val="auto"/>
                <w:kern w:val="2"/>
                <w:sz w:val="21"/>
                <w:szCs w:val="21"/>
                <w:lang w:val="de-DE" w:eastAsia="zh-CN" w:bidi="ar-SA"/>
              </w:rPr>
            </w:pPr>
            <w:r>
              <w:rPr>
                <w:rFonts w:hint="eastAsia" w:ascii="微软雅黑" w:hAnsi="微软雅黑" w:eastAsia="微软雅黑" w:cs="微软雅黑"/>
                <w:color w:val="auto"/>
                <w:kern w:val="2"/>
                <w:sz w:val="21"/>
                <w:szCs w:val="21"/>
                <w:lang w:val="en-US" w:eastAsia="zh-CN" w:bidi="ar-SA"/>
              </w:rPr>
              <w:t>7.</w:t>
            </w:r>
            <w:r>
              <w:rPr>
                <w:rFonts w:hint="eastAsia" w:ascii="微软雅黑" w:hAnsi="微软雅黑" w:eastAsia="微软雅黑" w:cs="微软雅黑"/>
                <w:color w:val="auto"/>
                <w:kern w:val="2"/>
                <w:sz w:val="21"/>
                <w:szCs w:val="21"/>
                <w:lang w:val="de-DE" w:eastAsia="zh-CN" w:bidi="ar-SA"/>
              </w:rPr>
              <w:t>有西南地区本地化服务机构和服务人员证明并且能够提供证明材料（公司的营业证等复印件加盖公章）。</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8.中标人对投标产品对应参数需要满足，验收时根据投标响应文件中的技术参数一一验收，如果有一条或者多条不满足，采购人有权取消合同，所产生的损失由中标人承担。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rPr>
            </w:pPr>
            <w:r>
              <w:rPr>
                <w:rFonts w:hint="eastAsia" w:ascii="微软雅黑" w:hAnsi="微软雅黑" w:eastAsia="微软雅黑" w:cs="微软雅黑"/>
                <w:b/>
                <w:bCs/>
                <w:color w:val="auto"/>
                <w:sz w:val="24"/>
                <w:szCs w:val="24"/>
              </w:rPr>
              <w:t>报价要求</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1.该项目可在投标现场进行二次报价。</w:t>
            </w:r>
          </w:p>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该项目报价须对设备包干总价和易损易耗件单价分别进行报价，包括完成货物、运输、验收及其他本项目所需的所有费用及各种应纳的税费。因中标人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b/>
                <w:bCs/>
                <w:color w:val="auto"/>
                <w:sz w:val="24"/>
                <w:szCs w:val="24"/>
                <w:lang w:val="en-US" w:eastAsia="zh-CN"/>
              </w:rPr>
              <w:t>付款方式</w:t>
            </w:r>
          </w:p>
        </w:tc>
        <w:tc>
          <w:tcPr>
            <w:tcW w:w="4303" w:type="pct"/>
            <w:vAlign w:val="center"/>
          </w:tcPr>
          <w:p>
            <w:pPr>
              <w:spacing w:line="360" w:lineRule="auto"/>
              <w:rPr>
                <w:rFonts w:hint="default"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1.中标人</w:t>
            </w:r>
            <w:r>
              <w:rPr>
                <w:rFonts w:hint="default" w:ascii="微软雅黑" w:hAnsi="微软雅黑" w:eastAsia="微软雅黑" w:cs="微软雅黑"/>
                <w:color w:val="auto"/>
                <w:kern w:val="2"/>
                <w:sz w:val="21"/>
                <w:szCs w:val="21"/>
                <w:lang w:val="en-US" w:eastAsia="zh-CN" w:bidi="ar-SA"/>
              </w:rPr>
              <w:t>按采购合同交货并安装调试完</w:t>
            </w:r>
            <w:bookmarkStart w:id="189" w:name="_GoBack"/>
            <w:bookmarkEnd w:id="189"/>
            <w:r>
              <w:rPr>
                <w:rFonts w:hint="default" w:ascii="微软雅黑" w:hAnsi="微软雅黑" w:eastAsia="微软雅黑" w:cs="微软雅黑"/>
                <w:color w:val="auto"/>
                <w:kern w:val="2"/>
                <w:sz w:val="21"/>
                <w:szCs w:val="21"/>
                <w:lang w:val="en-US" w:eastAsia="zh-CN" w:bidi="ar-SA"/>
              </w:rPr>
              <w:t>成，经验收合格后采购人出具项目验收报告；</w:t>
            </w:r>
          </w:p>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2.中标人根据验收报告</w:t>
            </w:r>
            <w:r>
              <w:rPr>
                <w:rFonts w:hint="default" w:ascii="微软雅黑" w:hAnsi="微软雅黑" w:eastAsia="微软雅黑" w:cs="微软雅黑"/>
                <w:color w:val="auto"/>
                <w:kern w:val="2"/>
                <w:sz w:val="21"/>
                <w:szCs w:val="21"/>
                <w:lang w:val="en-US" w:eastAsia="zh-CN" w:bidi="ar-SA"/>
              </w:rPr>
              <w:t>向采购人开具发票，采购人于</w:t>
            </w:r>
            <w:r>
              <w:rPr>
                <w:rFonts w:hint="eastAsia" w:ascii="微软雅黑" w:hAnsi="微软雅黑" w:eastAsia="微软雅黑" w:cs="微软雅黑"/>
                <w:color w:val="auto"/>
                <w:kern w:val="2"/>
                <w:sz w:val="21"/>
                <w:szCs w:val="21"/>
                <w:lang w:val="en-US" w:eastAsia="zh-CN" w:bidi="ar-SA"/>
              </w:rPr>
              <w:t>2个月</w:t>
            </w:r>
            <w:r>
              <w:rPr>
                <w:rFonts w:hint="default" w:ascii="微软雅黑" w:hAnsi="微软雅黑" w:eastAsia="微软雅黑" w:cs="微软雅黑"/>
                <w:color w:val="auto"/>
                <w:kern w:val="2"/>
                <w:sz w:val="21"/>
                <w:szCs w:val="21"/>
                <w:lang w:val="en-US" w:eastAsia="zh-CN" w:bidi="ar-SA"/>
              </w:rPr>
              <w:t>内以转账方式向</w:t>
            </w:r>
            <w:r>
              <w:rPr>
                <w:rFonts w:hint="eastAsia" w:ascii="微软雅黑" w:hAnsi="微软雅黑" w:eastAsia="微软雅黑" w:cs="微软雅黑"/>
                <w:color w:val="auto"/>
                <w:kern w:val="2"/>
                <w:sz w:val="21"/>
                <w:szCs w:val="21"/>
                <w:lang w:val="en-US" w:eastAsia="zh-CN" w:bidi="ar-SA"/>
              </w:rPr>
              <w:t>中标人</w:t>
            </w:r>
            <w:r>
              <w:rPr>
                <w:rFonts w:hint="default" w:ascii="微软雅黑" w:hAnsi="微软雅黑" w:eastAsia="微软雅黑" w:cs="微软雅黑"/>
                <w:color w:val="auto"/>
                <w:kern w:val="2"/>
                <w:sz w:val="21"/>
                <w:szCs w:val="21"/>
                <w:lang w:val="en-US" w:eastAsia="zh-CN" w:bidi="ar-SA"/>
              </w:rPr>
              <w:t>支付</w:t>
            </w:r>
            <w:r>
              <w:rPr>
                <w:rFonts w:hint="eastAsia" w:ascii="微软雅黑" w:hAnsi="微软雅黑" w:eastAsia="微软雅黑" w:cs="微软雅黑"/>
                <w:color w:val="auto"/>
                <w:kern w:val="2"/>
                <w:sz w:val="21"/>
                <w:szCs w:val="21"/>
                <w:lang w:val="en-US" w:eastAsia="zh-CN" w:bidi="ar-SA"/>
              </w:rPr>
              <w:t>相应金额。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0000FF"/>
                <w:sz w:val="24"/>
                <w:szCs w:val="24"/>
                <w:lang w:val="en-US" w:eastAsia="zh-CN"/>
              </w:rPr>
            </w:pPr>
            <w:r>
              <w:rPr>
                <w:rFonts w:hint="eastAsia" w:ascii="微软雅黑" w:hAnsi="微软雅黑" w:eastAsia="微软雅黑" w:cs="微软雅黑"/>
                <w:b/>
                <w:bCs/>
                <w:color w:val="auto"/>
                <w:sz w:val="24"/>
                <w:szCs w:val="24"/>
                <w:lang w:val="en-US" w:eastAsia="zh-CN"/>
              </w:rPr>
              <w:t>知识产权</w:t>
            </w:r>
          </w:p>
        </w:tc>
        <w:tc>
          <w:tcPr>
            <w:tcW w:w="4303" w:type="pct"/>
            <w:vAlign w:val="center"/>
          </w:tcPr>
          <w:p>
            <w:pPr>
              <w:pStyle w:val="144"/>
              <w:snapToGrid w:val="0"/>
              <w:spacing w:line="400" w:lineRule="exact"/>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696" w:type="pct"/>
            <w:vAlign w:val="center"/>
          </w:tcPr>
          <w:p>
            <w:pPr>
              <w:pStyle w:val="144"/>
              <w:widowControl/>
              <w:adjustRightInd w:val="0"/>
              <w:snapToGrid w:val="0"/>
              <w:spacing w:line="400" w:lineRule="exact"/>
              <w:jc w:val="center"/>
              <w:rPr>
                <w:rFonts w:hint="eastAsia" w:ascii="微软雅黑" w:hAnsi="微软雅黑" w:eastAsia="微软雅黑" w:cs="微软雅黑"/>
                <w:b/>
                <w:bCs/>
                <w:color w:val="auto"/>
                <w:sz w:val="24"/>
                <w:szCs w:val="24"/>
              </w:rPr>
            </w:pPr>
            <w:r>
              <w:rPr>
                <w:rFonts w:hint="eastAsia" w:ascii="微软雅黑" w:hAnsi="微软雅黑" w:eastAsia="微软雅黑" w:cs="微软雅黑"/>
                <w:b/>
                <w:bCs/>
                <w:color w:val="auto"/>
                <w:sz w:val="24"/>
                <w:szCs w:val="24"/>
              </w:rPr>
              <w:t>其他</w:t>
            </w:r>
          </w:p>
        </w:tc>
        <w:tc>
          <w:tcPr>
            <w:tcW w:w="4303" w:type="pct"/>
            <w:vAlign w:val="center"/>
          </w:tcPr>
          <w:p>
            <w:pPr>
              <w:spacing w:line="360" w:lineRule="auto"/>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1.投标人必须在响应文件中对以上条款和服务承诺明确列出，承诺内容必须达到本篇及协商文件其他条款的要求。</w:t>
            </w:r>
          </w:p>
          <w:p>
            <w:pPr>
              <w:rPr>
                <w:rFonts w:hint="eastAsia" w:ascii="微软雅黑" w:hAnsi="微软雅黑" w:eastAsia="微软雅黑" w:cs="微软雅黑"/>
                <w:color w:val="auto"/>
                <w:kern w:val="2"/>
                <w:sz w:val="21"/>
                <w:szCs w:val="21"/>
                <w:lang w:val="en-US" w:eastAsia="zh-CN" w:bidi="ar-SA"/>
              </w:rPr>
            </w:pPr>
            <w:r>
              <w:rPr>
                <w:rFonts w:hint="eastAsia" w:ascii="微软雅黑" w:hAnsi="微软雅黑" w:eastAsia="微软雅黑" w:cs="微软雅黑"/>
                <w:color w:val="auto"/>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10" w:name="_Toc6692"/>
      <w:bookmarkStart w:id="111" w:name="_Toc76462332"/>
      <w:bookmarkStart w:id="112"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3" w:name="_Toc19431"/>
      <w:r>
        <w:rPr>
          <w:rFonts w:hint="eastAsia" w:ascii="微软雅黑" w:hAnsi="微软雅黑" w:eastAsia="微软雅黑" w:cs="微软雅黑"/>
          <w:sz w:val="44"/>
        </w:rPr>
        <w:t>第四篇  公开比选采购程序及方法、评审标准、无效响应和采购终止</w:t>
      </w:r>
      <w:bookmarkEnd w:id="110"/>
      <w:bookmarkEnd w:id="111"/>
      <w:bookmarkEnd w:id="112"/>
      <w:bookmarkEnd w:id="11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4" w:name="_Toc26127"/>
      <w:bookmarkStart w:id="115" w:name="_Toc106030888"/>
      <w:bookmarkStart w:id="116" w:name="_Toc14958"/>
      <w:bookmarkStart w:id="117" w:name="_Toc76462333"/>
      <w:r>
        <w:rPr>
          <w:rFonts w:hint="eastAsia" w:ascii="微软雅黑" w:hAnsi="微软雅黑" w:eastAsia="微软雅黑" w:cs="微软雅黑"/>
          <w:sz w:val="24"/>
        </w:rPr>
        <w:t>一、公开比选采购程序</w:t>
      </w:r>
      <w:bookmarkEnd w:id="114"/>
      <w:bookmarkEnd w:id="115"/>
      <w:bookmarkEnd w:id="116"/>
      <w:bookmarkEnd w:id="11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（一）按公开比选采购文件规定的时间和地点进行，投标人须有法定代表人（或其授权代表）或自然人参加。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依据法律法规和公开比选采购文件的规定，对响应文件中的资格证明等进行审查，以确定投标人是否具备比选资格。资格性审查资料表如下：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lang w:val="zh-CN"/>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891" w:type="dxa"/>
            <w:vMerge w:val="continue"/>
            <w:vAlign w:val="center"/>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281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keepNext w:val="0"/>
              <w:keepLines w:val="0"/>
              <w:suppressLineNumbers w:val="0"/>
              <w:spacing w:before="0" w:beforeAutospacing="0" w:after="0" w:afterAutospacing="0" w:line="400" w:lineRule="exact"/>
              <w:ind w:left="0" w:right="0" w:firstLine="420" w:firstLineChars="200"/>
              <w:rPr>
                <w:rFonts w:hint="eastAsia" w:ascii="微软雅黑" w:hAnsi="微软雅黑" w:eastAsia="微软雅黑" w:cs="微软雅黑"/>
                <w:szCs w:val="21"/>
              </w:rPr>
            </w:pPr>
          </w:p>
        </w:tc>
        <w:tc>
          <w:tcPr>
            <w:tcW w:w="5105" w:type="dxa"/>
          </w:tcPr>
          <w:p>
            <w:pPr>
              <w:pStyle w:val="144"/>
              <w:keepNext w:val="0"/>
              <w:keepLines w:val="0"/>
              <w:suppressLineNumbers w:val="0"/>
              <w:spacing w:before="0" w:beforeAutospacing="0" w:after="0" w:afterAutospacing="0" w:line="400" w:lineRule="exact"/>
              <w:ind w:left="0" w:right="0"/>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w:t>
      </w:r>
      <w:r>
        <w:rPr>
          <w:rFonts w:hint="eastAsia" w:ascii="微软雅黑" w:hAnsi="微软雅黑" w:eastAsia="微软雅黑" w:cs="微软雅黑"/>
          <w:kern w:val="0"/>
          <w:sz w:val="24"/>
          <w:szCs w:val="24"/>
          <w:lang w:val="en-US" w:eastAsia="zh-CN"/>
        </w:rPr>
        <w:t>1</w:t>
      </w:r>
      <w:r>
        <w:rPr>
          <w:rFonts w:hint="eastAsia" w:ascii="微软雅黑" w:hAnsi="微软雅黑" w:eastAsia="微软雅黑" w:cs="微软雅黑"/>
          <w:kern w:val="0"/>
          <w:sz w:val="24"/>
          <w:szCs w:val="24"/>
        </w:rPr>
        <w:t>：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val="en-US" w:eastAsia="zh-CN"/>
        </w:rPr>
        <w:t>注2：该项目</w:t>
      </w:r>
      <w:r>
        <w:rPr>
          <w:rFonts w:hint="eastAsia" w:ascii="微软雅黑" w:hAnsi="微软雅黑" w:eastAsia="微软雅黑" w:cs="微软雅黑"/>
          <w:kern w:val="0"/>
          <w:sz w:val="24"/>
          <w:szCs w:val="24"/>
        </w:rPr>
        <w:t>采购评审中出现下列情形之一的，</w:t>
      </w: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应当启动异常低价投标审查程序：</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1）</w:t>
      </w:r>
      <w:r>
        <w:rPr>
          <w:rFonts w:hint="eastAsia" w:ascii="微软雅黑" w:hAnsi="微软雅黑" w:eastAsia="微软雅黑" w:cs="微软雅黑"/>
          <w:kern w:val="0"/>
          <w:sz w:val="24"/>
          <w:szCs w:val="24"/>
          <w:lang w:eastAsia="zh-CN"/>
        </w:rPr>
        <w:t>设备</w:t>
      </w:r>
      <w:r>
        <w:rPr>
          <w:rFonts w:hint="eastAsia" w:ascii="微软雅黑" w:hAnsi="微软雅黑" w:eastAsia="微软雅黑" w:cs="微软雅黑"/>
          <w:kern w:val="0"/>
          <w:sz w:val="24"/>
          <w:szCs w:val="24"/>
        </w:rPr>
        <w:t>投标报价低于全部通过符合性审查投标人投标报价平均值50%的，即</w:t>
      </w:r>
      <w:r>
        <w:rPr>
          <w:rFonts w:hint="eastAsia" w:ascii="微软雅黑" w:hAnsi="微软雅黑" w:eastAsia="微软雅黑" w:cs="微软雅黑"/>
          <w:kern w:val="0"/>
          <w:sz w:val="24"/>
          <w:szCs w:val="24"/>
          <w:lang w:val="en-US" w:eastAsia="zh-CN"/>
        </w:rPr>
        <w:t>设备</w:t>
      </w:r>
      <w:r>
        <w:rPr>
          <w:rFonts w:hint="eastAsia" w:ascii="微软雅黑" w:hAnsi="微软雅黑" w:eastAsia="微软雅黑" w:cs="微软雅黑"/>
          <w:kern w:val="0"/>
          <w:sz w:val="24"/>
          <w:szCs w:val="24"/>
        </w:rPr>
        <w:t>投标报价＜全部通过符合性审查投标人投标报价平均值×50%；</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2）设备</w:t>
      </w:r>
      <w:r>
        <w:rPr>
          <w:rFonts w:hint="eastAsia" w:ascii="微软雅黑" w:hAnsi="微软雅黑" w:eastAsia="微软雅黑" w:cs="微软雅黑"/>
          <w:kern w:val="0"/>
          <w:sz w:val="24"/>
          <w:szCs w:val="24"/>
        </w:rPr>
        <w:t>投标报价低于通过符合性审查的次低报价投标人投标报价50%的，即</w:t>
      </w:r>
      <w:r>
        <w:rPr>
          <w:rFonts w:hint="eastAsia" w:ascii="微软雅黑" w:hAnsi="微软雅黑" w:eastAsia="微软雅黑" w:cs="微软雅黑"/>
          <w:kern w:val="0"/>
          <w:sz w:val="24"/>
          <w:szCs w:val="24"/>
          <w:lang w:val="en-US" w:eastAsia="zh-CN"/>
        </w:rPr>
        <w:t>设备</w:t>
      </w:r>
      <w:r>
        <w:rPr>
          <w:rFonts w:hint="eastAsia" w:ascii="微软雅黑" w:hAnsi="微软雅黑" w:eastAsia="微软雅黑" w:cs="微软雅黑"/>
          <w:kern w:val="0"/>
          <w:sz w:val="24"/>
          <w:szCs w:val="24"/>
        </w:rPr>
        <w:t>投标报价＜通过符合性审查的次低报价投标人投标报价×50%；</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3）设备</w:t>
      </w:r>
      <w:r>
        <w:rPr>
          <w:rFonts w:hint="eastAsia" w:ascii="微软雅黑" w:hAnsi="微软雅黑" w:eastAsia="微软雅黑" w:cs="微软雅黑"/>
          <w:kern w:val="0"/>
          <w:sz w:val="24"/>
          <w:szCs w:val="24"/>
        </w:rPr>
        <w:t>投标报价低于采购项目最高限价45%的，即</w:t>
      </w:r>
      <w:r>
        <w:rPr>
          <w:rFonts w:hint="eastAsia" w:ascii="微软雅黑" w:hAnsi="微软雅黑" w:eastAsia="微软雅黑" w:cs="微软雅黑"/>
          <w:kern w:val="0"/>
          <w:sz w:val="24"/>
          <w:szCs w:val="24"/>
          <w:lang w:val="en-US" w:eastAsia="zh-CN"/>
        </w:rPr>
        <w:t>设备</w:t>
      </w:r>
      <w:r>
        <w:rPr>
          <w:rFonts w:hint="eastAsia" w:ascii="微软雅黑" w:hAnsi="微软雅黑" w:eastAsia="微软雅黑" w:cs="微软雅黑"/>
          <w:kern w:val="0"/>
          <w:sz w:val="24"/>
          <w:szCs w:val="24"/>
        </w:rPr>
        <w:t>投标报价＜采购项目</w:t>
      </w:r>
      <w:r>
        <w:rPr>
          <w:rFonts w:hint="eastAsia" w:ascii="微软雅黑" w:hAnsi="微软雅黑" w:eastAsia="微软雅黑" w:cs="微软雅黑"/>
          <w:kern w:val="0"/>
          <w:sz w:val="24"/>
          <w:szCs w:val="24"/>
          <w:lang w:eastAsia="zh-CN"/>
        </w:rPr>
        <w:t>设备</w:t>
      </w:r>
      <w:r>
        <w:rPr>
          <w:rFonts w:hint="eastAsia" w:ascii="微软雅黑" w:hAnsi="微软雅黑" w:eastAsia="微软雅黑" w:cs="微软雅黑"/>
          <w:kern w:val="0"/>
          <w:sz w:val="24"/>
          <w:szCs w:val="24"/>
        </w:rPr>
        <w:t>最高限价×45%；</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eastAsia="zh-CN"/>
        </w:rPr>
        <w:t>（</w:t>
      </w:r>
      <w:r>
        <w:rPr>
          <w:rFonts w:hint="eastAsia" w:ascii="微软雅黑" w:hAnsi="微软雅黑" w:eastAsia="微软雅黑" w:cs="微软雅黑"/>
          <w:kern w:val="0"/>
          <w:sz w:val="24"/>
          <w:szCs w:val="24"/>
          <w:lang w:val="en-US" w:eastAsia="zh-CN"/>
        </w:rPr>
        <w:t>4）</w:t>
      </w: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基于专业判断，认为投标人</w:t>
      </w:r>
      <w:r>
        <w:rPr>
          <w:rFonts w:hint="eastAsia" w:ascii="微软雅黑" w:hAnsi="微软雅黑" w:eastAsia="微软雅黑" w:cs="微软雅黑"/>
          <w:kern w:val="0"/>
          <w:sz w:val="24"/>
          <w:szCs w:val="24"/>
          <w:lang w:eastAsia="zh-CN"/>
        </w:rPr>
        <w:t>设备</w:t>
      </w:r>
      <w:r>
        <w:rPr>
          <w:rFonts w:hint="eastAsia" w:ascii="微软雅黑" w:hAnsi="微软雅黑" w:eastAsia="微软雅黑" w:cs="微软雅黑"/>
          <w:kern w:val="0"/>
          <w:sz w:val="24"/>
          <w:szCs w:val="24"/>
        </w:rPr>
        <w:t>报价过低，有可能影响产品质量或者不能诚信履约的其他情形。</w:t>
      </w:r>
    </w:p>
    <w:p>
      <w:pPr>
        <w:snapToGrid w:val="0"/>
        <w:spacing w:line="400" w:lineRule="exact"/>
        <w:ind w:firstLine="480" w:firstLineChars="200"/>
        <w:rPr>
          <w:rFonts w:hint="eastAsia" w:ascii="微软雅黑" w:hAnsi="微软雅黑" w:eastAsia="微软雅黑" w:cs="微软雅黑"/>
          <w:kern w:val="0"/>
          <w:sz w:val="24"/>
          <w:szCs w:val="24"/>
        </w:rPr>
      </w:pP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审现场可不再重复提交。</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default" w:ascii="微软雅黑" w:hAnsi="微软雅黑" w:eastAsia="微软雅黑" w:cs="微软雅黑"/>
          <w:kern w:val="0"/>
          <w:sz w:val="24"/>
          <w:szCs w:val="24"/>
          <w:lang w:eastAsia="zh-CN"/>
        </w:rPr>
        <w:t>评标小组</w:t>
      </w:r>
      <w:r>
        <w:rPr>
          <w:rFonts w:hint="eastAsia" w:ascii="微软雅黑" w:hAnsi="微软雅黑" w:eastAsia="微软雅黑" w:cs="微软雅黑"/>
          <w:kern w:val="0"/>
          <w:sz w:val="24"/>
          <w:szCs w:val="24"/>
        </w:rPr>
        <w:t>应当将其作为无效投标处理。</w:t>
      </w:r>
    </w:p>
    <w:p>
      <w:pPr>
        <w:pStyle w:val="23"/>
        <w:rPr>
          <w:rFonts w:hint="eastAsia"/>
        </w:rPr>
      </w:pP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8" w:name="_Toc27374"/>
      <w:r>
        <w:rPr>
          <w:rFonts w:hint="eastAsia" w:ascii="微软雅黑" w:hAnsi="微软雅黑" w:eastAsia="微软雅黑" w:cs="微软雅黑"/>
          <w:sz w:val="24"/>
        </w:rPr>
        <w:t>二、评标方法</w:t>
      </w:r>
      <w:bookmarkEnd w:id="118"/>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本项目采用最低价评标法进行评标。</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最低价评标法，是指响应文件满足公开比选采购文件全部实质性要求且投标报价最低的投标人为中标候选人的评标方法。</w:t>
      </w:r>
    </w:p>
    <w:p>
      <w:pPr>
        <w:snapToGrid w:val="0"/>
        <w:spacing w:line="400" w:lineRule="exact"/>
        <w:ind w:firstLine="480" w:firstLineChars="200"/>
        <w:rPr>
          <w:rFonts w:hint="eastAsia" w:ascii="微软雅黑" w:hAnsi="微软雅黑" w:eastAsia="微软雅黑" w:cs="微软雅黑"/>
          <w:kern w:val="0"/>
          <w:sz w:val="24"/>
          <w:szCs w:val="24"/>
        </w:rPr>
      </w:pPr>
      <w:bookmarkStart w:id="119" w:name="_Toc106030889"/>
      <w:bookmarkStart w:id="120" w:name="_Toc76462334"/>
      <w:bookmarkStart w:id="121" w:name="_Toc24315"/>
      <w:bookmarkStart w:id="122" w:name="_Toc30944"/>
      <w:bookmarkStart w:id="123" w:name="_Toc102227320"/>
      <w:bookmarkStart w:id="124" w:name="_Toc342913394"/>
      <w:r>
        <w:rPr>
          <w:rFonts w:hint="eastAsia" w:ascii="微软雅黑" w:hAnsi="微软雅黑" w:eastAsia="微软雅黑" w:cs="微软雅黑"/>
          <w:kern w:val="0"/>
          <w:sz w:val="24"/>
          <w:szCs w:val="24"/>
        </w:rPr>
        <w:t>（一）比较与评价。按比选采购文件中规定的评标方法和标准，对资格审查和符合性审查合格的响应文件进行商务和技术评估。</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 xml:space="preserve">提供相同品牌产品且通过资格审查、符合性审查的不同投标人参加的，按一家投标人计算。 </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（二）推荐中标候选人名单。</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推荐响应文件满足公开比选采购文件全部实质性要求，依据投标价格按照由低到高的顺序排名前三的投标人为中标候选人，其中排名第一的投标人为第一中标候选人。</w:t>
      </w:r>
    </w:p>
    <w:p>
      <w:pPr>
        <w:snapToGrid w:val="0"/>
        <w:spacing w:line="400" w:lineRule="exact"/>
        <w:ind w:firstLine="480" w:firstLineChars="200"/>
        <w:rPr>
          <w:rFonts w:hint="eastAsia" w:ascii="微软雅黑" w:hAnsi="微软雅黑" w:eastAsia="微软雅黑" w:cs="微软雅黑"/>
          <w:color w:val="FF0000"/>
          <w:kern w:val="0"/>
          <w:sz w:val="24"/>
          <w:szCs w:val="24"/>
          <w:lang w:eastAsia="zh-CN"/>
        </w:rPr>
      </w:pPr>
      <w:r>
        <w:rPr>
          <w:rFonts w:hint="eastAsia" w:ascii="微软雅黑" w:hAnsi="微软雅黑" w:eastAsia="微软雅黑" w:cs="微软雅黑"/>
          <w:kern w:val="0"/>
          <w:sz w:val="24"/>
          <w:szCs w:val="24"/>
        </w:rPr>
        <w:t>评标结果按投标报价由低到高顺序排列，若投标报价相同的由评标小组推荐中标候选人。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三、报价方式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该项目可在开标现场进行二次报价。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四、评审标准</w:t>
      </w:r>
      <w:bookmarkEnd w:id="119"/>
      <w:bookmarkEnd w:id="120"/>
      <w:bookmarkEnd w:id="121"/>
      <w:bookmarkEnd w:id="122"/>
    </w:p>
    <w:p>
      <w:pPr>
        <w:snapToGrid w:val="0"/>
        <w:spacing w:line="400" w:lineRule="exact"/>
        <w:ind w:firstLine="480" w:firstLineChars="200"/>
        <w:rPr>
          <w:rFonts w:hint="eastAsia" w:ascii="微软雅黑" w:hAnsi="微软雅黑" w:eastAsia="微软雅黑" w:cs="微软雅黑"/>
          <w:sz w:val="24"/>
          <w:szCs w:val="24"/>
        </w:rPr>
      </w:pPr>
      <w:bookmarkStart w:id="125" w:name="_Toc31497"/>
      <w:bookmarkStart w:id="126" w:name="_Toc76462335"/>
      <w:bookmarkStart w:id="127" w:name="_Toc106030890"/>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1.响应文件投标应答有一条及以上不满足公开比选采购文件“第二篇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2.响应文件投标应答有一条及以上不满足公开比选采购文件“第三篇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8" w:name="_Toc17606"/>
      <w:r>
        <w:rPr>
          <w:rFonts w:hint="eastAsia" w:ascii="微软雅黑" w:hAnsi="微软雅黑" w:eastAsia="微软雅黑" w:cs="微软雅黑"/>
          <w:sz w:val="24"/>
        </w:rPr>
        <w:t>四、无效响应</w:t>
      </w:r>
      <w:bookmarkEnd w:id="125"/>
      <w:bookmarkEnd w:id="126"/>
      <w:bookmarkEnd w:id="127"/>
      <w:bookmarkEnd w:id="128"/>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的法定代表人（或其授权代表）或自然人未</w:t>
      </w:r>
      <w:r>
        <w:rPr>
          <w:rFonts w:hint="eastAsia" w:ascii="微软雅黑" w:hAnsi="微软雅黑" w:eastAsia="微软雅黑" w:cs="微软雅黑"/>
          <w:sz w:val="24"/>
          <w:szCs w:val="24"/>
          <w:lang w:val="en-US" w:eastAsia="zh-CN"/>
        </w:rPr>
        <w:t>在采购人规定时间内到达开标现场进行签到并提交纸质版响应文件的</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所提交的响应文件不按“第</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w:t>
      </w:r>
      <w:r>
        <w:rPr>
          <w:rFonts w:hint="eastAsia" w:ascii="微软雅黑" w:hAnsi="微软雅黑" w:eastAsia="微软雅黑" w:cs="微软雅黑"/>
          <w:sz w:val="24"/>
          <w:szCs w:val="24"/>
          <w:lang w:val="en-US" w:eastAsia="zh-CN"/>
        </w:rPr>
        <w:t>比选</w:t>
      </w:r>
      <w:r>
        <w:rPr>
          <w:rFonts w:hint="eastAsia" w:ascii="微软雅黑" w:hAnsi="微软雅黑" w:eastAsia="微软雅黑" w:cs="微软雅黑"/>
          <w:sz w:val="24"/>
          <w:szCs w:val="24"/>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磋商有效期不满足</w:t>
      </w:r>
      <w:r>
        <w:rPr>
          <w:rFonts w:hint="eastAsia" w:ascii="微软雅黑" w:hAnsi="微软雅黑" w:eastAsia="微软雅黑" w:cs="微软雅黑"/>
          <w:sz w:val="24"/>
          <w:szCs w:val="24"/>
          <w:lang w:val="en-US" w:eastAsia="zh-CN"/>
        </w:rPr>
        <w:t>公开比选采购</w:t>
      </w:r>
      <w:r>
        <w:rPr>
          <w:rFonts w:hint="eastAsia" w:ascii="微软雅黑" w:hAnsi="微软雅黑" w:eastAsia="微软雅黑" w:cs="微软雅黑"/>
          <w:sz w:val="24"/>
          <w:szCs w:val="24"/>
        </w:rPr>
        <w:t>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w:t>
      </w:r>
      <w:r>
        <w:rPr>
          <w:rFonts w:hint="eastAsia" w:ascii="微软雅黑" w:hAnsi="微软雅黑" w:eastAsia="微软雅黑" w:cs="微软雅黑"/>
          <w:sz w:val="24"/>
          <w:szCs w:val="24"/>
          <w:lang w:eastAsia="zh-CN"/>
        </w:rPr>
        <w:t>投标人</w:t>
      </w:r>
      <w:r>
        <w:rPr>
          <w:rFonts w:hint="eastAsia" w:ascii="微软雅黑" w:hAnsi="微软雅黑" w:eastAsia="微软雅黑" w:cs="微软雅黑"/>
          <w:sz w:val="24"/>
          <w:szCs w:val="24"/>
        </w:rPr>
        <w:t>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（十）法律、法规和</w:t>
      </w:r>
      <w:r>
        <w:rPr>
          <w:rFonts w:hint="eastAsia" w:ascii="微软雅黑" w:hAnsi="微软雅黑" w:eastAsia="微软雅黑" w:cs="微软雅黑"/>
          <w:sz w:val="24"/>
          <w:szCs w:val="24"/>
          <w:lang w:val="en-US" w:eastAsia="zh-CN"/>
        </w:rPr>
        <w:t>遴选</w:t>
      </w:r>
      <w:r>
        <w:rPr>
          <w:rFonts w:hint="eastAsia" w:ascii="微软雅黑" w:hAnsi="微软雅黑" w:eastAsia="微软雅黑" w:cs="微软雅黑"/>
          <w:sz w:val="24"/>
          <w:szCs w:val="24"/>
          <w:lang w:eastAsia="zh-CN"/>
        </w:rPr>
        <w:t>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9" w:name="_Toc12222"/>
      <w:bookmarkStart w:id="130" w:name="_Toc76462336"/>
      <w:bookmarkStart w:id="131" w:name="_Toc106030891"/>
      <w:bookmarkStart w:id="132" w:name="_Toc10687"/>
      <w:r>
        <w:rPr>
          <w:rFonts w:hint="eastAsia" w:ascii="微软雅黑" w:hAnsi="微软雅黑" w:eastAsia="微软雅黑" w:cs="微软雅黑"/>
          <w:sz w:val="24"/>
        </w:rPr>
        <w:t>五、</w:t>
      </w:r>
      <w:bookmarkEnd w:id="123"/>
      <w:bookmarkEnd w:id="124"/>
      <w:bookmarkEnd w:id="129"/>
      <w:bookmarkEnd w:id="130"/>
      <w:bookmarkEnd w:id="131"/>
      <w:bookmarkEnd w:id="132"/>
      <w:r>
        <w:rPr>
          <w:rFonts w:hint="eastAsia" w:ascii="微软雅黑" w:hAnsi="微软雅黑" w:eastAsia="微软雅黑" w:cs="微软雅黑"/>
          <w:sz w:val="24"/>
        </w:rPr>
        <w:t>废标条款</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（一）因情况变化，不再符合规定的公开比选采购方式适用情形的；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（三）在采购过程中符合要求的投标人或者报价未超过采购预算的投标人不足3家的；</w:t>
      </w:r>
      <w:r>
        <w:rPr>
          <w:rFonts w:hint="eastAsia" w:ascii="微软雅黑" w:hAnsi="微软雅黑" w:eastAsia="微软雅黑" w:cs="微软雅黑"/>
          <w:sz w:val="24"/>
          <w:szCs w:val="24"/>
          <w:lang w:eastAsia="zh-CN"/>
        </w:rPr>
        <w:t>（挂网次数大于等于</w:t>
      </w:r>
      <w:r>
        <w:rPr>
          <w:rFonts w:hint="eastAsia" w:ascii="微软雅黑" w:hAnsi="微软雅黑" w:eastAsia="微软雅黑" w:cs="微软雅黑"/>
          <w:sz w:val="24"/>
          <w:szCs w:val="24"/>
          <w:lang w:val="en-US" w:eastAsia="zh-CN"/>
        </w:rPr>
        <w:t>3家的除外</w:t>
      </w:r>
      <w:r>
        <w:rPr>
          <w:rFonts w:hint="eastAsia" w:ascii="微软雅黑" w:hAnsi="微软雅黑" w:eastAsia="微软雅黑" w:cs="微软雅黑"/>
          <w:sz w:val="24"/>
          <w:szCs w:val="24"/>
          <w:lang w:eastAsia="zh-CN"/>
        </w:rPr>
        <w:t>）</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3" w:name="_Toc102227313"/>
      <w:bookmarkStart w:id="134" w:name="_Toc13119"/>
      <w:bookmarkStart w:id="135" w:name="_Toc29948"/>
      <w:bookmarkStart w:id="136" w:name="_Toc106030892"/>
      <w:bookmarkStart w:id="137" w:name="_Toc76462337"/>
      <w:r>
        <w:rPr>
          <w:rFonts w:hint="eastAsia" w:ascii="微软雅黑" w:hAnsi="微软雅黑" w:eastAsia="微软雅黑" w:cs="微软雅黑"/>
          <w:sz w:val="44"/>
        </w:rPr>
        <w:t>第五篇  投标人须知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8" w:name="_Toc342913389"/>
      <w:bookmarkStart w:id="139" w:name="_Toc20271"/>
      <w:bookmarkStart w:id="140" w:name="_Toc26717"/>
      <w:bookmarkStart w:id="141" w:name="_Toc106030893"/>
      <w:bookmarkStart w:id="142" w:name="_Toc76462338"/>
      <w:r>
        <w:rPr>
          <w:rFonts w:hint="eastAsia" w:ascii="微软雅黑" w:hAnsi="微软雅黑" w:eastAsia="微软雅黑" w:cs="微软雅黑"/>
          <w:sz w:val="24"/>
        </w:rPr>
        <w:t>一、公开比选费用</w:t>
      </w:r>
      <w:bookmarkEnd w:id="138"/>
      <w:bookmarkEnd w:id="139"/>
      <w:bookmarkEnd w:id="140"/>
      <w:bookmarkEnd w:id="141"/>
      <w:bookmarkEnd w:id="142"/>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3" w:name="_Toc15712"/>
      <w:bookmarkStart w:id="144" w:name="_Toc106030894"/>
      <w:bookmarkStart w:id="145" w:name="_Toc27891"/>
      <w:bookmarkStart w:id="146" w:name="_Toc76462339"/>
      <w:bookmarkStart w:id="147" w:name="_Toc342913391"/>
      <w:r>
        <w:rPr>
          <w:rFonts w:hint="eastAsia" w:ascii="微软雅黑" w:hAnsi="微软雅黑" w:eastAsia="微软雅黑" w:cs="微软雅黑"/>
          <w:sz w:val="24"/>
        </w:rPr>
        <w:t>二、公开比选采购文件</w:t>
      </w:r>
      <w:bookmarkEnd w:id="143"/>
      <w:bookmarkEnd w:id="144"/>
      <w:bookmarkEnd w:id="145"/>
      <w:bookmarkEnd w:id="146"/>
      <w:bookmarkEnd w:id="147"/>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（一）公开比选采购文件由采购邀请书、项目服务需求、投标人须知、项目商务需求、比选程序及方法、评审标准、无效响应和采购终止、投标人须知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（二）采购人所作的一切有效的书面通知、修改及补充，都是公开比选采购文件不可分割的部分。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（三）公开比选采购文件的解释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公开比选采购文件有疑问，必须以书面形式在提交响应文件截止时间2个工作日前向采购人要求澄清，采购人可视具体情况做出处理或答复。如投标人未提出疑问，视为完全理解并同意本公开比选采购文件。一经进入比选程序，即视为投标人已详细阅读全部文件资料，完全理解公开比选采购文件所有条款内容并同意放弃对这方面有不明白及误解的权利。</w:t>
      </w:r>
      <w:bookmarkStart w:id="148" w:name="_Toc318159160"/>
      <w:bookmarkStart w:id="149" w:name="_Toc318159780"/>
      <w:bookmarkStart w:id="150" w:name="_Toc318166429"/>
      <w:bookmarkStart w:id="151" w:name="_Toc318159349"/>
    </w:p>
    <w:bookmarkEnd w:id="148"/>
    <w:bookmarkEnd w:id="149"/>
    <w:bookmarkEnd w:id="150"/>
    <w:bookmarkEnd w:id="151"/>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2" w:name="_Toc179714297"/>
      <w:bookmarkStart w:id="153" w:name="_Toc26007"/>
      <w:bookmarkStart w:id="154" w:name="_Toc76462340"/>
      <w:bookmarkStart w:id="155" w:name="_Toc342913392"/>
      <w:bookmarkStart w:id="156" w:name="_Toc106030895"/>
      <w:bookmarkStart w:id="157" w:name="_Toc102227318"/>
      <w:bookmarkStart w:id="158" w:name="_Toc20510"/>
      <w:r>
        <w:rPr>
          <w:rFonts w:hint="eastAsia" w:ascii="微软雅黑" w:hAnsi="微软雅黑" w:eastAsia="微软雅黑" w:cs="微软雅黑"/>
          <w:sz w:val="24"/>
        </w:rPr>
        <w:t>三、比选要求</w:t>
      </w:r>
      <w:bookmarkEnd w:id="152"/>
      <w:bookmarkEnd w:id="153"/>
      <w:bookmarkEnd w:id="154"/>
      <w:bookmarkEnd w:id="155"/>
      <w:bookmarkEnd w:id="156"/>
      <w:bookmarkEnd w:id="157"/>
      <w:bookmarkEnd w:id="15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1.投标人应当按照公开比选采购文件的要求编制响应文件，并对公开比选采购文件提出的要求和条件作出实质性响应，响应文件原则上采用软面订本，同时应编制完整的页码、目录。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1.响应文件一式</w:t>
      </w:r>
      <w:r>
        <w:rPr>
          <w:rFonts w:hint="eastAsia" w:ascii="微软雅黑" w:hAnsi="微软雅黑" w:eastAsia="微软雅黑" w:cs="微软雅黑"/>
          <w:sz w:val="24"/>
          <w:szCs w:val="24"/>
          <w:lang w:eastAsia="zh-CN"/>
        </w:rPr>
        <w:t>七</w:t>
      </w:r>
      <w:r>
        <w:rPr>
          <w:rFonts w:hint="eastAsia" w:ascii="微软雅黑" w:hAnsi="微软雅黑" w:eastAsia="微软雅黑" w:cs="微软雅黑"/>
          <w:sz w:val="24"/>
          <w:szCs w:val="24"/>
        </w:rPr>
        <w:t>份，其中正本一份，副本</w:t>
      </w:r>
      <w:r>
        <w:rPr>
          <w:rFonts w:hint="eastAsia" w:ascii="微软雅黑" w:hAnsi="微软雅黑" w:eastAsia="微软雅黑" w:cs="微软雅黑"/>
          <w:sz w:val="24"/>
          <w:szCs w:val="24"/>
          <w:lang w:eastAsia="zh-CN"/>
        </w:rPr>
        <w:t>六</w:t>
      </w:r>
      <w:r>
        <w:rPr>
          <w:rFonts w:hint="eastAsia" w:ascii="微软雅黑" w:hAnsi="微软雅黑" w:eastAsia="微软雅黑" w:cs="微软雅黑"/>
          <w:sz w:val="24"/>
          <w:szCs w:val="24"/>
        </w:rPr>
        <w:t>份，电子文档</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b/>
          <w:bCs/>
          <w:color w:val="auto"/>
          <w:sz w:val="24"/>
          <w:szCs w:val="24"/>
          <w:u w:val="single"/>
          <w:lang w:val="en-US" w:eastAsia="zh-CN"/>
        </w:rPr>
        <w:t>电子文档须将完整的响应文件</w:t>
      </w:r>
      <w:r>
        <w:rPr>
          <w:rFonts w:hint="eastAsia" w:ascii="微软雅黑" w:hAnsi="微软雅黑" w:eastAsia="微软雅黑" w:cs="微软雅黑"/>
          <w:b/>
          <w:bCs/>
          <w:color w:val="auto"/>
          <w:sz w:val="24"/>
          <w:szCs w:val="24"/>
          <w:u w:val="single"/>
        </w:rPr>
        <w:t>正本PDF版上传到电子招投标平台</w:t>
      </w:r>
      <w:r>
        <w:rPr>
          <w:rFonts w:hint="eastAsia" w:ascii="微软雅黑" w:hAnsi="微软雅黑" w:eastAsia="微软雅黑" w:cs="微软雅黑"/>
          <w:b/>
          <w:bCs/>
          <w:color w:val="auto"/>
          <w:sz w:val="24"/>
          <w:szCs w:val="24"/>
          <w:u w:val="single"/>
          <w:lang w:eastAsia="zh-CN"/>
        </w:rPr>
        <w:t>，</w:t>
      </w:r>
      <w:r>
        <w:rPr>
          <w:rFonts w:hint="eastAsia" w:ascii="微软雅黑" w:hAnsi="微软雅黑" w:eastAsia="微软雅黑" w:cs="微软雅黑"/>
          <w:b/>
          <w:bCs/>
          <w:color w:val="auto"/>
          <w:sz w:val="24"/>
          <w:szCs w:val="24"/>
          <w:u w:val="single"/>
          <w:lang w:val="en-US" w:eastAsia="zh-CN"/>
        </w:rPr>
        <w:t>如电子文档与纸质响应文件的实质性内容出现差异，则视为未报名成功</w:t>
      </w:r>
      <w:r>
        <w:rPr>
          <w:rFonts w:hint="eastAsia" w:ascii="微软雅黑" w:hAnsi="微软雅黑" w:eastAsia="微软雅黑" w:cs="微软雅黑"/>
          <w:b/>
          <w:bCs/>
          <w:color w:val="auto"/>
          <w:sz w:val="24"/>
          <w:szCs w:val="24"/>
        </w:rPr>
        <w:t>）</w:t>
      </w:r>
      <w:r>
        <w:rPr>
          <w:rFonts w:hint="eastAsia" w:ascii="微软雅黑" w:hAnsi="微软雅黑" w:eastAsia="微软雅黑" w:cs="微软雅黑"/>
          <w:sz w:val="24"/>
          <w:szCs w:val="24"/>
        </w:rPr>
        <w:t>一份；副本可为正本的复印件，应与正本一致，如出现不一致情况以正本为准。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响应文件按公开比选采购文件“第六篇响应文件编制要求”要求签署或盖章。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2"/>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9" w:name="_Toc76462341"/>
      <w:bookmarkStart w:id="160" w:name="_Toc6435"/>
      <w:bookmarkStart w:id="161" w:name="_Toc106030896"/>
      <w:bookmarkStart w:id="162" w:name="_Toc32166"/>
      <w:r>
        <w:rPr>
          <w:rFonts w:hint="eastAsia" w:ascii="微软雅黑" w:hAnsi="微软雅黑" w:eastAsia="微软雅黑" w:cs="微软雅黑"/>
          <w:sz w:val="24"/>
        </w:rPr>
        <w:t>四、</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的确认和变更</w:t>
      </w:r>
      <w:bookmarkEnd w:id="159"/>
      <w:bookmarkEnd w:id="160"/>
      <w:bookmarkEnd w:id="161"/>
      <w:bookmarkEnd w:id="16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拒绝与采购人签订合同的，采购人可以按照评标报告推荐的成交候选投标人顺序，确定排名下一位的候选人为</w:t>
      </w:r>
      <w:r>
        <w:rPr>
          <w:rFonts w:hint="eastAsia" w:ascii="微软雅黑" w:hAnsi="微软雅黑" w:eastAsia="微软雅黑" w:cs="微软雅黑"/>
          <w:sz w:val="24"/>
          <w:lang w:eastAsia="zh-CN"/>
        </w:rPr>
        <w:t>中标人</w:t>
      </w:r>
      <w:r>
        <w:rPr>
          <w:rFonts w:hint="eastAsia" w:ascii="微软雅黑" w:hAnsi="微软雅黑" w:eastAsia="微软雅黑" w:cs="微软雅黑"/>
          <w:sz w:val="24"/>
        </w:rPr>
        <w:t>，也可以重新开展采购活动。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21532"/>
      <w:bookmarkStart w:id="164" w:name="_Toc102227321"/>
      <w:bookmarkStart w:id="165" w:name="_Toc2729"/>
      <w:bookmarkStart w:id="166" w:name="_Toc342913395"/>
      <w:bookmarkStart w:id="167" w:name="_Toc76462342"/>
      <w:bookmarkStart w:id="168" w:name="_Toc106030897"/>
      <w:r>
        <w:rPr>
          <w:rFonts w:hint="eastAsia" w:ascii="微软雅黑" w:hAnsi="微软雅黑" w:eastAsia="微软雅黑" w:cs="微软雅黑"/>
          <w:sz w:val="24"/>
        </w:rPr>
        <w:t>五、成交通知</w:t>
      </w:r>
      <w:bookmarkEnd w:id="163"/>
      <w:bookmarkEnd w:id="164"/>
      <w:bookmarkEnd w:id="165"/>
      <w:bookmarkEnd w:id="166"/>
      <w:bookmarkEnd w:id="167"/>
      <w:bookmarkEnd w:id="16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中标人</w:t>
      </w:r>
      <w:r>
        <w:rPr>
          <w:rFonts w:hint="eastAsia" w:ascii="微软雅黑" w:hAnsi="微软雅黑" w:eastAsia="微软雅黑" w:cs="微软雅黑"/>
          <w:sz w:val="24"/>
          <w:szCs w:val="24"/>
        </w:rPr>
        <w:t>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公室将平台内发出《中标通知书》。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9" w:name="_Toc76462343"/>
      <w:bookmarkStart w:id="170" w:name="_Toc4796"/>
      <w:bookmarkStart w:id="171" w:name="_Toc21448"/>
      <w:bookmarkStart w:id="172" w:name="_Toc106030898"/>
      <w:r>
        <w:rPr>
          <w:rFonts w:hint="eastAsia" w:ascii="微软雅黑" w:hAnsi="微软雅黑" w:eastAsia="微软雅黑" w:cs="微软雅黑"/>
          <w:sz w:val="24"/>
        </w:rPr>
        <w:t>六、质疑处理</w:t>
      </w:r>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投标人认为采购文件、采购过程和成交结果使自己的权益收到伤害的，可向采购人以书面形式提出质疑。</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3" w:name="_Toc28334"/>
      <w:bookmarkStart w:id="174" w:name="_Toc76462344"/>
      <w:bookmarkStart w:id="175" w:name="_Toc106030899"/>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76" w:name="_Toc23896"/>
      <w:r>
        <w:rPr>
          <w:rFonts w:hint="eastAsia" w:ascii="微软雅黑" w:hAnsi="微软雅黑" w:eastAsia="微软雅黑" w:cs="微软雅黑"/>
          <w:sz w:val="24"/>
        </w:rPr>
        <w:t>七、</w:t>
      </w:r>
      <w:bookmarkEnd w:id="173"/>
      <w:bookmarkEnd w:id="174"/>
      <w:bookmarkEnd w:id="175"/>
      <w:bookmarkStart w:id="177" w:name="_Toc102227322"/>
      <w:bookmarkStart w:id="178" w:name="_Toc3372"/>
      <w:bookmarkStart w:id="179" w:name="_Toc106030901"/>
      <w:bookmarkStart w:id="180" w:name="_Toc342913396"/>
      <w:bookmarkStart w:id="181" w:name="_Toc76462346"/>
      <w:bookmarkStart w:id="182" w:name="_Toc11641055"/>
      <w:bookmarkStart w:id="183" w:name="_Toc12789059"/>
      <w:r>
        <w:rPr>
          <w:rFonts w:hint="eastAsia" w:ascii="微软雅黑" w:hAnsi="微软雅黑" w:eastAsia="微软雅黑" w:cs="微软雅黑"/>
          <w:sz w:val="24"/>
        </w:rPr>
        <w:t>签订</w:t>
      </w:r>
      <w:bookmarkEnd w:id="177"/>
      <w:r>
        <w:rPr>
          <w:rFonts w:hint="eastAsia" w:ascii="微软雅黑" w:hAnsi="微软雅黑" w:eastAsia="微软雅黑" w:cs="微软雅黑"/>
          <w:sz w:val="24"/>
        </w:rPr>
        <w:t>合同</w:t>
      </w:r>
      <w:bookmarkEnd w:id="176"/>
      <w:bookmarkEnd w:id="178"/>
      <w:bookmarkEnd w:id="179"/>
      <w:bookmarkEnd w:id="180"/>
      <w:bookmarkEnd w:id="181"/>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（一）中标人应于收到中标通知书之日起5个工作日内，按照中标项目的公开比选采购文件与响应文件递交采购合同。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2"/>
      <w:bookmarkEnd w:id="183"/>
    </w:p>
    <w:p>
      <w:pPr>
        <w:pStyle w:val="4"/>
        <w:spacing w:before="200" w:after="200" w:line="240" w:lineRule="auto"/>
        <w:jc w:val="center"/>
        <w:rPr>
          <w:rFonts w:hint="eastAsia" w:ascii="微软雅黑" w:hAnsi="微软雅黑" w:eastAsia="微软雅黑" w:cs="微软雅黑"/>
          <w:b/>
          <w:sz w:val="44"/>
          <w:szCs w:val="20"/>
        </w:rPr>
      </w:pPr>
      <w:bookmarkStart w:id="184" w:name="_Hlt41879464"/>
      <w:bookmarkEnd w:id="184"/>
      <w:bookmarkStart w:id="185" w:name="_Toc76462349"/>
      <w:bookmarkStart w:id="186" w:name="_Toc27984"/>
      <w:bookmarkStart w:id="187" w:name="_Toc21717"/>
      <w:bookmarkStart w:id="188" w:name="_Toc106030905"/>
      <w:r>
        <w:rPr>
          <w:rFonts w:hint="eastAsia" w:ascii="微软雅黑" w:hAnsi="微软雅黑" w:eastAsia="微软雅黑" w:cs="微软雅黑"/>
          <w:b/>
          <w:sz w:val="44"/>
          <w:szCs w:val="20"/>
        </w:rPr>
        <w:t>第六篇  响应文件编制要求</w:t>
      </w:r>
      <w:bookmarkEnd w:id="185"/>
      <w:bookmarkEnd w:id="186"/>
      <w:bookmarkEnd w:id="187"/>
      <w:bookmarkEnd w:id="188"/>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（二）其他资料（格式自定）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t>其他与项目有关的资料</w:t>
      </w:r>
    </w:p>
    <w:p>
      <w:pPr>
        <w:spacing w:line="360" w:lineRule="auto"/>
        <w:jc w:val="both"/>
        <w:outlineLvl w:val="0"/>
        <w:rPr>
          <w:rFonts w:hint="eastAsia" w:ascii="微软雅黑" w:hAnsi="微软雅黑" w:eastAsia="微软雅黑" w:cs="微软雅黑"/>
          <w:lang w:eastAsia="zh-CN"/>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moder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PMingLiU">
    <w:altName w:val="Microsoft JhengHei UI"/>
    <w:panose1 w:val="02010601000101010101"/>
    <w:charset w:val="88"/>
    <w:family w:val="roman"/>
    <w:pitch w:val="default"/>
    <w:sig w:usb0="00000000" w:usb1="00000000" w:usb2="00000016" w:usb3="00000000" w:csb0="00100001" w:csb1="00000000"/>
  </w:font>
  <w:font w:name="仿宋_GB2312">
    <w:altName w:val="仿宋"/>
    <w:panose1 w:val="00000000000000000000"/>
    <w:charset w:val="86"/>
    <w:family w:val="modern"/>
    <w:pitch w:val="default"/>
    <w:sig w:usb0="00000000" w:usb1="00000000" w:usb2="0000001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Cambria Math">
    <w:panose1 w:val="02040503050406030204"/>
    <w:charset w:val="00"/>
    <w:family w:val="auto"/>
    <w:pitch w:val="default"/>
    <w:sig w:usb0="E00006FF" w:usb1="420024FF" w:usb2="02000000" w:usb3="00000000" w:csb0="2000019F" w:csb1="00000000"/>
  </w:font>
  <w:font w:name="MS Minch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2"/>
      </w:rPr>
    </w:pPr>
  </w:p>
  <w:p>
    <w:pPr>
      <w:pStyle w:val="2"/>
      <w:jc w:val="center"/>
      <w:rPr>
        <w:rFonts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rPr>
        <w:rFonts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2"/>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重庆医科大学附属儿童医院比选文件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8"/>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abstractNum w:abstractNumId="14">
    <w:nsid w:val="626230BF"/>
    <w:multiLevelType w:val="singleLevel"/>
    <w:tmpl w:val="626230BF"/>
    <w:lvl w:ilvl="0" w:tentative="0">
      <w:start w:val="1"/>
      <w:numFmt w:val="decimal"/>
      <w:lvlText w:val="%1."/>
      <w:lvlJc w:val="left"/>
      <w:pPr>
        <w:tabs>
          <w:tab w:val="left" w:pos="312"/>
        </w:tabs>
      </w:pPr>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65CFF"/>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1031A07"/>
    <w:rsid w:val="026C7369"/>
    <w:rsid w:val="030620E3"/>
    <w:rsid w:val="04631E70"/>
    <w:rsid w:val="05986724"/>
    <w:rsid w:val="05B83278"/>
    <w:rsid w:val="079B568B"/>
    <w:rsid w:val="07F103E0"/>
    <w:rsid w:val="08615217"/>
    <w:rsid w:val="089E34BE"/>
    <w:rsid w:val="092E6FC0"/>
    <w:rsid w:val="093441FC"/>
    <w:rsid w:val="099D19F4"/>
    <w:rsid w:val="0BB87E47"/>
    <w:rsid w:val="0D1F249B"/>
    <w:rsid w:val="0D26388C"/>
    <w:rsid w:val="0D2D45FA"/>
    <w:rsid w:val="0F4F0F37"/>
    <w:rsid w:val="1009316D"/>
    <w:rsid w:val="128D10D0"/>
    <w:rsid w:val="1317485C"/>
    <w:rsid w:val="137173BB"/>
    <w:rsid w:val="13747A80"/>
    <w:rsid w:val="143E2110"/>
    <w:rsid w:val="147A5E14"/>
    <w:rsid w:val="14D11CFB"/>
    <w:rsid w:val="15935DB5"/>
    <w:rsid w:val="15BB3449"/>
    <w:rsid w:val="16404E7B"/>
    <w:rsid w:val="167215B9"/>
    <w:rsid w:val="17324323"/>
    <w:rsid w:val="1743251A"/>
    <w:rsid w:val="17A1211B"/>
    <w:rsid w:val="1892605C"/>
    <w:rsid w:val="18ED7A84"/>
    <w:rsid w:val="19255AF5"/>
    <w:rsid w:val="1A7E6296"/>
    <w:rsid w:val="1B9F0D6B"/>
    <w:rsid w:val="1EE0720C"/>
    <w:rsid w:val="1F0D01CA"/>
    <w:rsid w:val="1FB21338"/>
    <w:rsid w:val="21226BB2"/>
    <w:rsid w:val="21864056"/>
    <w:rsid w:val="222348FC"/>
    <w:rsid w:val="22F860AB"/>
    <w:rsid w:val="23DB3147"/>
    <w:rsid w:val="242C5890"/>
    <w:rsid w:val="2486441F"/>
    <w:rsid w:val="25013478"/>
    <w:rsid w:val="25A07F04"/>
    <w:rsid w:val="263535D3"/>
    <w:rsid w:val="26E678A2"/>
    <w:rsid w:val="270F3C6E"/>
    <w:rsid w:val="28426BC2"/>
    <w:rsid w:val="2863744A"/>
    <w:rsid w:val="28DC615D"/>
    <w:rsid w:val="29601F8B"/>
    <w:rsid w:val="296F02CD"/>
    <w:rsid w:val="2A262DDF"/>
    <w:rsid w:val="2AA01F44"/>
    <w:rsid w:val="2AEE5B1E"/>
    <w:rsid w:val="2B124177"/>
    <w:rsid w:val="2B712B53"/>
    <w:rsid w:val="2C43216E"/>
    <w:rsid w:val="2CB45BA1"/>
    <w:rsid w:val="2CD472B8"/>
    <w:rsid w:val="2DB02B6B"/>
    <w:rsid w:val="2E966F2B"/>
    <w:rsid w:val="2EB54030"/>
    <w:rsid w:val="300C58E0"/>
    <w:rsid w:val="30607DAE"/>
    <w:rsid w:val="31093DAE"/>
    <w:rsid w:val="31DA5A58"/>
    <w:rsid w:val="32EF600F"/>
    <w:rsid w:val="32FD7152"/>
    <w:rsid w:val="332D1E43"/>
    <w:rsid w:val="33673EF7"/>
    <w:rsid w:val="35680ADC"/>
    <w:rsid w:val="361F2D7D"/>
    <w:rsid w:val="37556B60"/>
    <w:rsid w:val="38CD7FDC"/>
    <w:rsid w:val="3ACE5D4F"/>
    <w:rsid w:val="3C55524B"/>
    <w:rsid w:val="3C740F54"/>
    <w:rsid w:val="3CCE1388"/>
    <w:rsid w:val="3DF6488D"/>
    <w:rsid w:val="3F1C71CA"/>
    <w:rsid w:val="406334F2"/>
    <w:rsid w:val="406D5057"/>
    <w:rsid w:val="409F14A1"/>
    <w:rsid w:val="415F6EA3"/>
    <w:rsid w:val="41E22EB6"/>
    <w:rsid w:val="42035EAF"/>
    <w:rsid w:val="42B0358C"/>
    <w:rsid w:val="43313057"/>
    <w:rsid w:val="446528DF"/>
    <w:rsid w:val="44890FF5"/>
    <w:rsid w:val="44F64ED7"/>
    <w:rsid w:val="452C7897"/>
    <w:rsid w:val="45D24AA7"/>
    <w:rsid w:val="46151D23"/>
    <w:rsid w:val="46212B96"/>
    <w:rsid w:val="46BB1B1D"/>
    <w:rsid w:val="46D026EE"/>
    <w:rsid w:val="475E104C"/>
    <w:rsid w:val="47AA1B14"/>
    <w:rsid w:val="47DF47C8"/>
    <w:rsid w:val="47E44DA2"/>
    <w:rsid w:val="47F14C9F"/>
    <w:rsid w:val="494C6B8D"/>
    <w:rsid w:val="497B7CB3"/>
    <w:rsid w:val="4A8845CE"/>
    <w:rsid w:val="4AE01270"/>
    <w:rsid w:val="4B2D12E0"/>
    <w:rsid w:val="4BEB6B31"/>
    <w:rsid w:val="4CAB5FE1"/>
    <w:rsid w:val="4D06649A"/>
    <w:rsid w:val="4DD36371"/>
    <w:rsid w:val="4E611B94"/>
    <w:rsid w:val="4EEC1F3B"/>
    <w:rsid w:val="4F070047"/>
    <w:rsid w:val="4F3C244F"/>
    <w:rsid w:val="4FCD30B4"/>
    <w:rsid w:val="50067945"/>
    <w:rsid w:val="50285921"/>
    <w:rsid w:val="5115115D"/>
    <w:rsid w:val="521E4A24"/>
    <w:rsid w:val="524005FC"/>
    <w:rsid w:val="52D92ACB"/>
    <w:rsid w:val="53B4776F"/>
    <w:rsid w:val="53DF1E3A"/>
    <w:rsid w:val="540F25CE"/>
    <w:rsid w:val="545B425C"/>
    <w:rsid w:val="558E730F"/>
    <w:rsid w:val="56B82C10"/>
    <w:rsid w:val="573C43EC"/>
    <w:rsid w:val="57722F85"/>
    <w:rsid w:val="57857077"/>
    <w:rsid w:val="58EA1C45"/>
    <w:rsid w:val="59A45271"/>
    <w:rsid w:val="59D52FEA"/>
    <w:rsid w:val="5CA67F0E"/>
    <w:rsid w:val="5DAD4E7C"/>
    <w:rsid w:val="5E16050E"/>
    <w:rsid w:val="5E3D2C1E"/>
    <w:rsid w:val="5EE04623"/>
    <w:rsid w:val="5EE73DC1"/>
    <w:rsid w:val="5F7C4D42"/>
    <w:rsid w:val="60CB5C8F"/>
    <w:rsid w:val="61743609"/>
    <w:rsid w:val="61DB1F11"/>
    <w:rsid w:val="6379050D"/>
    <w:rsid w:val="648E3C9A"/>
    <w:rsid w:val="64DA4767"/>
    <w:rsid w:val="65170F5B"/>
    <w:rsid w:val="65215328"/>
    <w:rsid w:val="670A099E"/>
    <w:rsid w:val="67CE7C36"/>
    <w:rsid w:val="68BD663A"/>
    <w:rsid w:val="68CA1C56"/>
    <w:rsid w:val="692F74C0"/>
    <w:rsid w:val="696405DD"/>
    <w:rsid w:val="69BE2355"/>
    <w:rsid w:val="6B75107A"/>
    <w:rsid w:val="6D5236ED"/>
    <w:rsid w:val="6F7E3D26"/>
    <w:rsid w:val="6FE969BF"/>
    <w:rsid w:val="701245F9"/>
    <w:rsid w:val="71175C34"/>
    <w:rsid w:val="721C10A9"/>
    <w:rsid w:val="74D70DF7"/>
    <w:rsid w:val="750950F5"/>
    <w:rsid w:val="750D16CF"/>
    <w:rsid w:val="75282A69"/>
    <w:rsid w:val="773622B4"/>
    <w:rsid w:val="780B6D9F"/>
    <w:rsid w:val="789F3DA6"/>
    <w:rsid w:val="78A52377"/>
    <w:rsid w:val="79082185"/>
    <w:rsid w:val="79D7056D"/>
    <w:rsid w:val="7A0C70F4"/>
    <w:rsid w:val="7A6F77AB"/>
    <w:rsid w:val="7ABA3FBA"/>
    <w:rsid w:val="7B411620"/>
    <w:rsid w:val="7B5B7497"/>
    <w:rsid w:val="7BEF5F10"/>
    <w:rsid w:val="7C745D1B"/>
    <w:rsid w:val="7D9563F1"/>
    <w:rsid w:val="7EB03B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45"/>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w:basedOn w:val="1"/>
    <w:next w:val="1"/>
    <w:qFormat/>
    <w:uiPriority w:val="0"/>
    <w:rPr>
      <w:rFonts w:ascii="仿宋_GB2312" w:eastAsia="仿宋_GB2312"/>
      <w:sz w:val="32"/>
    </w:rPr>
  </w:style>
  <w:style w:type="paragraph" w:styleId="24">
    <w:name w:val="Body Text Indent"/>
    <w:basedOn w:val="1"/>
    <w:link w:val="74"/>
    <w:qFormat/>
    <w:uiPriority w:val="0"/>
    <w:pPr>
      <w:spacing w:line="700" w:lineRule="exact"/>
      <w:ind w:left="960"/>
    </w:pPr>
    <w:rPr>
      <w:sz w:val="44"/>
    </w:rPr>
  </w:style>
  <w:style w:type="paragraph" w:styleId="25">
    <w:name w:val="List Number 3"/>
    <w:basedOn w:val="1"/>
    <w:qFormat/>
    <w:uiPriority w:val="0"/>
    <w:pPr>
      <w:tabs>
        <w:tab w:val="left" w:pos="2120"/>
      </w:tabs>
      <w:adjustRightInd w:val="0"/>
      <w:snapToGrid w:val="0"/>
      <w:spacing w:line="360" w:lineRule="auto"/>
      <w:ind w:left="2120" w:hanging="720"/>
    </w:pPr>
    <w:rPr>
      <w:sz w:val="24"/>
    </w:rPr>
  </w:style>
  <w:style w:type="paragraph" w:styleId="26">
    <w:name w:val="List 2"/>
    <w:basedOn w:val="1"/>
    <w:qFormat/>
    <w:uiPriority w:val="0"/>
    <w:pPr>
      <w:adjustRightInd w:val="0"/>
      <w:snapToGrid w:val="0"/>
      <w:spacing w:line="360" w:lineRule="auto"/>
      <w:ind w:left="100" w:leftChars="200" w:hanging="200" w:hangingChars="200"/>
    </w:pPr>
    <w:rPr>
      <w:sz w:val="24"/>
    </w:rPr>
  </w:style>
  <w:style w:type="paragraph" w:styleId="27">
    <w:name w:val="List Continue"/>
    <w:basedOn w:val="1"/>
    <w:qFormat/>
    <w:uiPriority w:val="0"/>
    <w:pPr>
      <w:adjustRightInd w:val="0"/>
      <w:snapToGrid w:val="0"/>
      <w:spacing w:after="120" w:line="360" w:lineRule="auto"/>
      <w:ind w:left="420" w:leftChars="200"/>
    </w:pPr>
    <w:rPr>
      <w:sz w:val="24"/>
    </w:rPr>
  </w:style>
  <w:style w:type="paragraph" w:styleId="28">
    <w:name w:val="List Bullet 2"/>
    <w:basedOn w:val="1"/>
    <w:qFormat/>
    <w:uiPriority w:val="0"/>
    <w:pPr>
      <w:numPr>
        <w:ilvl w:val="0"/>
        <w:numId w:val="4"/>
      </w:numPr>
      <w:adjustRightInd w:val="0"/>
      <w:snapToGrid w:val="0"/>
      <w:spacing w:line="360" w:lineRule="auto"/>
    </w:pPr>
    <w:rPr>
      <w:sz w:val="24"/>
    </w:rPr>
  </w:style>
  <w:style w:type="paragraph" w:styleId="29">
    <w:name w:val="index 4"/>
    <w:basedOn w:val="1"/>
    <w:next w:val="1"/>
    <w:qFormat/>
    <w:uiPriority w:val="99"/>
    <w:pPr>
      <w:ind w:left="600" w:leftChars="600"/>
    </w:pPr>
  </w:style>
  <w:style w:type="paragraph" w:styleId="30">
    <w:name w:val="toc 5"/>
    <w:basedOn w:val="1"/>
    <w:next w:val="1"/>
    <w:qFormat/>
    <w:uiPriority w:val="0"/>
    <w:pPr>
      <w:ind w:left="1680" w:leftChars="800"/>
    </w:pPr>
  </w:style>
  <w:style w:type="paragraph" w:styleId="31">
    <w:name w:val="toc 3"/>
    <w:basedOn w:val="1"/>
    <w:next w:val="1"/>
    <w:qFormat/>
    <w:uiPriority w:val="39"/>
    <w:pPr>
      <w:ind w:left="840" w:leftChars="400"/>
    </w:pPr>
  </w:style>
  <w:style w:type="paragraph" w:styleId="32">
    <w:name w:val="Plain Text"/>
    <w:basedOn w:val="1"/>
    <w:link w:val="241"/>
    <w:qFormat/>
    <w:uiPriority w:val="0"/>
    <w:rPr>
      <w:rFonts w:ascii="宋体" w:hAnsi="Courier New"/>
      <w:sz w:val="21"/>
    </w:rPr>
  </w:style>
  <w:style w:type="paragraph" w:styleId="33">
    <w:name w:val="toc 8"/>
    <w:basedOn w:val="1"/>
    <w:next w:val="1"/>
    <w:qFormat/>
    <w:uiPriority w:val="0"/>
    <w:pPr>
      <w:ind w:left="2940" w:leftChars="1400"/>
    </w:pPr>
  </w:style>
  <w:style w:type="paragraph" w:styleId="34">
    <w:name w:val="Date"/>
    <w:basedOn w:val="1"/>
    <w:next w:val="1"/>
    <w:link w:val="75"/>
    <w:qFormat/>
    <w:uiPriority w:val="0"/>
  </w:style>
  <w:style w:type="paragraph" w:styleId="35">
    <w:name w:val="Body Text Indent 2"/>
    <w:basedOn w:val="1"/>
    <w:link w:val="76"/>
    <w:qFormat/>
    <w:uiPriority w:val="0"/>
    <w:pPr>
      <w:snapToGrid w:val="0"/>
      <w:spacing w:line="560" w:lineRule="atLeast"/>
      <w:ind w:firstLine="540"/>
    </w:pPr>
  </w:style>
  <w:style w:type="paragraph" w:styleId="36">
    <w:name w:val="Balloon Text"/>
    <w:basedOn w:val="1"/>
    <w:qFormat/>
    <w:uiPriority w:val="0"/>
    <w:rPr>
      <w:sz w:val="18"/>
    </w:rPr>
  </w:style>
  <w:style w:type="paragraph" w:styleId="37">
    <w:name w:val="header"/>
    <w:basedOn w:val="1"/>
    <w:next w:val="17"/>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23"/>
    <w:next w:val="1"/>
    <w:qFormat/>
    <w:uiPriority w:val="0"/>
    <w:pPr>
      <w:spacing w:line="360" w:lineRule="auto"/>
      <w:ind w:firstLine="420"/>
    </w:pPr>
    <w:rPr>
      <w:rFonts w:ascii="宋体" w:hAnsi="宋体"/>
      <w:sz w:val="24"/>
    </w:rPr>
  </w:style>
  <w:style w:type="paragraph" w:styleId="57">
    <w:name w:val="Body Text First Indent 2"/>
    <w:basedOn w:val="24"/>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4"/>
    <w:qFormat/>
    <w:uiPriority w:val="0"/>
    <w:rPr>
      <w:kern w:val="2"/>
      <w:sz w:val="44"/>
    </w:rPr>
  </w:style>
  <w:style w:type="character" w:customStyle="1" w:styleId="75">
    <w:name w:val="日期 字符"/>
    <w:link w:val="34"/>
    <w:qFormat/>
    <w:uiPriority w:val="0"/>
    <w:rPr>
      <w:kern w:val="2"/>
      <w:sz w:val="28"/>
    </w:rPr>
  </w:style>
  <w:style w:type="character" w:customStyle="1" w:styleId="76">
    <w:name w:val="正文文本缩进 2 字符1"/>
    <w:link w:val="35"/>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3"/>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8"/>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2"/>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4"/>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3"/>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3"/>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2"/>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3"/>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2"/>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character" w:customStyle="1" w:styleId="243">
    <w:name w:val="font11"/>
    <w:basedOn w:val="60"/>
    <w:qFormat/>
    <w:uiPriority w:val="0"/>
    <w:rPr>
      <w:rFonts w:hint="eastAsia" w:ascii="宋体" w:hAnsi="宋体" w:eastAsia="宋体" w:cs="宋体"/>
      <w:color w:val="000000"/>
      <w:sz w:val="22"/>
      <w:szCs w:val="22"/>
      <w:u w:val="none"/>
    </w:rPr>
  </w:style>
  <w:style w:type="character" w:customStyle="1" w:styleId="244">
    <w:name w:val="font21"/>
    <w:basedOn w:val="60"/>
    <w:qFormat/>
    <w:uiPriority w:val="0"/>
    <w:rPr>
      <w:rFonts w:hint="default" w:ascii="Arial" w:hAnsi="Arial" w:cs="Arial"/>
      <w:color w:val="000000"/>
      <w:sz w:val="22"/>
      <w:szCs w:val="22"/>
      <w:u w:val="none"/>
    </w:rPr>
  </w:style>
  <w:style w:type="character" w:customStyle="1" w:styleId="245">
    <w:name w:val="NormalCharacter"/>
    <w:link w:val="1"/>
    <w:semiHidden/>
    <w:qFormat/>
    <w:uiPriority w:val="0"/>
    <w:rPr>
      <w:rFonts w:ascii="Times New Roman" w:hAnsi="Times New Roman" w:eastAsia="宋体" w:cs="Times New Roman"/>
      <w:kern w:val="2"/>
      <w:sz w:val="28"/>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30</Pages>
  <Words>2254</Words>
  <Characters>12851</Characters>
  <Lines>107</Lines>
  <Paragraphs>30</Paragraphs>
  <TotalTime>0</TotalTime>
  <ScaleCrop>false</ScaleCrop>
  <LinksUpToDate>false</LinksUpToDate>
  <CharactersWithSpaces>15075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2023-08-07T11:03:00Z</dcterms:created>
  <dc:creator>周媛媛</dc:creator>
  <cp:lastModifiedBy>李薛龙</cp:lastModifiedBy>
  <cp:lastPrinted>2015-03-25T02:14:00Z</cp:lastPrinted>
  <dcterms:modified xsi:type="dcterms:W3CDTF">2026-09-20T06:47:30Z</dcterms:modified>
  <dc:title>竞争性谈判文件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05F656A91292456398FD608F850B7803</vt:lpwstr>
  </property>
</Properties>
</file>