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YSB260494</w:t>
      </w: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项目名称：</w:t>
      </w:r>
      <w:bookmarkStart w:id="177" w:name="_GoBack"/>
      <w:r>
        <w:rPr>
          <w:rFonts w:hint="eastAsia" w:ascii="微软雅黑" w:hAnsi="微软雅黑" w:eastAsia="微软雅黑" w:cs="微软雅黑"/>
          <w:color w:val="auto"/>
          <w:sz w:val="36"/>
          <w:szCs w:val="36"/>
          <w:u w:val="single"/>
          <w:lang w:val="en-US" w:eastAsia="zh-CN"/>
        </w:rPr>
        <w:t>PCR仪</w:t>
      </w:r>
      <w:bookmarkEnd w:id="177"/>
    </w:p>
    <w:p>
      <w:pPr>
        <w:spacing w:line="700" w:lineRule="exact"/>
        <w:rPr>
          <w:rFonts w:hint="eastAsia" w:ascii="微软雅黑" w:hAnsi="微软雅黑" w:eastAsia="微软雅黑" w:cs="微软雅黑"/>
          <w:b/>
          <w:color w:val="auto"/>
          <w:sz w:val="36"/>
          <w:szCs w:val="36"/>
        </w:rPr>
      </w:pPr>
    </w:p>
    <w:p>
      <w:pPr>
        <w:spacing w:line="500" w:lineRule="exact"/>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10</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"_Toc27110"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"_Toc13094"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_Toc13094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"_Toc14168"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_Toc14168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"_Toc9183"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_Toc9183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"_Toc26664"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_Toc26664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"_Toc24100"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_Toc24100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"_Toc21079"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rPr>
        <w:t xml:space="preserve">    </w:t>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"_Toc22327"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_Toc22327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"_Toc14433"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一、项目一览表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"_Toc18675"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二、项目技术需求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"_Toc12473"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_Toc12473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"_Toc19431"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第四篇  公开比选程序及方法、评审标准、无效响应和采购终止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"_Toc26127"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_Toc26127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"_Toc27374"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"_Toc24315"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_Toc24315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"_Toc17606"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_Toc17606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"_Toc12222"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_Toc12222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"_Toc13119"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第五篇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"_Toc20271"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_Toc20271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"_Toc27891"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二、公开比选采购文件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_Toc27891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"_Toc20510"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"_Toc32166"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"_Toc2729"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"_Toc4796"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_Toc4796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"_Toc23896"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"_Toc17526"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_Toc17526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"_Toc11260"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"_Toc2495"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二、服务部分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_Toc2495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"_Toc12962"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_Toc12962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"_Toc13280"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_Toc13280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"_Toc13605"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_Toc13605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2"/>
        <w:spacing w:before="200" w:after="200" w:line="240" w:lineRule="auto"/>
        <w:jc w:val="center"/>
        <w:rPr>
          <w:rFonts w:hint="eastAsia" w:ascii="微软雅黑" w:hAnsi="微软雅黑" w:eastAsia="微软雅黑" w:cs="微软雅黑"/>
          <w:sz w:val="44"/>
        </w:rPr>
      </w:pPr>
      <w:bookmarkStart w:id="0" w:name="_Toc76462316"/>
      <w:bookmarkStart w:id="1" w:name="_Toc27110"/>
      <w:bookmarkStart w:id="2" w:name="_Toc12789052"/>
      <w:bookmarkStart w:id="3" w:name="_Toc24037"/>
      <w:bookmarkStart w:id="4" w:name="_Toc11641050"/>
      <w:bookmarkStart w:id="5" w:name="_Toc106030870"/>
      <w:r>
        <w:rPr>
          <w:rFonts w:hint="eastAsia" w:ascii="微软雅黑" w:hAnsi="微软雅黑" w:eastAsia="微软雅黑" w:cs="微软雅黑"/>
          <w:sz w:val="44"/>
        </w:rPr>
        <w:t>第一篇  采购邀请书</w:t>
      </w:r>
      <w:bookmarkEnd w:id="0"/>
      <w:bookmarkEnd w:id="1"/>
      <w:bookmarkEnd w:id="2"/>
      <w:bookmarkEnd w:id="3"/>
      <w:bookmarkEnd w:id="4"/>
      <w:bookmarkEnd w:id="5"/>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val="en-US" w:eastAsia="zh-CN"/>
        </w:rPr>
        <w:t>PCR仪</w:t>
      </w:r>
      <w:r>
        <w:rPr>
          <w:rFonts w:hint="eastAsia" w:ascii="微软雅黑" w:hAnsi="微软雅黑" w:eastAsia="微软雅黑" w:cs="微软雅黑"/>
          <w:sz w:val="24"/>
          <w:szCs w:val="24"/>
        </w:rPr>
        <w:t>项目进行公开比选采购。欢迎有资格的投标人前来参与。</w:t>
      </w:r>
    </w:p>
    <w:p>
      <w:pPr>
        <w:pStyle w:val="2"/>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76462317"/>
      <w:bookmarkStart w:id="7" w:name="_Toc3856"/>
      <w:bookmarkStart w:id="8" w:name="_Toc313893526"/>
      <w:bookmarkStart w:id="9" w:name="_Toc317775175"/>
      <w:bookmarkStart w:id="10" w:name="_Toc106030871"/>
      <w:bookmarkStart w:id="11" w:name="_Toc13094"/>
      <w:r>
        <w:rPr>
          <w:rFonts w:hint="eastAsia" w:ascii="微软雅黑" w:hAnsi="微软雅黑" w:eastAsia="微软雅黑" w:cs="微软雅黑"/>
          <w:sz w:val="24"/>
        </w:rPr>
        <w:t>公开比选采购内容</w:t>
      </w:r>
      <w:bookmarkEnd w:id="6"/>
      <w:bookmarkEnd w:id="7"/>
      <w:bookmarkEnd w:id="8"/>
      <w:bookmarkEnd w:id="9"/>
      <w:bookmarkEnd w:id="10"/>
      <w:bookmarkEnd w:id="11"/>
    </w:p>
    <w:tbl>
      <w:tblPr>
        <w:tblStyle w:val="58"/>
        <w:tblW w:w="43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7"/>
        <w:gridCol w:w="2872"/>
        <w:gridCol w:w="1234"/>
        <w:gridCol w:w="854"/>
        <w:gridCol w:w="1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932"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75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753" w:type="pct"/>
            <w:tcBorders>
              <w:top w:val="single" w:color="auto" w:sz="4" w:space="0"/>
              <w:left w:val="single" w:color="auto" w:sz="4" w:space="0"/>
              <w:right w:val="single" w:color="auto" w:sz="4" w:space="0"/>
            </w:tcBorders>
            <w:vAlign w:val="center"/>
          </w:tcPr>
          <w:p>
            <w:pPr>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最高限价（万元）</w:t>
            </w:r>
          </w:p>
        </w:tc>
        <w:tc>
          <w:tcPr>
            <w:tcW w:w="52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037"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32"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0000FF"/>
                <w:kern w:val="0"/>
                <w:sz w:val="21"/>
                <w:szCs w:val="21"/>
                <w:lang w:val="en-US" w:eastAsia="zh-CN"/>
              </w:rPr>
            </w:pPr>
            <w:r>
              <w:rPr>
                <w:rFonts w:hint="eastAsia" w:ascii="微软雅黑" w:hAnsi="微软雅黑" w:eastAsia="微软雅黑" w:cs="微软雅黑"/>
                <w:sz w:val="21"/>
                <w:szCs w:val="21"/>
                <w:lang w:val="en-US" w:eastAsia="zh-CN"/>
              </w:rPr>
              <w:t>YSB260494</w:t>
            </w:r>
          </w:p>
        </w:tc>
        <w:tc>
          <w:tcPr>
            <w:tcW w:w="175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0000FF"/>
                <w:sz w:val="21"/>
                <w:szCs w:val="21"/>
                <w:lang w:eastAsia="zh-CN"/>
              </w:rPr>
            </w:pPr>
            <w:r>
              <w:rPr>
                <w:rFonts w:hint="eastAsia" w:ascii="微软雅黑" w:hAnsi="微软雅黑" w:eastAsia="微软雅黑" w:cs="微软雅黑"/>
                <w:sz w:val="21"/>
                <w:szCs w:val="21"/>
                <w:lang w:val="en-US" w:eastAsia="zh-CN"/>
              </w:rPr>
              <w:t>PCR仪</w:t>
            </w:r>
          </w:p>
        </w:tc>
        <w:tc>
          <w:tcPr>
            <w:tcW w:w="753"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0000FF"/>
                <w:sz w:val="21"/>
                <w:szCs w:val="21"/>
                <w:lang w:val="en-US" w:eastAsia="zh-CN"/>
              </w:rPr>
            </w:pPr>
            <w:r>
              <w:rPr>
                <w:rFonts w:hint="eastAsia" w:ascii="微软雅黑" w:hAnsi="微软雅黑" w:eastAsia="微软雅黑" w:cs="微软雅黑"/>
                <w:color w:val="auto"/>
                <w:sz w:val="21"/>
                <w:szCs w:val="21"/>
                <w:lang w:val="en-US" w:eastAsia="zh-CN"/>
              </w:rPr>
              <w:t>7</w:t>
            </w:r>
          </w:p>
        </w:tc>
        <w:tc>
          <w:tcPr>
            <w:tcW w:w="5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2000</w:t>
            </w:r>
          </w:p>
        </w:tc>
        <w:tc>
          <w:tcPr>
            <w:tcW w:w="10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r>
    </w:tbl>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14168"/>
      <w:r>
        <w:rPr>
          <w:rFonts w:hint="eastAsia" w:ascii="微软雅黑" w:hAnsi="微软雅黑" w:eastAsia="微软雅黑" w:cs="微软雅黑"/>
          <w:sz w:val="24"/>
        </w:rPr>
        <w:t>二、</w:t>
      </w:r>
      <w:bookmarkEnd w:id="12"/>
      <w:bookmarkEnd w:id="13"/>
      <w:bookmarkEnd w:id="16"/>
      <w:bookmarkStart w:id="18" w:name="_Toc76462319"/>
      <w:bookmarkStart w:id="19" w:name="_Toc106030873"/>
      <w:bookmarkStart w:id="20" w:name="_Toc4480"/>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106030874"/>
      <w:bookmarkStart w:id="22" w:name="_Toc76462320"/>
      <w:bookmarkStart w:id="23" w:name="_Toc27954"/>
      <w:bookmarkStart w:id="24" w:name="_Toc9183"/>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所提供产品不属于医疗器械的无需提供上述</w:t>
      </w:r>
      <w:r>
        <w:rPr>
          <w:rFonts w:hint="eastAsia" w:ascii="微软雅黑" w:hAnsi="微软雅黑" w:eastAsia="微软雅黑" w:cs="微软雅黑"/>
          <w:sz w:val="24"/>
          <w:szCs w:val="24"/>
          <w:lang w:eastAsia="zh-CN"/>
        </w:rPr>
        <w:t>第</w:t>
      </w: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lang w:eastAsia="zh-CN"/>
        </w:rPr>
        <w:t>款</w:t>
      </w:r>
      <w:r>
        <w:rPr>
          <w:rFonts w:hint="eastAsia" w:ascii="微软雅黑" w:hAnsi="微软雅黑" w:eastAsia="微软雅黑" w:cs="微软雅黑"/>
          <w:sz w:val="24"/>
          <w:szCs w:val="24"/>
        </w:rPr>
        <w:t>材料</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投标人</w:t>
      </w:r>
      <w:r>
        <w:rPr>
          <w:rFonts w:hint="eastAsia" w:ascii="微软雅黑" w:hAnsi="微软雅黑" w:eastAsia="微软雅黑" w:cs="微软雅黑"/>
          <w:sz w:val="24"/>
          <w:szCs w:val="24"/>
          <w:lang w:val="en-US" w:eastAsia="zh-CN"/>
        </w:rPr>
        <w:t>需提供投标产品的说明书</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b/>
          <w:bCs/>
          <w:sz w:val="24"/>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106034625"/>
      <w:bookmarkStart w:id="26" w:name="_Toc525047161"/>
      <w:bookmarkStart w:id="27" w:name="_Toc12841"/>
      <w:bookmarkStart w:id="28" w:name="_Toc65660334"/>
      <w:bookmarkStart w:id="29" w:name="_Toc6178"/>
      <w:bookmarkStart w:id="30" w:name="_Toc521053053"/>
      <w:bookmarkStart w:id="31" w:name="_Toc11956"/>
      <w:bookmarkStart w:id="32" w:name="_Toc26664"/>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的保证金，在中标通知书发放后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采购管理处办</w:t>
      </w:r>
      <w:r>
        <w:rPr>
          <w:rFonts w:hint="eastAsia" w:ascii="微软雅黑" w:hAnsi="微软雅黑" w:eastAsia="微软雅黑" w:cs="微软雅黑"/>
          <w:sz w:val="24"/>
          <w:szCs w:val="24"/>
        </w:rPr>
        <w:t>公室（将合同扫描文件发送至zbb63632469@qq.com）之后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日内，无息退还至项目报名时所填写的投标单位对公账户。</w:t>
      </w:r>
    </w:p>
    <w:p>
      <w:pPr>
        <w:snapToGrid w:val="0"/>
        <w:spacing w:line="400" w:lineRule="exact"/>
        <w:ind w:firstLine="480" w:firstLineChars="200"/>
        <w:rPr>
          <w:rFonts w:hint="eastAsia" w:ascii="微软雅黑" w:hAnsi="微软雅黑" w:eastAsia="微软雅黑" w:cs="微软雅黑"/>
          <w:sz w:val="24"/>
          <w:szCs w:val="24"/>
        </w:rPr>
      </w:pPr>
      <w:bookmarkStart w:id="33" w:name="_Toc4355"/>
      <w:bookmarkStart w:id="34" w:name="_Toc525047162"/>
      <w:bookmarkStart w:id="35" w:name="_Toc2945"/>
      <w:bookmarkStart w:id="36" w:name="_Toc65660335"/>
      <w:bookmarkStart w:id="37" w:name="_Toc521053054"/>
      <w:bookmarkStart w:id="38" w:name="_Toc106034626"/>
      <w:bookmarkStart w:id="39" w:name="_Toc1546"/>
      <w:bookmarkStart w:id="40" w:name="_Toc24100"/>
      <w:r>
        <w:rPr>
          <w:rFonts w:hint="eastAsia" w:ascii="微软雅黑" w:hAnsi="微软雅黑" w:eastAsia="微软雅黑" w:cs="微软雅黑"/>
          <w:sz w:val="24"/>
          <w:szCs w:val="24"/>
        </w:rPr>
        <w:t>（三）投标人有下列情形之一的，采购人应当不退还投标保证金：</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1.投标人在投标过程中弄虚作假，提供虚假材料的；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2.中标人无正当理由不与采购人签订合同的；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3.中标人将中标项目转让给他人或者在响应文件中未说明且未经采购人同意，将中标项目分包给他人的；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4.中标人拒绝履行合同义务的；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5.其他严重扰乱招投标程序的。</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五、</w:t>
      </w:r>
      <w:bookmarkEnd w:id="33"/>
      <w:bookmarkEnd w:id="34"/>
      <w:bookmarkEnd w:id="35"/>
      <w:bookmarkEnd w:id="36"/>
      <w:bookmarkEnd w:id="37"/>
      <w:bookmarkEnd w:id="38"/>
      <w:bookmarkStart w:id="41" w:name="_Toc525047163"/>
      <w:bookmarkStart w:id="42" w:name="_Toc6563"/>
      <w:bookmarkStart w:id="43" w:name="_Toc521053055"/>
      <w:bookmarkStart w:id="44" w:name="_Toc65660336"/>
      <w:bookmarkStart w:id="45" w:name="_Toc16269"/>
      <w:bookmarkStart w:id="46" w:name="_Toc106034627"/>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公室，否则即视为完全放弃对本公开比选采购文件的质疑权利。如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（三）投标人应仔细阅读和检查公开比选采购文件的全部内容。如发现缺页或附件不全，应及时提出，以便补齐。如有疑问，请在投标截止日前向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不再受理对于公开比选采购文件的疑问。</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525047164"/>
      <w:bookmarkStart w:id="48" w:name="_Toc10415"/>
      <w:bookmarkStart w:id="49" w:name="_Toc106034628"/>
      <w:bookmarkStart w:id="50" w:name="_Toc1733"/>
      <w:bookmarkStart w:id="51" w:name="_Toc21079"/>
      <w:bookmarkStart w:id="52" w:name="_Toc65660337"/>
      <w:bookmarkStart w:id="53" w:name="_Toc521053056"/>
      <w:bookmarkStart w:id="54" w:name="_Toc24901"/>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sz w:val="44"/>
        </w:rPr>
      </w:pPr>
      <w:bookmarkStart w:id="55" w:name="_Toc1625"/>
      <w:bookmarkStart w:id="56" w:name="_Toc725"/>
      <w:bookmarkStart w:id="57" w:name="_Toc12959"/>
      <w:bookmarkStart w:id="58" w:name="_Toc75793504"/>
      <w:bookmarkStart w:id="59" w:name="_Toc26176"/>
      <w:bookmarkStart w:id="60" w:name="_Toc1492"/>
      <w:bookmarkStart w:id="61" w:name="_Toc25639"/>
      <w:bookmarkStart w:id="62" w:name="_Toc5461"/>
      <w:bookmarkStart w:id="63" w:name="_Toc2422"/>
      <w:bookmarkStart w:id="64" w:name="_Toc32686"/>
      <w:bookmarkStart w:id="65" w:name="_Toc8649"/>
      <w:bookmarkStart w:id="66" w:name="_Toc11017"/>
      <w:bookmarkStart w:id="67" w:name="_Toc2070"/>
      <w:bookmarkStart w:id="68" w:name="_Toc23143"/>
      <w:bookmarkStart w:id="69" w:name="_Toc19886"/>
      <w:bookmarkStart w:id="70" w:name="_Toc106030380"/>
      <w:bookmarkStart w:id="71" w:name="_Toc22327"/>
      <w:bookmarkStart w:id="72" w:name="_Toc12789058"/>
      <w:r>
        <w:rPr>
          <w:rFonts w:hint="eastAsia" w:ascii="微软雅黑" w:hAnsi="微软雅黑" w:eastAsia="微软雅黑" w:cs="微软雅黑"/>
          <w:b/>
          <w:sz w:val="44"/>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sz w:val="44"/>
        </w:rPr>
        <w:t>项目技术（质量）需求</w:t>
      </w:r>
      <w:bookmarkEnd w:id="70"/>
      <w:bookmarkEnd w:id="71"/>
    </w:p>
    <w:p>
      <w:pPr>
        <w:ind w:firstLine="480" w:firstLineChars="200"/>
        <w:rPr>
          <w:rFonts w:hint="eastAsia" w:ascii="微软雅黑" w:hAnsi="微软雅黑" w:eastAsia="微软雅黑" w:cs="微软雅黑"/>
          <w:b/>
          <w:bCs/>
          <w:sz w:val="24"/>
          <w:szCs w:val="24"/>
        </w:rPr>
      </w:pPr>
      <w:bookmarkStart w:id="73" w:name="_Toc9261"/>
      <w:bookmarkStart w:id="74" w:name="_Toc22910"/>
      <w:bookmarkStart w:id="75" w:name="_Toc106030381"/>
      <w:bookmarkStart w:id="76" w:name="_Toc4519"/>
      <w:bookmarkStart w:id="77" w:name="_Toc20979"/>
      <w:bookmarkStart w:id="78" w:name="_Toc75793505"/>
      <w:bookmarkStart w:id="79" w:name="_Toc29985"/>
      <w:bookmarkStart w:id="80" w:name="_Toc23504"/>
      <w:bookmarkStart w:id="81" w:name="_Toc23656"/>
      <w:bookmarkStart w:id="82" w:name="_Toc4913"/>
      <w:bookmarkStart w:id="83" w:name="_Toc19238"/>
      <w:bookmarkStart w:id="84" w:name="_Toc8370"/>
      <w:bookmarkStart w:id="85" w:name="_Toc7027"/>
      <w:bookmarkStart w:id="86" w:name="_Toc11703"/>
      <w:bookmarkStart w:id="87" w:name="_Toc14433"/>
      <w:bookmarkStart w:id="88" w:name="_Toc4531"/>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361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462"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462" w:type="dxa"/>
            <w:vAlign w:val="center"/>
          </w:tcPr>
          <w:p>
            <w:pPr>
              <w:jc w:val="center"/>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3614" w:type="dxa"/>
            <w:vAlign w:val="center"/>
          </w:tcPr>
          <w:p>
            <w:pPr>
              <w:pStyle w:val="23"/>
              <w:spacing w:line="240" w:lineRule="auto"/>
              <w:ind w:left="0"/>
              <w:jc w:val="center"/>
              <w:outlineLvl w:val="0"/>
              <w:rPr>
                <w:rFonts w:hint="default" w:ascii="微软雅黑" w:hAnsi="微软雅黑" w:eastAsia="微软雅黑" w:cs="微软雅黑"/>
                <w:color w:val="0000FF"/>
                <w:sz w:val="21"/>
                <w:szCs w:val="21"/>
                <w:lang w:val="en-US" w:eastAsia="zh-CN"/>
              </w:rPr>
            </w:pPr>
            <w:r>
              <w:rPr>
                <w:rFonts w:hint="eastAsia" w:ascii="微软雅黑" w:hAnsi="微软雅黑" w:eastAsia="微软雅黑" w:cs="微软雅黑"/>
                <w:kern w:val="2"/>
                <w:sz w:val="21"/>
                <w:szCs w:val="21"/>
                <w:lang w:val="en-US" w:eastAsia="zh-CN" w:bidi="ar-SA"/>
              </w:rPr>
              <w:t>PCR仪</w:t>
            </w:r>
          </w:p>
        </w:tc>
        <w:tc>
          <w:tcPr>
            <w:tcW w:w="1462" w:type="dxa"/>
            <w:vAlign w:val="center"/>
          </w:tcPr>
          <w:p>
            <w:pPr>
              <w:jc w:val="center"/>
              <w:rPr>
                <w:rFonts w:hint="default" w:ascii="微软雅黑" w:hAnsi="微软雅黑" w:eastAsia="微软雅黑" w:cs="微软雅黑"/>
                <w:color w:val="0000FF"/>
                <w:sz w:val="21"/>
                <w:szCs w:val="21"/>
                <w:lang w:val="en-US" w:eastAsia="zh-CN"/>
              </w:rPr>
            </w:pPr>
            <w:r>
              <w:rPr>
                <w:rFonts w:hint="eastAsia" w:ascii="微软雅黑" w:hAnsi="微软雅黑" w:eastAsia="微软雅黑" w:cs="微软雅黑"/>
                <w:kern w:val="2"/>
                <w:sz w:val="21"/>
                <w:szCs w:val="21"/>
                <w:lang w:val="en-US" w:eastAsia="zh-CN" w:bidi="ar-SA"/>
              </w:rPr>
              <w:t>2台</w:t>
            </w:r>
          </w:p>
        </w:tc>
        <w:tc>
          <w:tcPr>
            <w:tcW w:w="1462" w:type="dxa"/>
            <w:vAlign w:val="center"/>
          </w:tcPr>
          <w:p>
            <w:pPr>
              <w:jc w:val="center"/>
              <w:rPr>
                <w:rFonts w:hint="eastAsia" w:ascii="微软雅黑" w:hAnsi="微软雅黑" w:eastAsia="微软雅黑" w:cs="微软雅黑"/>
                <w:sz w:val="21"/>
                <w:szCs w:val="21"/>
                <w:lang w:val="en-US" w:eastAsia="zh-CN"/>
              </w:rPr>
            </w:pPr>
          </w:p>
        </w:tc>
      </w:tr>
    </w:tbl>
    <w:p>
      <w:pPr>
        <w:snapToGrid w:val="0"/>
        <w:spacing w:line="400" w:lineRule="exact"/>
        <w:ind w:firstLine="480" w:firstLineChars="200"/>
        <w:rPr>
          <w:rFonts w:hint="default" w:ascii="微软雅黑" w:hAnsi="微软雅黑" w:eastAsia="微软雅黑" w:cs="微软雅黑"/>
          <w:b/>
          <w:bCs/>
          <w:sz w:val="24"/>
          <w:szCs w:val="24"/>
          <w:lang w:val="en-US" w:eastAsia="zh-CN"/>
        </w:rPr>
      </w:pPr>
      <w:bookmarkStart w:id="89" w:name="_Toc106030882"/>
      <w:bookmarkStart w:id="90" w:name="_Toc76462327"/>
      <w:bookmarkStart w:id="91" w:name="_Toc12473"/>
      <w:bookmarkStart w:id="92" w:name="_Toc7791"/>
      <w:r>
        <w:rPr>
          <w:rFonts w:hint="eastAsia" w:ascii="微软雅黑" w:hAnsi="微软雅黑" w:eastAsia="微软雅黑" w:cs="微软雅黑"/>
          <w:b/>
          <w:bCs/>
          <w:sz w:val="24"/>
          <w:szCs w:val="24"/>
          <w:lang w:val="en-US" w:eastAsia="zh-CN"/>
        </w:rPr>
        <w:t>二、项目技术要求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1.技术参数</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○1.1样品基座:0.2ml，96孔。</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○1.2最大模块变温速率3.5 °C/Sec，变温速率可调节。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▲1.3最大样本变温速率2.7°C/Sec。</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※1.4温度准确性:±0.25 °C(35-99.9°C)。</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○1.5 PCR体积范围:支持10-100uL，允许1-100uL。</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※1.6分区控温技术，3个独立控温区域，可精确设置三个不同温度，实现真正意义的梯度PCR，最大可设20°C温差(区间10°C)。</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※1.7热盖:热盖压力自动调节，无需手动调节;热盖温度默认105°C，温度可调范围30-110°C，可设置关闭。</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▲1.8 5英寸彩色TFT触摸式显示屏，直观的导航按钮设置操作简单方便。</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○1.9程序存储:机载存储2000MB(存储超过1000个程序文件)，也具有USB插口，用于转移程序，存储不限数量的程序。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▲1.10联机操控:无需购买软件，允许多台机器在同一局域网内相互连接，并设置由其中一台来操控。</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▲1.11内置热学模拟模式，可以模拟市面上主流PCR仪的热学性能，方便新旧仪器的平稳过渡，包括Applied Biosystems 2720、Bio-RadT100, Bio-Rad MyCycler、MJ Research PTC-200, Takara Dice、博日XP等。</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▲1.12内置多种PCR程序模板，可直接调用，包括基础 PCR、热后启动PCR、测序PCR、优化PCR、RT-PCR、高保真PCR、高特异PCR和LongPCR 等。</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▲1.13内置AutoDelta 选项，适合TouchdowmPCR或Long PCR，可设置随循环数温度升降或时间调整。</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○1.14其他功能:多重权限账户管理模式、实验中编辑或暂停程序、一键设置解育、自动断电重启、自动休眠、仪器自检功能、查看运行日志并导出或打印等。</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※2.配置</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PCR 仪主机1台;电源线1根;入门耗材套装1盒;快速操作指南1份;COA证书1份;COC证书1份。</w:t>
      </w:r>
    </w:p>
    <w:p>
      <w:pPr>
        <w:snapToGrid w:val="0"/>
        <w:spacing w:line="400" w:lineRule="exact"/>
        <w:ind w:firstLine="480" w:firstLineChars="200"/>
        <w:rPr>
          <w:rFonts w:hint="eastAsia" w:ascii="宋体" w:hAnsi="宋体" w:cs="宋体"/>
          <w:lang w:val="en-US" w:eastAsia="zh-CN"/>
        </w:rPr>
      </w:pPr>
      <w:r>
        <w:rPr>
          <w:rFonts w:hint="eastAsia" w:ascii="微软雅黑" w:hAnsi="微软雅黑" w:eastAsia="微软雅黑" w:cs="微软雅黑"/>
          <w:sz w:val="24"/>
          <w:szCs w:val="24"/>
          <w:lang w:val="en-US" w:eastAsia="zh-CN"/>
        </w:rPr>
        <w:t>注：</w:t>
      </w:r>
      <w:r>
        <w:rPr>
          <w:rFonts w:hint="eastAsia" w:ascii="微软雅黑" w:hAnsi="微软雅黑" w:eastAsia="微软雅黑" w:cs="微软雅黑"/>
          <w:sz w:val="24"/>
          <w:szCs w:val="24"/>
          <w:lang w:eastAsia="zh-CN"/>
        </w:rPr>
        <w:t>以上</w:t>
      </w:r>
      <w:r>
        <w:rPr>
          <w:rFonts w:hint="eastAsia" w:ascii="微软雅黑" w:hAnsi="微软雅黑" w:eastAsia="微软雅黑" w:cs="微软雅黑"/>
          <w:sz w:val="24"/>
          <w:szCs w:val="24"/>
          <w:lang w:val="en-US" w:eastAsia="zh-CN"/>
        </w:rPr>
        <w:t>所有</w:t>
      </w:r>
      <w:r>
        <w:rPr>
          <w:rFonts w:hint="eastAsia" w:ascii="微软雅黑" w:hAnsi="微软雅黑" w:eastAsia="微软雅黑" w:cs="微软雅黑"/>
          <w:sz w:val="24"/>
          <w:szCs w:val="24"/>
          <w:lang w:eastAsia="zh-CN"/>
        </w:rPr>
        <w:t>参数要求请提供相应官网截图</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lang w:eastAsia="zh-CN"/>
        </w:rPr>
        <w:t>产品彩页</w:t>
      </w:r>
      <w:r>
        <w:rPr>
          <w:rFonts w:hint="eastAsia" w:ascii="微软雅黑" w:hAnsi="微软雅黑" w:eastAsia="微软雅黑" w:cs="微软雅黑"/>
          <w:sz w:val="24"/>
          <w:szCs w:val="24"/>
          <w:lang w:val="en-US" w:eastAsia="zh-CN"/>
        </w:rPr>
        <w:t>/产品说明书/检验报告等佐证材料（需生产厂家盖章、投标人盖章）。</w:t>
      </w:r>
      <w:r>
        <w:rPr>
          <w:rFonts w:hint="eastAsia" w:ascii="宋体" w:hAnsi="宋体" w:cs="宋体"/>
          <w:lang w:val="en-US" w:eastAsia="zh-CN"/>
        </w:rPr>
        <w:br w:type="page"/>
      </w:r>
    </w:p>
    <w:p>
      <w:pPr>
        <w:pStyle w:val="2"/>
        <w:spacing w:before="200" w:after="200" w:line="240" w:lineRule="auto"/>
        <w:jc w:val="center"/>
        <w:rPr>
          <w:rFonts w:hint="eastAsia" w:ascii="微软雅黑" w:hAnsi="微软雅黑" w:eastAsia="微软雅黑" w:cs="微软雅黑"/>
          <w:sz w:val="44"/>
        </w:rPr>
      </w:pPr>
      <w:r>
        <w:rPr>
          <w:rFonts w:hint="eastAsia" w:ascii="微软雅黑" w:hAnsi="微软雅黑" w:eastAsia="微软雅黑" w:cs="微软雅黑"/>
          <w:sz w:val="44"/>
        </w:rPr>
        <w:t xml:space="preserve">第三篇  </w:t>
      </w:r>
      <w:bookmarkEnd w:id="72"/>
      <w:r>
        <w:rPr>
          <w:rFonts w:hint="eastAsia" w:ascii="微软雅黑" w:hAnsi="微软雅黑" w:eastAsia="微软雅黑" w:cs="微软雅黑"/>
          <w:sz w:val="44"/>
        </w:rPr>
        <w:t>项目商务需求</w:t>
      </w:r>
      <w:bookmarkEnd w:id="89"/>
      <w:bookmarkEnd w:id="90"/>
      <w:bookmarkEnd w:id="91"/>
      <w:bookmarkEnd w:id="92"/>
    </w:p>
    <w:tbl>
      <w:tblPr>
        <w:tblStyle w:val="58"/>
        <w:tblW w:w="5398" w:type="pct"/>
        <w:tblInd w:w="-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9"/>
        <w:gridCol w:w="8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240" w:lineRule="auto"/>
              <w:ind w:firstLine="480" w:firstLineChars="200"/>
              <w:jc w:val="center"/>
              <w:rPr>
                <w:rFonts w:hint="eastAsia" w:ascii="微软雅黑" w:hAnsi="微软雅黑" w:eastAsia="微软雅黑" w:cs="微软雅黑"/>
                <w:color w:val="0000FF"/>
                <w:sz w:val="24"/>
                <w:szCs w:val="24"/>
              </w:rPr>
            </w:pPr>
            <w:r>
              <w:rPr>
                <w:rFonts w:hint="eastAsia" w:ascii="微软雅黑" w:hAnsi="微软雅黑" w:eastAsia="微软雅黑" w:cs="微软雅黑"/>
                <w:b/>
                <w:bCs/>
                <w:color w:val="auto"/>
                <w:sz w:val="24"/>
                <w:szCs w:val="24"/>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7"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交货时间、交货地点及验收方式</w:t>
            </w:r>
          </w:p>
        </w:tc>
        <w:tc>
          <w:tcPr>
            <w:tcW w:w="4302" w:type="pct"/>
            <w:vAlign w:val="center"/>
          </w:tcPr>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交货期：合同签订或接到需求科室送货通知后30个日历日内将设备运到采购人指定交货地点。</w:t>
            </w:r>
          </w:p>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交货地点：重庆医科大学附属儿童医院</w:t>
            </w:r>
          </w:p>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验收方式：需求科室与医学工程科现场验收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7"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质量保证及售后服务</w:t>
            </w:r>
          </w:p>
        </w:tc>
        <w:tc>
          <w:tcPr>
            <w:tcW w:w="4302" w:type="pct"/>
            <w:vAlign w:val="center"/>
          </w:tcPr>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1.质保期：项目内所有设备质保期均不低于5年；质保期内免费维修维保，免费更换所有需要的配件（含硬件及软件），质保期外免费维修，采购人只支付维修设备配件等费用，不得支付维修产生的差旅费等费用。</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2.</w:t>
            </w:r>
            <w:r>
              <w:rPr>
                <w:rFonts w:hint="eastAsia" w:ascii="微软雅黑" w:hAnsi="微软雅黑" w:eastAsia="微软雅黑" w:cs="微软雅黑"/>
                <w:color w:val="auto"/>
                <w:kern w:val="2"/>
                <w:sz w:val="24"/>
                <w:szCs w:val="24"/>
                <w:lang w:val="de-DE" w:eastAsia="zh-CN" w:bidi="ar-SA"/>
              </w:rPr>
              <w:t>机器故障应2</w:t>
            </w:r>
            <w:r>
              <w:rPr>
                <w:rFonts w:hint="eastAsia" w:ascii="微软雅黑" w:hAnsi="微软雅黑" w:eastAsia="微软雅黑" w:cs="微软雅黑"/>
                <w:color w:val="auto"/>
                <w:kern w:val="2"/>
                <w:sz w:val="24"/>
                <w:szCs w:val="24"/>
                <w:lang w:val="en-US" w:eastAsia="zh-CN" w:bidi="ar-SA"/>
              </w:rPr>
              <w:t>小时</w:t>
            </w:r>
            <w:r>
              <w:rPr>
                <w:rFonts w:hint="eastAsia" w:ascii="微软雅黑" w:hAnsi="微软雅黑" w:eastAsia="微软雅黑" w:cs="微软雅黑"/>
                <w:color w:val="auto"/>
                <w:kern w:val="2"/>
                <w:sz w:val="24"/>
                <w:szCs w:val="24"/>
                <w:lang w:val="de-DE" w:eastAsia="zh-CN" w:bidi="ar-SA"/>
              </w:rPr>
              <w:t>内故障响应，</w:t>
            </w:r>
            <w:r>
              <w:rPr>
                <w:rFonts w:hint="eastAsia" w:ascii="微软雅黑" w:hAnsi="微软雅黑" w:eastAsia="微软雅黑" w:cs="微软雅黑"/>
                <w:color w:val="auto"/>
                <w:kern w:val="2"/>
                <w:sz w:val="24"/>
                <w:szCs w:val="24"/>
                <w:lang w:val="en-US" w:eastAsia="zh-CN" w:bidi="ar-SA"/>
              </w:rPr>
              <w:t>24小时</w:t>
            </w:r>
            <w:r>
              <w:rPr>
                <w:rFonts w:hint="eastAsia" w:ascii="微软雅黑" w:hAnsi="微软雅黑" w:eastAsia="微软雅黑" w:cs="微软雅黑"/>
                <w:color w:val="auto"/>
                <w:kern w:val="2"/>
                <w:sz w:val="24"/>
                <w:szCs w:val="24"/>
                <w:lang w:val="de-DE" w:eastAsia="zh-CN" w:bidi="ar-SA"/>
              </w:rPr>
              <w:t>内到达现场解决故障。</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3.不能解决故障则应48小时内提供备用机或解决方案。</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4.</w:t>
            </w:r>
            <w:r>
              <w:rPr>
                <w:rFonts w:hint="eastAsia" w:ascii="微软雅黑" w:hAnsi="微软雅黑" w:eastAsia="微软雅黑" w:cs="微软雅黑"/>
                <w:color w:val="auto"/>
                <w:kern w:val="2"/>
                <w:sz w:val="24"/>
                <w:szCs w:val="24"/>
                <w:lang w:val="de-DE" w:eastAsia="zh-CN" w:bidi="ar-SA"/>
              </w:rPr>
              <w:t>提供维修技术资料。</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5.</w:t>
            </w:r>
            <w:r>
              <w:rPr>
                <w:rFonts w:hint="eastAsia" w:ascii="微软雅黑" w:hAnsi="微软雅黑" w:eastAsia="微软雅黑" w:cs="微软雅黑"/>
                <w:color w:val="auto"/>
                <w:kern w:val="2"/>
                <w:sz w:val="24"/>
                <w:szCs w:val="24"/>
                <w:lang w:val="de-DE" w:eastAsia="zh-CN" w:bidi="ar-SA"/>
              </w:rPr>
              <w:t>维修工程师免费上门安装、培训。</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6.</w:t>
            </w:r>
            <w:r>
              <w:rPr>
                <w:rFonts w:hint="eastAsia" w:ascii="微软雅黑" w:hAnsi="微软雅黑" w:eastAsia="微软雅黑" w:cs="微软雅黑"/>
                <w:color w:val="auto"/>
                <w:kern w:val="2"/>
                <w:sz w:val="24"/>
                <w:szCs w:val="24"/>
                <w:lang w:val="de-DE" w:eastAsia="zh-CN" w:bidi="ar-SA"/>
              </w:rPr>
              <w:t>一年不低于4次定期维护保养，</w:t>
            </w:r>
            <w:r>
              <w:rPr>
                <w:rFonts w:hint="eastAsia" w:ascii="微软雅黑" w:hAnsi="微软雅黑" w:eastAsia="微软雅黑" w:cs="微软雅黑"/>
                <w:color w:val="auto"/>
                <w:kern w:val="2"/>
                <w:sz w:val="24"/>
                <w:szCs w:val="24"/>
                <w:lang w:val="en-US" w:eastAsia="zh-CN" w:bidi="ar-SA"/>
              </w:rPr>
              <w:t>有故障情况发生，终身免费上门维修</w:t>
            </w:r>
            <w:r>
              <w:rPr>
                <w:rFonts w:hint="eastAsia" w:ascii="微软雅黑" w:hAnsi="微软雅黑" w:eastAsia="微软雅黑" w:cs="微软雅黑"/>
                <w:color w:val="auto"/>
                <w:kern w:val="2"/>
                <w:sz w:val="24"/>
                <w:szCs w:val="24"/>
                <w:lang w:val="de-DE" w:eastAsia="zh-CN" w:bidi="ar-SA"/>
              </w:rPr>
              <w:t>。</w:t>
            </w:r>
          </w:p>
          <w:p>
            <w:pPr>
              <w:spacing w:line="240" w:lineRule="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7.</w:t>
            </w:r>
            <w:r>
              <w:rPr>
                <w:rFonts w:hint="eastAsia" w:ascii="微软雅黑" w:hAnsi="微软雅黑" w:eastAsia="微软雅黑" w:cs="微软雅黑"/>
                <w:color w:val="auto"/>
                <w:kern w:val="2"/>
                <w:sz w:val="24"/>
                <w:szCs w:val="24"/>
                <w:lang w:val="de-DE" w:eastAsia="zh-CN" w:bidi="ar-SA"/>
              </w:rPr>
              <w:t>有西南地区本地化服务机构和服务人员证明并且能够提供证明材料（公司的营业证等复印件加盖公章）。</w:t>
            </w:r>
          </w:p>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8.中标人对投标产品对应参数需要满足，验收时根据投标响应文件中的技术参数一一验收，如果有一条或者多条不满足，采购人有权取消合同，所产生的损失由中标人承担。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97"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报价要求</w:t>
            </w:r>
          </w:p>
        </w:tc>
        <w:tc>
          <w:tcPr>
            <w:tcW w:w="4302" w:type="pct"/>
            <w:vAlign w:val="center"/>
          </w:tcPr>
          <w:p>
            <w:pPr>
              <w:spacing w:line="240" w:lineRule="auto"/>
              <w:rPr>
                <w:rFonts w:hint="default"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1.该项目可在投标现场进行二次报价。</w:t>
            </w:r>
          </w:p>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2.该项目报价须对设备包干总价和易损易耗件单价分别进行报价，包括完成货物、运输、验收及其他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7"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付款方式</w:t>
            </w:r>
          </w:p>
        </w:tc>
        <w:tc>
          <w:tcPr>
            <w:tcW w:w="4302" w:type="pct"/>
            <w:vAlign w:val="center"/>
          </w:tcPr>
          <w:p>
            <w:pPr>
              <w:spacing w:line="240" w:lineRule="auto"/>
              <w:rPr>
                <w:rFonts w:hint="default"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1.中标人</w:t>
            </w:r>
            <w:r>
              <w:rPr>
                <w:rFonts w:hint="default" w:ascii="微软雅黑" w:hAnsi="微软雅黑" w:eastAsia="微软雅黑" w:cs="微软雅黑"/>
                <w:color w:val="auto"/>
                <w:kern w:val="2"/>
                <w:sz w:val="24"/>
                <w:szCs w:val="24"/>
                <w:lang w:val="en-US" w:eastAsia="zh-CN" w:bidi="ar-SA"/>
              </w:rPr>
              <w:t>按采购合同交货并安装调试完成，经验收合格后采购人出具项目验收报告；</w:t>
            </w:r>
          </w:p>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2.中标人</w:t>
            </w:r>
            <w:r>
              <w:rPr>
                <w:rFonts w:hint="default" w:ascii="微软雅黑" w:hAnsi="微软雅黑" w:eastAsia="微软雅黑" w:cs="微软雅黑"/>
                <w:color w:val="auto"/>
                <w:kern w:val="2"/>
                <w:sz w:val="24"/>
                <w:szCs w:val="24"/>
                <w:lang w:val="en-US" w:eastAsia="zh-CN" w:bidi="ar-SA"/>
              </w:rPr>
              <w:t>向采购人开具发票，采购人于</w:t>
            </w:r>
            <w:r>
              <w:rPr>
                <w:rFonts w:hint="eastAsia" w:ascii="微软雅黑" w:hAnsi="微软雅黑" w:eastAsia="微软雅黑" w:cs="微软雅黑"/>
                <w:color w:val="auto"/>
                <w:kern w:val="2"/>
                <w:sz w:val="24"/>
                <w:szCs w:val="24"/>
                <w:lang w:val="en-US" w:eastAsia="zh-CN" w:bidi="ar-SA"/>
              </w:rPr>
              <w:t>2个月</w:t>
            </w:r>
            <w:r>
              <w:rPr>
                <w:rFonts w:hint="default" w:ascii="微软雅黑" w:hAnsi="微软雅黑" w:eastAsia="微软雅黑" w:cs="微软雅黑"/>
                <w:color w:val="auto"/>
                <w:kern w:val="2"/>
                <w:sz w:val="24"/>
                <w:szCs w:val="24"/>
                <w:lang w:val="en-US" w:eastAsia="zh-CN" w:bidi="ar-SA"/>
              </w:rPr>
              <w:t>内以转账方式向</w:t>
            </w:r>
            <w:r>
              <w:rPr>
                <w:rFonts w:hint="eastAsia" w:ascii="微软雅黑" w:hAnsi="微软雅黑" w:eastAsia="微软雅黑" w:cs="微软雅黑"/>
                <w:color w:val="auto"/>
                <w:kern w:val="2"/>
                <w:sz w:val="24"/>
                <w:szCs w:val="24"/>
                <w:lang w:val="en-US" w:eastAsia="zh-CN" w:bidi="ar-SA"/>
              </w:rPr>
              <w:t>中标人</w:t>
            </w:r>
            <w:r>
              <w:rPr>
                <w:rFonts w:hint="default" w:ascii="微软雅黑" w:hAnsi="微软雅黑" w:eastAsia="微软雅黑" w:cs="微软雅黑"/>
                <w:color w:val="auto"/>
                <w:kern w:val="2"/>
                <w:sz w:val="24"/>
                <w:szCs w:val="24"/>
                <w:lang w:val="en-US" w:eastAsia="zh-CN" w:bidi="ar-SA"/>
              </w:rPr>
              <w:t>支付合同全款</w:t>
            </w:r>
            <w:r>
              <w:rPr>
                <w:rFonts w:hint="eastAsia" w:ascii="微软雅黑" w:hAnsi="微软雅黑" w:eastAsia="微软雅黑" w:cs="微软雅黑"/>
                <w:color w:val="auto"/>
                <w:kern w:val="2"/>
                <w:sz w:val="24"/>
                <w:szCs w:val="24"/>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97"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其他</w:t>
            </w:r>
          </w:p>
        </w:tc>
        <w:tc>
          <w:tcPr>
            <w:tcW w:w="4302" w:type="pct"/>
            <w:vAlign w:val="center"/>
          </w:tcPr>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1.投标人必须在响应文件中对以上条款和服务承诺明确列出，承诺内容必须达到本篇及协商文件其他条款的要求。</w:t>
            </w:r>
          </w:p>
          <w:p>
            <w:pPr>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2.其他未尽事宜由供需双方在采购合同中详细约定。</w:t>
            </w:r>
          </w:p>
        </w:tc>
      </w:tr>
    </w:tbl>
    <w:p>
      <w:pPr>
        <w:rPr>
          <w:rFonts w:hint="eastAsia" w:ascii="微软雅黑" w:hAnsi="微软雅黑" w:eastAsia="微软雅黑" w:cs="微软雅黑"/>
          <w:b/>
          <w:sz w:val="44"/>
        </w:rPr>
      </w:pPr>
      <w:bookmarkStart w:id="93" w:name="_Toc76462332"/>
      <w:bookmarkStart w:id="94" w:name="_Toc6692"/>
      <w:bookmarkStart w:id="95" w:name="_Toc106030887"/>
      <w:r>
        <w:rPr>
          <w:rFonts w:hint="eastAsia" w:ascii="微软雅黑" w:hAnsi="微软雅黑" w:eastAsia="微软雅黑" w:cs="微软雅黑"/>
          <w:b/>
          <w:sz w:val="44"/>
        </w:rPr>
        <w:br w:type="page"/>
      </w:r>
    </w:p>
    <w:bookmarkEnd w:id="93"/>
    <w:bookmarkEnd w:id="94"/>
    <w:bookmarkEnd w:id="95"/>
    <w:p>
      <w:pPr>
        <w:pStyle w:val="2"/>
        <w:spacing w:before="200" w:after="200" w:line="240" w:lineRule="auto"/>
        <w:jc w:val="center"/>
        <w:rPr>
          <w:rFonts w:hint="eastAsia" w:ascii="微软雅黑" w:hAnsi="微软雅黑" w:eastAsia="微软雅黑" w:cs="微软雅黑"/>
          <w:sz w:val="44"/>
        </w:rPr>
      </w:pPr>
      <w:bookmarkStart w:id="96" w:name="_Toc621"/>
      <w:r>
        <w:rPr>
          <w:rFonts w:hint="eastAsia" w:ascii="微软雅黑" w:hAnsi="微软雅黑" w:eastAsia="微软雅黑" w:cs="微软雅黑"/>
          <w:sz w:val="44"/>
        </w:rPr>
        <w:t xml:space="preserve">第四篇  </w:t>
      </w:r>
      <w:r>
        <w:rPr>
          <w:rFonts w:hint="eastAsia" w:ascii="微软雅黑" w:hAnsi="微软雅黑" w:eastAsia="微软雅黑" w:cs="微软雅黑"/>
          <w:sz w:val="44"/>
          <w:lang w:eastAsia="zh-CN"/>
        </w:rPr>
        <w:t>公开比选</w:t>
      </w:r>
      <w:r>
        <w:rPr>
          <w:rFonts w:hint="eastAsia" w:ascii="微软雅黑" w:hAnsi="微软雅黑" w:eastAsia="微软雅黑" w:cs="微软雅黑"/>
          <w:sz w:val="44"/>
        </w:rPr>
        <w:t>采购程序及方法、评审标准、无效响应和采购终止</w:t>
      </w:r>
      <w:bookmarkEnd w:id="96"/>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97" w:name="_Toc106030888"/>
      <w:bookmarkStart w:id="98" w:name="_Toc14958"/>
      <w:bookmarkStart w:id="99" w:name="_Toc76462333"/>
      <w:bookmarkStart w:id="100" w:name="_Toc24700"/>
      <w:r>
        <w:rPr>
          <w:rFonts w:hint="eastAsia" w:ascii="微软雅黑" w:hAnsi="微软雅黑" w:eastAsia="微软雅黑" w:cs="微软雅黑"/>
          <w:sz w:val="24"/>
        </w:rPr>
        <w:t>一、</w:t>
      </w:r>
      <w:r>
        <w:rPr>
          <w:rFonts w:hint="eastAsia" w:ascii="微软雅黑" w:hAnsi="微软雅黑" w:eastAsia="微软雅黑" w:cs="微软雅黑"/>
          <w:sz w:val="24"/>
          <w:lang w:eastAsia="zh-CN"/>
        </w:rPr>
        <w:t>公开比选</w:t>
      </w:r>
      <w:r>
        <w:rPr>
          <w:rFonts w:hint="eastAsia" w:ascii="微软雅黑" w:hAnsi="微软雅黑" w:eastAsia="微软雅黑" w:cs="微软雅黑"/>
          <w:sz w:val="24"/>
        </w:rPr>
        <w:t>采购程序</w:t>
      </w:r>
      <w:bookmarkEnd w:id="97"/>
      <w:bookmarkEnd w:id="98"/>
      <w:bookmarkEnd w:id="99"/>
      <w:bookmarkEnd w:id="10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eastAsia="zh-CN"/>
        </w:rPr>
        <w:t>公开比选</w:t>
      </w:r>
      <w:r>
        <w:rPr>
          <w:rFonts w:hint="eastAsia" w:ascii="微软雅黑" w:hAnsi="微软雅黑" w:eastAsia="微软雅黑" w:cs="微软雅黑"/>
          <w:sz w:val="24"/>
          <w:szCs w:val="24"/>
        </w:rPr>
        <w:t>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eastAsia="zh-CN"/>
        </w:rPr>
        <w:t>公开比选</w:t>
      </w:r>
      <w:r>
        <w:rPr>
          <w:rFonts w:hint="eastAsia" w:ascii="微软雅黑" w:hAnsi="微软雅黑" w:eastAsia="微软雅黑" w:cs="微软雅黑"/>
          <w:kern w:val="0"/>
          <w:sz w:val="24"/>
          <w:szCs w:val="24"/>
        </w:rPr>
        <w:t>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w:t>
      </w:r>
      <w:r>
        <w:rPr>
          <w:rFonts w:hint="eastAsia" w:ascii="微软雅黑" w:hAnsi="微软雅黑" w:eastAsia="微软雅黑" w:cs="微软雅黑"/>
          <w:kern w:val="0"/>
          <w:sz w:val="24"/>
          <w:szCs w:val="24"/>
          <w:lang w:val="en-US" w:eastAsia="zh-CN"/>
        </w:rPr>
        <w:t>1</w:t>
      </w:r>
      <w:r>
        <w:rPr>
          <w:rFonts w:hint="eastAsia" w:ascii="微软雅黑" w:hAnsi="微软雅黑" w:eastAsia="微软雅黑" w:cs="微软雅黑"/>
          <w:kern w:val="0"/>
          <w:sz w:val="24"/>
          <w:szCs w:val="24"/>
        </w:rPr>
        <w:t>：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snapToGrid w:val="0"/>
        <w:spacing w:line="400" w:lineRule="exact"/>
        <w:ind w:firstLine="480" w:firstLineChars="200"/>
        <w:rPr>
          <w:rFonts w:hint="eastAsia" w:ascii="微软雅黑" w:hAnsi="微软雅黑" w:eastAsia="微软雅黑" w:cs="微软雅黑"/>
          <w:kern w:val="0"/>
          <w:sz w:val="24"/>
          <w:szCs w:val="24"/>
        </w:rPr>
      </w:pPr>
      <w:bookmarkStart w:id="101" w:name="_Toc31352"/>
      <w:r>
        <w:rPr>
          <w:rFonts w:hint="eastAsia" w:ascii="微软雅黑" w:hAnsi="微软雅黑" w:eastAsia="微软雅黑" w:cs="微软雅黑"/>
          <w:kern w:val="0"/>
          <w:sz w:val="24"/>
          <w:szCs w:val="24"/>
          <w:lang w:val="en-US" w:eastAsia="zh-CN"/>
        </w:rPr>
        <w:t>注2：该项目</w:t>
      </w:r>
      <w:r>
        <w:rPr>
          <w:rFonts w:hint="eastAsia" w:ascii="微软雅黑" w:hAnsi="微软雅黑" w:eastAsia="微软雅黑" w:cs="微软雅黑"/>
          <w:kern w:val="0"/>
          <w:sz w:val="24"/>
          <w:szCs w:val="24"/>
        </w:rPr>
        <w:t>采购评审中出现下列情形之一的，</w:t>
      </w:r>
      <w:r>
        <w:rPr>
          <w:rFonts w:hint="default" w:ascii="微软雅黑" w:hAnsi="微软雅黑" w:eastAsia="微软雅黑" w:cs="微软雅黑"/>
          <w:kern w:val="0"/>
          <w:sz w:val="24"/>
          <w:szCs w:val="24"/>
          <w:lang w:eastAsia="zh-CN"/>
        </w:rPr>
        <w:t>评标小组</w:t>
      </w:r>
      <w:r>
        <w:rPr>
          <w:rFonts w:hint="eastAsia" w:ascii="微软雅黑" w:hAnsi="微软雅黑" w:eastAsia="微软雅黑" w:cs="微软雅黑"/>
          <w:kern w:val="0"/>
          <w:sz w:val="24"/>
          <w:szCs w:val="24"/>
        </w:rPr>
        <w:t>应当启动异常低价投标审查程序：</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lang w:eastAsia="zh-CN"/>
        </w:rPr>
        <w:t>（</w:t>
      </w:r>
      <w:r>
        <w:rPr>
          <w:rFonts w:hint="eastAsia" w:ascii="微软雅黑" w:hAnsi="微软雅黑" w:eastAsia="微软雅黑" w:cs="微软雅黑"/>
          <w:kern w:val="0"/>
          <w:sz w:val="24"/>
          <w:szCs w:val="24"/>
          <w:lang w:val="en-US" w:eastAsia="zh-CN"/>
        </w:rPr>
        <w:t>1）</w:t>
      </w:r>
      <w:r>
        <w:rPr>
          <w:rFonts w:hint="eastAsia" w:ascii="微软雅黑" w:hAnsi="微软雅黑" w:eastAsia="微软雅黑" w:cs="微软雅黑"/>
          <w:kern w:val="0"/>
          <w:sz w:val="24"/>
          <w:szCs w:val="24"/>
          <w:lang w:eastAsia="zh-CN"/>
        </w:rPr>
        <w:t>设备</w:t>
      </w:r>
      <w:r>
        <w:rPr>
          <w:rFonts w:hint="eastAsia" w:ascii="微软雅黑" w:hAnsi="微软雅黑" w:eastAsia="微软雅黑" w:cs="微软雅黑"/>
          <w:kern w:val="0"/>
          <w:sz w:val="24"/>
          <w:szCs w:val="24"/>
        </w:rPr>
        <w:t>投标报价低于全部通过符合性审查投标人投标报价平均值50%的，即</w:t>
      </w:r>
      <w:r>
        <w:rPr>
          <w:rFonts w:hint="eastAsia" w:ascii="微软雅黑" w:hAnsi="微软雅黑" w:eastAsia="微软雅黑" w:cs="微软雅黑"/>
          <w:kern w:val="0"/>
          <w:sz w:val="24"/>
          <w:szCs w:val="24"/>
          <w:lang w:val="en-US" w:eastAsia="zh-CN"/>
        </w:rPr>
        <w:t>设备</w:t>
      </w:r>
      <w:r>
        <w:rPr>
          <w:rFonts w:hint="eastAsia" w:ascii="微软雅黑" w:hAnsi="微软雅黑" w:eastAsia="微软雅黑" w:cs="微软雅黑"/>
          <w:kern w:val="0"/>
          <w:sz w:val="24"/>
          <w:szCs w:val="24"/>
        </w:rPr>
        <w:t>投标报价＜全部通过符合性审查投标人投标报价平均值×50%；</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lang w:eastAsia="zh-CN"/>
        </w:rPr>
        <w:t>（</w:t>
      </w:r>
      <w:r>
        <w:rPr>
          <w:rFonts w:hint="eastAsia" w:ascii="微软雅黑" w:hAnsi="微软雅黑" w:eastAsia="微软雅黑" w:cs="微软雅黑"/>
          <w:kern w:val="0"/>
          <w:sz w:val="24"/>
          <w:szCs w:val="24"/>
          <w:lang w:val="en-US" w:eastAsia="zh-CN"/>
        </w:rPr>
        <w:t>2）设备</w:t>
      </w:r>
      <w:r>
        <w:rPr>
          <w:rFonts w:hint="eastAsia" w:ascii="微软雅黑" w:hAnsi="微软雅黑" w:eastAsia="微软雅黑" w:cs="微软雅黑"/>
          <w:kern w:val="0"/>
          <w:sz w:val="24"/>
          <w:szCs w:val="24"/>
        </w:rPr>
        <w:t>投标报价低于通过符合性审查的次低报价投标人投标报价50%的，即</w:t>
      </w:r>
      <w:r>
        <w:rPr>
          <w:rFonts w:hint="eastAsia" w:ascii="微软雅黑" w:hAnsi="微软雅黑" w:eastAsia="微软雅黑" w:cs="微软雅黑"/>
          <w:kern w:val="0"/>
          <w:sz w:val="24"/>
          <w:szCs w:val="24"/>
          <w:lang w:val="en-US" w:eastAsia="zh-CN"/>
        </w:rPr>
        <w:t>设备</w:t>
      </w:r>
      <w:r>
        <w:rPr>
          <w:rFonts w:hint="eastAsia" w:ascii="微软雅黑" w:hAnsi="微软雅黑" w:eastAsia="微软雅黑" w:cs="微软雅黑"/>
          <w:kern w:val="0"/>
          <w:sz w:val="24"/>
          <w:szCs w:val="24"/>
        </w:rPr>
        <w:t>投标报价＜通过符合性审查的次低报价投标人投标报价×50%；</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lang w:eastAsia="zh-CN"/>
        </w:rPr>
        <w:t>（</w:t>
      </w:r>
      <w:r>
        <w:rPr>
          <w:rFonts w:hint="eastAsia" w:ascii="微软雅黑" w:hAnsi="微软雅黑" w:eastAsia="微软雅黑" w:cs="微软雅黑"/>
          <w:kern w:val="0"/>
          <w:sz w:val="24"/>
          <w:szCs w:val="24"/>
          <w:lang w:val="en-US" w:eastAsia="zh-CN"/>
        </w:rPr>
        <w:t>3）设备</w:t>
      </w:r>
      <w:r>
        <w:rPr>
          <w:rFonts w:hint="eastAsia" w:ascii="微软雅黑" w:hAnsi="微软雅黑" w:eastAsia="微软雅黑" w:cs="微软雅黑"/>
          <w:kern w:val="0"/>
          <w:sz w:val="24"/>
          <w:szCs w:val="24"/>
        </w:rPr>
        <w:t>投标报价低于采购项目最高限价45%的，即</w:t>
      </w:r>
      <w:r>
        <w:rPr>
          <w:rFonts w:hint="eastAsia" w:ascii="微软雅黑" w:hAnsi="微软雅黑" w:eastAsia="微软雅黑" w:cs="微软雅黑"/>
          <w:kern w:val="0"/>
          <w:sz w:val="24"/>
          <w:szCs w:val="24"/>
          <w:lang w:val="en-US" w:eastAsia="zh-CN"/>
        </w:rPr>
        <w:t>设备</w:t>
      </w:r>
      <w:r>
        <w:rPr>
          <w:rFonts w:hint="eastAsia" w:ascii="微软雅黑" w:hAnsi="微软雅黑" w:eastAsia="微软雅黑" w:cs="微软雅黑"/>
          <w:kern w:val="0"/>
          <w:sz w:val="24"/>
          <w:szCs w:val="24"/>
        </w:rPr>
        <w:t>投标报价＜采购项目</w:t>
      </w:r>
      <w:r>
        <w:rPr>
          <w:rFonts w:hint="eastAsia" w:ascii="微软雅黑" w:hAnsi="微软雅黑" w:eastAsia="微软雅黑" w:cs="微软雅黑"/>
          <w:kern w:val="0"/>
          <w:sz w:val="24"/>
          <w:szCs w:val="24"/>
          <w:lang w:eastAsia="zh-CN"/>
        </w:rPr>
        <w:t>设备</w:t>
      </w:r>
      <w:r>
        <w:rPr>
          <w:rFonts w:hint="eastAsia" w:ascii="微软雅黑" w:hAnsi="微软雅黑" w:eastAsia="微软雅黑" w:cs="微软雅黑"/>
          <w:kern w:val="0"/>
          <w:sz w:val="24"/>
          <w:szCs w:val="24"/>
        </w:rPr>
        <w:t>最高限价×45%；</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lang w:eastAsia="zh-CN"/>
        </w:rPr>
        <w:t>（</w:t>
      </w:r>
      <w:r>
        <w:rPr>
          <w:rFonts w:hint="eastAsia" w:ascii="微软雅黑" w:hAnsi="微软雅黑" w:eastAsia="微软雅黑" w:cs="微软雅黑"/>
          <w:kern w:val="0"/>
          <w:sz w:val="24"/>
          <w:szCs w:val="24"/>
          <w:lang w:val="en-US" w:eastAsia="zh-CN"/>
        </w:rPr>
        <w:t>4）</w:t>
      </w:r>
      <w:r>
        <w:rPr>
          <w:rFonts w:hint="default" w:ascii="微软雅黑" w:hAnsi="微软雅黑" w:eastAsia="微软雅黑" w:cs="微软雅黑"/>
          <w:kern w:val="0"/>
          <w:sz w:val="24"/>
          <w:szCs w:val="24"/>
          <w:lang w:eastAsia="zh-CN"/>
        </w:rPr>
        <w:t>评标小组</w:t>
      </w:r>
      <w:r>
        <w:rPr>
          <w:rFonts w:hint="eastAsia" w:ascii="微软雅黑" w:hAnsi="微软雅黑" w:eastAsia="微软雅黑" w:cs="微软雅黑"/>
          <w:kern w:val="0"/>
          <w:sz w:val="24"/>
          <w:szCs w:val="24"/>
        </w:rPr>
        <w:t>基于专业判断，认为投标人</w:t>
      </w:r>
      <w:r>
        <w:rPr>
          <w:rFonts w:hint="eastAsia" w:ascii="微软雅黑" w:hAnsi="微软雅黑" w:eastAsia="微软雅黑" w:cs="微软雅黑"/>
          <w:kern w:val="0"/>
          <w:sz w:val="24"/>
          <w:szCs w:val="24"/>
          <w:lang w:eastAsia="zh-CN"/>
        </w:rPr>
        <w:t>设备</w:t>
      </w:r>
      <w:r>
        <w:rPr>
          <w:rFonts w:hint="eastAsia" w:ascii="微软雅黑" w:hAnsi="微软雅黑" w:eastAsia="微软雅黑" w:cs="微软雅黑"/>
          <w:kern w:val="0"/>
          <w:sz w:val="24"/>
          <w:szCs w:val="24"/>
        </w:rPr>
        <w:t>报价过低，有可能影响产品质量或者不能诚信履约的其他情形。</w:t>
      </w:r>
    </w:p>
    <w:p>
      <w:pPr>
        <w:snapToGrid w:val="0"/>
        <w:spacing w:line="400" w:lineRule="exact"/>
        <w:ind w:firstLine="480" w:firstLineChars="200"/>
        <w:rPr>
          <w:rFonts w:hint="eastAsia" w:ascii="微软雅黑" w:hAnsi="微软雅黑" w:eastAsia="微软雅黑" w:cs="微软雅黑"/>
          <w:kern w:val="0"/>
          <w:sz w:val="24"/>
          <w:szCs w:val="24"/>
        </w:rPr>
      </w:pPr>
      <w:r>
        <w:rPr>
          <w:rFonts w:hint="default" w:ascii="微软雅黑" w:hAnsi="微软雅黑" w:eastAsia="微软雅黑" w:cs="微软雅黑"/>
          <w:kern w:val="0"/>
          <w:sz w:val="24"/>
          <w:szCs w:val="24"/>
          <w:lang w:eastAsia="zh-CN"/>
        </w:rPr>
        <w:t>评标小组</w:t>
      </w:r>
      <w:r>
        <w:rPr>
          <w:rFonts w:hint="eastAsia" w:ascii="微软雅黑" w:hAnsi="微软雅黑" w:eastAsia="微软雅黑" w:cs="微软雅黑"/>
          <w:kern w:val="0"/>
          <w:sz w:val="24"/>
          <w:szCs w:val="24"/>
        </w:rPr>
        <w:t>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审现场可不再重复提交。</w:t>
      </w:r>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r>
        <w:rPr>
          <w:rFonts w:hint="default" w:ascii="微软雅黑" w:hAnsi="微软雅黑" w:eastAsia="微软雅黑" w:cs="微软雅黑"/>
          <w:kern w:val="0"/>
          <w:sz w:val="24"/>
          <w:szCs w:val="24"/>
          <w:lang w:eastAsia="zh-CN"/>
        </w:rPr>
        <w:t>评标小组</w:t>
      </w:r>
      <w:r>
        <w:rPr>
          <w:rFonts w:hint="eastAsia" w:ascii="微软雅黑" w:hAnsi="微软雅黑" w:eastAsia="微软雅黑" w:cs="微软雅黑"/>
          <w:kern w:val="0"/>
          <w:sz w:val="24"/>
          <w:szCs w:val="24"/>
        </w:rPr>
        <w:t>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default" w:ascii="微软雅黑" w:hAnsi="微软雅黑" w:eastAsia="微软雅黑" w:cs="微软雅黑"/>
          <w:kern w:val="0"/>
          <w:sz w:val="24"/>
          <w:szCs w:val="24"/>
          <w:lang w:eastAsia="zh-CN"/>
        </w:rPr>
        <w:t>评标小组</w:t>
      </w:r>
      <w:r>
        <w:rPr>
          <w:rFonts w:hint="eastAsia" w:ascii="微软雅黑" w:hAnsi="微软雅黑" w:eastAsia="微软雅黑" w:cs="微软雅黑"/>
          <w:kern w:val="0"/>
          <w:sz w:val="24"/>
          <w:szCs w:val="24"/>
        </w:rPr>
        <w:t>应当将其作为无效投标处理。</w:t>
      </w:r>
    </w:p>
    <w:bookmarkEnd w:id="101"/>
    <w:p>
      <w:pPr>
        <w:pStyle w:val="2"/>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02" w:name="_Toc32521"/>
      <w:bookmarkStart w:id="103" w:name="_Toc32269"/>
      <w:bookmarkStart w:id="104" w:name="_Toc16728"/>
      <w:bookmarkStart w:id="105" w:name="_Toc25824"/>
      <w:r>
        <w:rPr>
          <w:rFonts w:hint="eastAsia" w:ascii="微软雅黑" w:hAnsi="微软雅黑" w:eastAsia="微软雅黑" w:cs="微软雅黑"/>
          <w:color w:val="auto"/>
          <w:sz w:val="24"/>
          <w:lang w:val="en-US" w:eastAsia="zh-CN"/>
        </w:rPr>
        <w:t>二、</w:t>
      </w:r>
      <w:bookmarkEnd w:id="102"/>
      <w:bookmarkEnd w:id="103"/>
      <w:bookmarkStart w:id="106" w:name="_Toc28874"/>
      <w:bookmarkStart w:id="107" w:name="_Toc23550"/>
      <w:r>
        <w:rPr>
          <w:rFonts w:hint="eastAsia" w:ascii="微软雅黑" w:hAnsi="微软雅黑" w:eastAsia="微软雅黑" w:cs="微软雅黑"/>
          <w:color w:val="auto"/>
          <w:sz w:val="24"/>
          <w:lang w:val="en-US" w:eastAsia="zh-CN"/>
        </w:rPr>
        <w:t>评标方法</w:t>
      </w:r>
      <w:bookmarkEnd w:id="104"/>
      <w:bookmarkEnd w:id="105"/>
      <w:bookmarkEnd w:id="106"/>
      <w:bookmarkEnd w:id="107"/>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本项目采用综合评分法进行评标。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综合评分法，是指投标文件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（一）比较与评价。按招标文件中规定的评标方法和标准，对资格审查和符合性审查合格的投标文件进行商务和技术评估。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评审得分相同的，由采购人委托评标委员会按照招标文件规定的方式确定一个投标人获得</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 xml:space="preserve">推荐资格，招标文件未规定的采取随机抽取方式确定。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复核后，评标委员会汇总每个投标人每项评分因素的得分。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（二）推荐中标候选人名单。</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按评审后得分由高到低的排列顺序推荐综合得分排名前三的投标人为本项目中标候选人，排名第一的为第一中标候选人。综合评分总分相同的，</w:t>
      </w:r>
      <w:r>
        <w:rPr>
          <w:rFonts w:hint="eastAsia" w:ascii="微软雅黑" w:hAnsi="微软雅黑" w:eastAsia="微软雅黑" w:cs="微软雅黑"/>
          <w:color w:val="auto"/>
          <w:sz w:val="24"/>
          <w:szCs w:val="24"/>
          <w:highlight w:val="none"/>
        </w:rPr>
        <w:t>按价格得分高低</w:t>
      </w:r>
      <w:r>
        <w:rPr>
          <w:rFonts w:hint="eastAsia" w:ascii="微软雅黑" w:hAnsi="微软雅黑" w:eastAsia="微软雅黑" w:cs="微软雅黑"/>
          <w:color w:val="auto"/>
          <w:sz w:val="24"/>
          <w:szCs w:val="24"/>
        </w:rPr>
        <w:t>顺序排列（投标报价相同的并列）。</w:t>
      </w:r>
    </w:p>
    <w:p>
      <w:pPr>
        <w:pStyle w:val="2"/>
        <w:numPr>
          <w:ilvl w:val="0"/>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108" w:name="_Toc29611"/>
      <w:bookmarkStart w:id="109" w:name="_Toc76462334"/>
      <w:bookmarkStart w:id="110" w:name="_Toc30944"/>
      <w:bookmarkStart w:id="111" w:name="_Toc2549"/>
      <w:bookmarkStart w:id="112" w:name="_Toc106030889"/>
      <w:bookmarkStart w:id="113" w:name="_Toc18577"/>
      <w:bookmarkStart w:id="114" w:name="_Toc14542"/>
      <w:r>
        <w:rPr>
          <w:rFonts w:hint="eastAsia" w:ascii="微软雅黑" w:hAnsi="微软雅黑" w:eastAsia="微软雅黑" w:cs="微软雅黑"/>
          <w:color w:val="auto"/>
          <w:sz w:val="24"/>
          <w:lang w:val="en-US" w:eastAsia="zh-CN"/>
        </w:rPr>
        <w:t>三、评审标准</w:t>
      </w:r>
      <w:bookmarkEnd w:id="108"/>
      <w:bookmarkEnd w:id="109"/>
      <w:bookmarkEnd w:id="110"/>
      <w:bookmarkEnd w:id="111"/>
      <w:bookmarkEnd w:id="112"/>
      <w:bookmarkEnd w:id="113"/>
      <w:bookmarkEnd w:id="114"/>
    </w:p>
    <w:tbl>
      <w:tblPr>
        <w:tblStyle w:val="58"/>
        <w:tblW w:w="97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1062"/>
        <w:gridCol w:w="700"/>
        <w:gridCol w:w="4900"/>
        <w:gridCol w:w="24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7"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序号</w:t>
            </w:r>
          </w:p>
        </w:tc>
        <w:tc>
          <w:tcPr>
            <w:tcW w:w="1062"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评分因素</w:t>
            </w:r>
          </w:p>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及权重</w:t>
            </w:r>
          </w:p>
        </w:tc>
        <w:tc>
          <w:tcPr>
            <w:tcW w:w="700"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分值</w:t>
            </w:r>
          </w:p>
        </w:tc>
        <w:tc>
          <w:tcPr>
            <w:tcW w:w="4900"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评分标准</w:t>
            </w:r>
          </w:p>
        </w:tc>
        <w:tc>
          <w:tcPr>
            <w:tcW w:w="2413" w:type="dxa"/>
            <w:vAlign w:val="center"/>
          </w:tcPr>
          <w:p>
            <w:pPr>
              <w:pStyle w:val="238"/>
              <w:spacing w:before="0" w:after="0" w:line="24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7"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1062"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投标报价</w:t>
            </w:r>
          </w:p>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（30%）</w:t>
            </w:r>
          </w:p>
        </w:tc>
        <w:tc>
          <w:tcPr>
            <w:tcW w:w="700"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30</w:t>
            </w:r>
          </w:p>
        </w:tc>
        <w:tc>
          <w:tcPr>
            <w:tcW w:w="4900" w:type="dxa"/>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有效的投标报价中的最低价为评标基准价，其价格分为满分。其他投标人的价格分统一按照下列公式计算：</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投标报价得分＝（评标基准价/投标报价）×价格权重×100。</w:t>
            </w:r>
          </w:p>
        </w:tc>
        <w:tc>
          <w:tcPr>
            <w:tcW w:w="2413" w:type="dxa"/>
            <w:vAlign w:val="center"/>
          </w:tcPr>
          <w:p>
            <w:pP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52" w:type="dxa"/>
            <w:gridSpan w:val="5"/>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采购文件“</w:t>
            </w:r>
            <w:r>
              <w:rPr>
                <w:rFonts w:hint="eastAsia" w:ascii="微软雅黑" w:hAnsi="微软雅黑" w:eastAsia="微软雅黑" w:cs="微软雅黑"/>
                <w:sz w:val="21"/>
                <w:szCs w:val="21"/>
                <w:lang w:val="en-US" w:eastAsia="zh-CN"/>
              </w:rPr>
              <w:t xml:space="preserve">第二篇 </w:t>
            </w:r>
            <w:r>
              <w:rPr>
                <w:rFonts w:hint="eastAsia" w:ascii="微软雅黑" w:hAnsi="微软雅黑" w:eastAsia="微软雅黑" w:cs="微软雅黑"/>
                <w:sz w:val="21"/>
                <w:szCs w:val="21"/>
              </w:rPr>
              <w:t>技术(质量)需求”中“※”标注的技术需求为符合性审查中的实质性要求，若不满足按无效投标处理。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7"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p>
        </w:tc>
        <w:tc>
          <w:tcPr>
            <w:tcW w:w="1062"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技术（质量）部分</w:t>
            </w:r>
          </w:p>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（50%）</w:t>
            </w:r>
          </w:p>
        </w:tc>
        <w:tc>
          <w:tcPr>
            <w:tcW w:w="700"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50</w:t>
            </w:r>
          </w:p>
        </w:tc>
        <w:tc>
          <w:tcPr>
            <w:tcW w:w="4900" w:type="dxa"/>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1.起评分</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有效投标人的起评分为50分。</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2.扣分条款</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2.1投标文件投标应答有一条不满足招标文件重要技术需求的（本招标文件第二篇中带“▲”号标注的部分，共计</w:t>
            </w:r>
            <w:r>
              <w:rPr>
                <w:rFonts w:hint="eastAsia" w:ascii="微软雅黑" w:hAnsi="微软雅黑" w:eastAsia="微软雅黑" w:cs="微软雅黑"/>
                <w:sz w:val="21"/>
                <w:szCs w:val="21"/>
                <w:lang w:val="en-US" w:eastAsia="zh-CN"/>
              </w:rPr>
              <w:t>6</w:t>
            </w:r>
            <w:r>
              <w:rPr>
                <w:rFonts w:hint="eastAsia" w:ascii="微软雅黑" w:hAnsi="微软雅黑" w:eastAsia="微软雅黑" w:cs="微软雅黑"/>
                <w:sz w:val="21"/>
                <w:szCs w:val="21"/>
              </w:rPr>
              <w:t>条），从起评分中扣除</w:t>
            </w:r>
            <w:r>
              <w:rPr>
                <w:rFonts w:hint="eastAsia" w:ascii="微软雅黑" w:hAnsi="微软雅黑" w:eastAsia="微软雅黑" w:cs="微软雅黑"/>
                <w:sz w:val="21"/>
                <w:szCs w:val="21"/>
                <w:lang w:val="en-US" w:eastAsia="zh-CN"/>
              </w:rPr>
              <w:t>6.5</w:t>
            </w:r>
            <w:r>
              <w:rPr>
                <w:rFonts w:hint="eastAsia" w:ascii="微软雅黑" w:hAnsi="微软雅黑" w:eastAsia="微软雅黑" w:cs="微软雅黑"/>
                <w:sz w:val="21"/>
                <w:szCs w:val="21"/>
              </w:rPr>
              <w:t>分，扣完为止。</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2.2投标文件投标应答有一条不满足招标文件一般性技术需求的（本招标文件第二篇中“○”号标注的部分，共计</w:t>
            </w:r>
            <w:r>
              <w:rPr>
                <w:rFonts w:hint="eastAsia" w:ascii="微软雅黑" w:hAnsi="微软雅黑" w:eastAsia="微软雅黑" w:cs="微软雅黑"/>
                <w:sz w:val="21"/>
                <w:szCs w:val="21"/>
                <w:lang w:val="en-US" w:eastAsia="zh-CN"/>
              </w:rPr>
              <w:t>5</w:t>
            </w:r>
            <w:r>
              <w:rPr>
                <w:rFonts w:hint="eastAsia" w:ascii="微软雅黑" w:hAnsi="微软雅黑" w:eastAsia="微软雅黑" w:cs="微软雅黑"/>
                <w:sz w:val="21"/>
                <w:szCs w:val="21"/>
              </w:rPr>
              <w:t>条），从起评分中扣除</w:t>
            </w:r>
            <w:r>
              <w:rPr>
                <w:rFonts w:hint="eastAsia" w:ascii="微软雅黑" w:hAnsi="微软雅黑" w:eastAsia="微软雅黑" w:cs="微软雅黑"/>
                <w:sz w:val="21"/>
                <w:szCs w:val="21"/>
                <w:lang w:val="en-US" w:eastAsia="zh-CN"/>
              </w:rPr>
              <w:t>2.2</w:t>
            </w:r>
            <w:r>
              <w:rPr>
                <w:rFonts w:hint="eastAsia" w:ascii="微软雅黑" w:hAnsi="微软雅黑" w:eastAsia="微软雅黑" w:cs="微软雅黑"/>
                <w:sz w:val="21"/>
                <w:szCs w:val="21"/>
              </w:rPr>
              <w:t>分，扣完为止。</w:t>
            </w:r>
          </w:p>
        </w:tc>
        <w:tc>
          <w:tcPr>
            <w:tcW w:w="2413" w:type="dxa"/>
            <w:vAlign w:val="center"/>
          </w:tcPr>
          <w:p>
            <w:pP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52" w:type="dxa"/>
            <w:gridSpan w:val="5"/>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投标人的应答应满足招标文件“</w:t>
            </w:r>
            <w:r>
              <w:rPr>
                <w:rFonts w:hint="eastAsia" w:ascii="微软雅黑" w:hAnsi="微软雅黑" w:eastAsia="微软雅黑" w:cs="微软雅黑"/>
                <w:sz w:val="21"/>
                <w:szCs w:val="21"/>
                <w:lang w:val="en-US" w:eastAsia="zh-CN"/>
              </w:rPr>
              <w:t>第三篇 商务需求</w:t>
            </w: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中所有条款</w:t>
            </w:r>
            <w:r>
              <w:rPr>
                <w:rFonts w:hint="eastAsia" w:ascii="微软雅黑" w:hAnsi="微软雅黑" w:eastAsia="微软雅黑" w:cs="微软雅黑"/>
                <w:sz w:val="21"/>
                <w:szCs w:val="21"/>
              </w:rPr>
              <w:t>，有一条不满足的，商务部分得分为0分，不再进入商务部分的评审。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7" w:type="dxa"/>
            <w:vMerge w:val="restart"/>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3</w:t>
            </w:r>
          </w:p>
        </w:tc>
        <w:tc>
          <w:tcPr>
            <w:tcW w:w="1062" w:type="dxa"/>
            <w:vMerge w:val="restart"/>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商务部分</w:t>
            </w:r>
          </w:p>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（20%）</w:t>
            </w:r>
          </w:p>
        </w:tc>
        <w:tc>
          <w:tcPr>
            <w:tcW w:w="700" w:type="dxa"/>
            <w:vMerge w:val="restart"/>
            <w:vAlign w:val="center"/>
          </w:tcPr>
          <w:p>
            <w:pPr>
              <w:jc w:val="cente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rPr>
              <w:t>售后服务1</w:t>
            </w:r>
            <w:r>
              <w:rPr>
                <w:rFonts w:hint="eastAsia" w:ascii="微软雅黑" w:hAnsi="微软雅黑" w:eastAsia="微软雅黑" w:cs="微软雅黑"/>
                <w:sz w:val="21"/>
                <w:szCs w:val="21"/>
                <w:lang w:val="en-US" w:eastAsia="zh-CN"/>
              </w:rPr>
              <w:t>5</w:t>
            </w:r>
          </w:p>
        </w:tc>
        <w:tc>
          <w:tcPr>
            <w:tcW w:w="4900" w:type="dxa"/>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1.维保服务方案</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投标人提供维保服务方案，方案内容包括日常维修保养、巡查、年度大保养计划。方案内容不存在瑕疵，得</w:t>
            </w:r>
            <w:r>
              <w:rPr>
                <w:rFonts w:hint="eastAsia" w:ascii="微软雅黑" w:hAnsi="微软雅黑" w:eastAsia="微软雅黑" w:cs="微软雅黑"/>
                <w:sz w:val="21"/>
                <w:szCs w:val="21"/>
                <w:lang w:val="en-US" w:eastAsia="zh-CN"/>
              </w:rPr>
              <w:t>3</w:t>
            </w:r>
            <w:r>
              <w:rPr>
                <w:rFonts w:hint="eastAsia" w:ascii="微软雅黑" w:hAnsi="微软雅黑" w:eastAsia="微软雅黑" w:cs="微软雅黑"/>
                <w:sz w:val="21"/>
                <w:szCs w:val="21"/>
              </w:rPr>
              <w:t>分；</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方案内容存在1处瑕疵，得</w:t>
            </w:r>
            <w:r>
              <w:rPr>
                <w:rFonts w:hint="eastAsia" w:ascii="微软雅黑" w:hAnsi="微软雅黑" w:eastAsia="微软雅黑" w:cs="微软雅黑"/>
                <w:sz w:val="21"/>
                <w:szCs w:val="21"/>
                <w:lang w:val="en-US" w:eastAsia="zh-CN"/>
              </w:rPr>
              <w:t>2</w:t>
            </w:r>
            <w:r>
              <w:rPr>
                <w:rFonts w:hint="eastAsia" w:ascii="微软雅黑" w:hAnsi="微软雅黑" w:eastAsia="微软雅黑" w:cs="微软雅黑"/>
                <w:sz w:val="21"/>
                <w:szCs w:val="21"/>
              </w:rPr>
              <w:t>分；</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方案内容存在2处及以上瑕疵或未提供方案得0分。</w:t>
            </w:r>
          </w:p>
        </w:tc>
        <w:tc>
          <w:tcPr>
            <w:tcW w:w="2413" w:type="dxa"/>
            <w:vMerge w:val="restart"/>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提供方案，格式自拟。</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注：本项内容中所称的“瑕疵”指以下内容：</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①方案内容缺项、内容表述不完整或缺少维保服务内容或售后服务内容中任意一项内容的针对性分析或介绍；</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②方案内容表述前后矛盾、无连贯性；</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③维保服务范围或售后服务范围覆盖不全、服务流程低效；</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④方案内容存在逻辑漏洞、常识错误、维保服务或售后服务流程并不适用本项目特性和或非专门针对本项目特征制定；</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⑤方案内容并无体现时效性的售后处理计划或保养巡查计划安排；</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⑥方案中提出的措施不利于本项目目标的实现；</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⑦现有科学技术条件下不可能实现的情形。</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上述任意一种情形为1处瑕疵。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7" w:type="dxa"/>
            <w:vMerge w:val="continue"/>
            <w:vAlign w:val="center"/>
          </w:tcPr>
          <w:p>
            <w:pPr>
              <w:ind w:firstLine="28"/>
              <w:jc w:val="center"/>
              <w:rPr>
                <w:rFonts w:hint="eastAsia" w:ascii="微软雅黑" w:hAnsi="微软雅黑" w:eastAsia="微软雅黑" w:cs="微软雅黑"/>
                <w:sz w:val="21"/>
                <w:szCs w:val="21"/>
              </w:rPr>
            </w:pPr>
          </w:p>
        </w:tc>
        <w:tc>
          <w:tcPr>
            <w:tcW w:w="1062" w:type="dxa"/>
            <w:vMerge w:val="continue"/>
            <w:vAlign w:val="center"/>
          </w:tcPr>
          <w:p>
            <w:pPr>
              <w:ind w:firstLine="28"/>
              <w:jc w:val="center"/>
              <w:rPr>
                <w:rFonts w:hint="eastAsia" w:ascii="微软雅黑" w:hAnsi="微软雅黑" w:eastAsia="微软雅黑" w:cs="微软雅黑"/>
                <w:sz w:val="21"/>
                <w:szCs w:val="21"/>
              </w:rPr>
            </w:pPr>
          </w:p>
        </w:tc>
        <w:tc>
          <w:tcPr>
            <w:tcW w:w="700" w:type="dxa"/>
            <w:vMerge w:val="continue"/>
            <w:vAlign w:val="center"/>
          </w:tcPr>
          <w:p>
            <w:pPr>
              <w:ind w:firstLine="28"/>
              <w:jc w:val="center"/>
              <w:rPr>
                <w:rFonts w:hint="eastAsia" w:ascii="微软雅黑" w:hAnsi="微软雅黑" w:eastAsia="微软雅黑" w:cs="微软雅黑"/>
                <w:sz w:val="21"/>
                <w:szCs w:val="21"/>
              </w:rPr>
            </w:pPr>
          </w:p>
        </w:tc>
        <w:tc>
          <w:tcPr>
            <w:tcW w:w="4900" w:type="dxa"/>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2.售后服务方案</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根据投标人提供的售后服务方案进行评审，方案内容包括售后服务流程、售后服务范围、维修时间等。</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方案内容不存在瑕疵，得3分；</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方案内容存在1处瑕疵，得2分；</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方案内容存在2处瑕疵及以上瑕疵或未提供方案得0分。</w:t>
            </w:r>
          </w:p>
        </w:tc>
        <w:tc>
          <w:tcPr>
            <w:tcW w:w="2413" w:type="dxa"/>
            <w:vMerge w:val="continue"/>
            <w:vAlign w:val="center"/>
          </w:tcPr>
          <w:p>
            <w:pP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7" w:type="dxa"/>
            <w:vMerge w:val="continue"/>
            <w:vAlign w:val="center"/>
          </w:tcPr>
          <w:p>
            <w:pPr>
              <w:ind w:firstLine="28"/>
              <w:jc w:val="center"/>
              <w:rPr>
                <w:rFonts w:hint="eastAsia" w:ascii="微软雅黑" w:hAnsi="微软雅黑" w:eastAsia="微软雅黑" w:cs="微软雅黑"/>
                <w:sz w:val="21"/>
                <w:szCs w:val="21"/>
              </w:rPr>
            </w:pPr>
          </w:p>
        </w:tc>
        <w:tc>
          <w:tcPr>
            <w:tcW w:w="1062" w:type="dxa"/>
            <w:vMerge w:val="continue"/>
            <w:vAlign w:val="center"/>
          </w:tcPr>
          <w:p>
            <w:pPr>
              <w:ind w:firstLine="28"/>
              <w:jc w:val="center"/>
              <w:rPr>
                <w:rFonts w:hint="eastAsia" w:ascii="微软雅黑" w:hAnsi="微软雅黑" w:eastAsia="微软雅黑" w:cs="微软雅黑"/>
                <w:sz w:val="21"/>
                <w:szCs w:val="21"/>
              </w:rPr>
            </w:pPr>
          </w:p>
        </w:tc>
        <w:tc>
          <w:tcPr>
            <w:tcW w:w="700" w:type="dxa"/>
            <w:vMerge w:val="continue"/>
            <w:vAlign w:val="center"/>
          </w:tcPr>
          <w:p>
            <w:pPr>
              <w:ind w:firstLine="28"/>
              <w:jc w:val="center"/>
              <w:rPr>
                <w:rFonts w:hint="eastAsia" w:ascii="微软雅黑" w:hAnsi="微软雅黑" w:eastAsia="微软雅黑" w:cs="微软雅黑"/>
                <w:sz w:val="21"/>
                <w:szCs w:val="21"/>
              </w:rPr>
            </w:pPr>
          </w:p>
        </w:tc>
        <w:tc>
          <w:tcPr>
            <w:tcW w:w="4900" w:type="dxa"/>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3.质量保证期</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所投产品质量保证期在满足招标文件质保期要求的前提下，每增加1年加</w:t>
            </w:r>
            <w:r>
              <w:rPr>
                <w:rFonts w:hint="eastAsia" w:ascii="微软雅黑" w:hAnsi="微软雅黑" w:eastAsia="微软雅黑" w:cs="微软雅黑"/>
                <w:color w:val="FF0000"/>
                <w:sz w:val="21"/>
                <w:szCs w:val="21"/>
              </w:rPr>
              <w:t>1</w:t>
            </w:r>
            <w:r>
              <w:rPr>
                <w:rFonts w:hint="eastAsia" w:ascii="微软雅黑" w:hAnsi="微软雅黑" w:eastAsia="微软雅黑" w:cs="微软雅黑"/>
                <w:sz w:val="21"/>
                <w:szCs w:val="21"/>
              </w:rPr>
              <w:t>分，本项最多加</w:t>
            </w:r>
            <w:r>
              <w:rPr>
                <w:rFonts w:hint="eastAsia" w:ascii="微软雅黑" w:hAnsi="微软雅黑" w:eastAsia="微软雅黑" w:cs="微软雅黑"/>
                <w:color w:val="FF0000"/>
                <w:sz w:val="21"/>
                <w:szCs w:val="21"/>
              </w:rPr>
              <w:t>3</w:t>
            </w:r>
            <w:r>
              <w:rPr>
                <w:rFonts w:hint="eastAsia" w:ascii="微软雅黑" w:hAnsi="微软雅黑" w:eastAsia="微软雅黑" w:cs="微软雅黑"/>
                <w:sz w:val="21"/>
                <w:szCs w:val="21"/>
              </w:rPr>
              <w:t>分。</w:t>
            </w:r>
          </w:p>
        </w:tc>
        <w:tc>
          <w:tcPr>
            <w:tcW w:w="2413" w:type="dxa"/>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以投标人响应情况或提供承诺函为准（两者二选一提供）。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jc w:val="center"/>
        </w:trPr>
        <w:tc>
          <w:tcPr>
            <w:tcW w:w="677" w:type="dxa"/>
            <w:vMerge w:val="continue"/>
            <w:vAlign w:val="center"/>
          </w:tcPr>
          <w:p>
            <w:pPr>
              <w:ind w:firstLine="28"/>
              <w:jc w:val="center"/>
              <w:rPr>
                <w:rFonts w:hint="eastAsia" w:ascii="微软雅黑" w:hAnsi="微软雅黑" w:eastAsia="微软雅黑" w:cs="微软雅黑"/>
                <w:sz w:val="21"/>
                <w:szCs w:val="21"/>
              </w:rPr>
            </w:pPr>
          </w:p>
        </w:tc>
        <w:tc>
          <w:tcPr>
            <w:tcW w:w="1062" w:type="dxa"/>
            <w:vMerge w:val="continue"/>
            <w:vAlign w:val="center"/>
          </w:tcPr>
          <w:p>
            <w:pPr>
              <w:ind w:firstLine="28"/>
              <w:jc w:val="center"/>
              <w:rPr>
                <w:rFonts w:hint="eastAsia" w:ascii="微软雅黑" w:hAnsi="微软雅黑" w:eastAsia="微软雅黑" w:cs="微软雅黑"/>
                <w:sz w:val="21"/>
                <w:szCs w:val="21"/>
              </w:rPr>
            </w:pPr>
          </w:p>
        </w:tc>
        <w:tc>
          <w:tcPr>
            <w:tcW w:w="700" w:type="dxa"/>
            <w:vMerge w:val="continue"/>
            <w:vAlign w:val="center"/>
          </w:tcPr>
          <w:p>
            <w:pPr>
              <w:ind w:firstLine="28"/>
              <w:jc w:val="center"/>
              <w:rPr>
                <w:rFonts w:hint="eastAsia" w:ascii="微软雅黑" w:hAnsi="微软雅黑" w:eastAsia="微软雅黑" w:cs="微软雅黑"/>
                <w:sz w:val="21"/>
                <w:szCs w:val="21"/>
              </w:rPr>
            </w:pPr>
          </w:p>
        </w:tc>
        <w:tc>
          <w:tcPr>
            <w:tcW w:w="4900" w:type="dxa"/>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4.质保期后要求</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投标人承诺，质保期到期后，每年所投产品维保费≤中标单价金额的5%得3分，维保费为中标单价金额的5%(不含)-6%得1.5分，维保费为中标单价金额的6%(不含)-7%得1分，维保费为中标单价金额的7%(不含)-8%得0.5分，超出中标单价金额/中标金额的8%或未提供承诺函得0分。</w:t>
            </w:r>
          </w:p>
        </w:tc>
        <w:tc>
          <w:tcPr>
            <w:tcW w:w="2413" w:type="dxa"/>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提供</w:t>
            </w:r>
            <w:r>
              <w:rPr>
                <w:rFonts w:hint="eastAsia" w:ascii="微软雅黑" w:hAnsi="微软雅黑" w:eastAsia="微软雅黑" w:cs="微软雅黑"/>
                <w:sz w:val="21"/>
                <w:szCs w:val="21"/>
                <w:lang w:val="en-US" w:eastAsia="zh-CN"/>
              </w:rPr>
              <w:t>生产厂家</w:t>
            </w:r>
            <w:r>
              <w:rPr>
                <w:rFonts w:hint="eastAsia" w:ascii="微软雅黑" w:hAnsi="微软雅黑" w:eastAsia="微软雅黑" w:cs="微软雅黑"/>
                <w:sz w:val="21"/>
                <w:szCs w:val="21"/>
              </w:rPr>
              <w:t>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jc w:val="center"/>
        </w:trPr>
        <w:tc>
          <w:tcPr>
            <w:tcW w:w="677" w:type="dxa"/>
            <w:vMerge w:val="continue"/>
            <w:vAlign w:val="center"/>
          </w:tcPr>
          <w:p/>
        </w:tc>
        <w:tc>
          <w:tcPr>
            <w:tcW w:w="1062" w:type="dxa"/>
            <w:vMerge w:val="continue"/>
            <w:vAlign w:val="center"/>
          </w:tcPr>
          <w:p/>
        </w:tc>
        <w:tc>
          <w:tcPr>
            <w:tcW w:w="700" w:type="dxa"/>
            <w:vMerge w:val="continue"/>
            <w:vAlign w:val="center"/>
          </w:tcPr>
          <w:p/>
        </w:tc>
        <w:tc>
          <w:tcPr>
            <w:tcW w:w="4900" w:type="dxa"/>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5.质保增值服务</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质量保证期内，除采购人所需零配件均由中标人免费提供之外，中标人承诺免费提供设备所需易损件及耗材的，得3分，其余情况得0分。</w:t>
            </w:r>
          </w:p>
        </w:tc>
        <w:tc>
          <w:tcPr>
            <w:tcW w:w="2413" w:type="dxa"/>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提供承诺函，格式自拟，并加盖投标人公章;该部分内容将作为项目合同附件。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77" w:type="dxa"/>
            <w:vMerge w:val="continue"/>
            <w:vAlign w:val="center"/>
          </w:tcPr>
          <w:p>
            <w:pPr>
              <w:ind w:firstLine="28"/>
              <w:jc w:val="center"/>
              <w:rPr>
                <w:rFonts w:hint="eastAsia" w:ascii="微软雅黑" w:hAnsi="微软雅黑" w:eastAsia="微软雅黑" w:cs="微软雅黑"/>
                <w:sz w:val="21"/>
                <w:szCs w:val="21"/>
              </w:rPr>
            </w:pPr>
          </w:p>
        </w:tc>
        <w:tc>
          <w:tcPr>
            <w:tcW w:w="1062" w:type="dxa"/>
            <w:vMerge w:val="continue"/>
            <w:vAlign w:val="center"/>
          </w:tcPr>
          <w:p>
            <w:pPr>
              <w:ind w:firstLine="28"/>
              <w:jc w:val="center"/>
              <w:rPr>
                <w:rFonts w:hint="eastAsia" w:ascii="微软雅黑" w:hAnsi="微软雅黑" w:eastAsia="微软雅黑" w:cs="微软雅黑"/>
                <w:sz w:val="21"/>
                <w:szCs w:val="21"/>
              </w:rPr>
            </w:pPr>
          </w:p>
        </w:tc>
        <w:tc>
          <w:tcPr>
            <w:tcW w:w="700"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履约能力</w:t>
            </w:r>
          </w:p>
          <w:p>
            <w:pPr>
              <w:jc w:val="cente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val="en-US" w:eastAsia="zh-CN"/>
              </w:rPr>
              <w:t>5</w:t>
            </w:r>
          </w:p>
        </w:tc>
        <w:tc>
          <w:tcPr>
            <w:tcW w:w="4900" w:type="dxa"/>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2021年1月1日至投标截止时间止（以合同签订时间为准)，投标人或所投产品制造商有所投同品牌同型号产品的销售业绩（买方非经销商或代理商），提供一个业绩得1分，本项最多得</w:t>
            </w:r>
            <w:r>
              <w:rPr>
                <w:rFonts w:hint="eastAsia" w:ascii="微软雅黑" w:hAnsi="微软雅黑" w:eastAsia="微软雅黑" w:cs="微软雅黑"/>
                <w:sz w:val="21"/>
                <w:szCs w:val="21"/>
                <w:lang w:val="en-US" w:eastAsia="zh-CN"/>
              </w:rPr>
              <w:t>5</w:t>
            </w:r>
            <w:r>
              <w:rPr>
                <w:rFonts w:hint="eastAsia" w:ascii="微软雅黑" w:hAnsi="微软雅黑" w:eastAsia="微软雅黑" w:cs="微软雅黑"/>
                <w:sz w:val="21"/>
                <w:szCs w:val="21"/>
              </w:rPr>
              <w:t>分，不满足或未提供对应佐证材料的得0分。</w:t>
            </w:r>
          </w:p>
        </w:tc>
        <w:tc>
          <w:tcPr>
            <w:tcW w:w="2413" w:type="dxa"/>
            <w:vAlign w:val="center"/>
          </w:tcPr>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1.提供业绩合同复印件（合同内容至少包含合同首页，产品信息页（内容包含产品型号规格和数量）、签字盖章页）；</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2.业绩合同对应佐证材料：验收合格报告复印件或中标/成交结果公示（公告）复印件或对应业绩合同的付款凭证（转账凭证）复印件，以上三选一提供；</w:t>
            </w:r>
          </w:p>
          <w:p>
            <w:pPr>
              <w:rPr>
                <w:rFonts w:hint="eastAsia" w:ascii="微软雅黑" w:hAnsi="微软雅黑" w:eastAsia="微软雅黑" w:cs="微软雅黑"/>
                <w:sz w:val="21"/>
                <w:szCs w:val="21"/>
              </w:rPr>
            </w:pPr>
            <w:r>
              <w:rPr>
                <w:rFonts w:hint="eastAsia" w:ascii="微软雅黑" w:hAnsi="微软雅黑" w:eastAsia="微软雅黑" w:cs="微软雅黑"/>
                <w:sz w:val="21"/>
                <w:szCs w:val="21"/>
              </w:rPr>
              <w:t>3.同一业绩合同只计分一次。</w:t>
            </w:r>
          </w:p>
        </w:tc>
      </w:tr>
    </w:tbl>
    <w:p>
      <w:pPr>
        <w:snapToGrid w:val="0"/>
        <w:spacing w:line="400" w:lineRule="exact"/>
        <w:ind w:firstLine="465"/>
        <w:rPr>
          <w:rFonts w:hint="eastAsia" w:ascii="微软雅黑" w:hAnsi="微软雅黑" w:eastAsia="微软雅黑" w:cs="微软雅黑"/>
          <w:color w:val="auto"/>
          <w:sz w:val="24"/>
        </w:rPr>
      </w:pPr>
      <w:r>
        <w:rPr>
          <w:rFonts w:hint="eastAsia" w:ascii="微软雅黑" w:hAnsi="微软雅黑" w:eastAsia="微软雅黑" w:cs="微软雅黑"/>
          <w:b/>
          <w:bCs/>
          <w:color w:val="auto"/>
          <w:sz w:val="24"/>
        </w:rPr>
        <w:t>四、无效响应</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（一）投标人不符合规定的资格条件的；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（二）投标人的法定代表人（或其授权代表）或自然人未在采购人限定时间内到达开标现场进行签到的；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（三）投标人所提交的响应文件不按“</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响应文件编制要求”要求签署或盖章；</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（四）投标人的</w:t>
      </w:r>
      <w:r>
        <w:rPr>
          <w:rFonts w:hint="eastAsia" w:ascii="微软雅黑" w:hAnsi="微软雅黑" w:eastAsia="微软雅黑" w:cs="微软雅黑"/>
          <w:color w:val="auto"/>
          <w:sz w:val="24"/>
          <w:szCs w:val="24"/>
          <w:lang w:val="en-US" w:eastAsia="zh-CN"/>
        </w:rPr>
        <w:t>最终</w:t>
      </w:r>
      <w:r>
        <w:rPr>
          <w:rFonts w:hint="eastAsia" w:ascii="微软雅黑" w:hAnsi="微软雅黑" w:eastAsia="微软雅黑" w:cs="微软雅黑"/>
          <w:color w:val="auto"/>
          <w:sz w:val="24"/>
          <w:szCs w:val="24"/>
        </w:rPr>
        <w:t>报价超过采购预算或最高限价的；</w:t>
      </w:r>
    </w:p>
    <w:p>
      <w:pPr>
        <w:snapToGrid w:val="0"/>
        <w:spacing w:line="400" w:lineRule="exact"/>
        <w:ind w:firstLine="465"/>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投标人的</w:t>
      </w:r>
      <w:r>
        <w:rPr>
          <w:rFonts w:hint="eastAsia" w:ascii="微软雅黑" w:hAnsi="微软雅黑" w:eastAsia="微软雅黑" w:cs="微软雅黑"/>
          <w:color w:val="auto"/>
          <w:sz w:val="24"/>
          <w:szCs w:val="24"/>
          <w:lang w:val="en-US" w:eastAsia="zh-CN"/>
        </w:rPr>
        <w:t>最终</w:t>
      </w:r>
      <w:r>
        <w:rPr>
          <w:rFonts w:hint="eastAsia" w:ascii="微软雅黑" w:hAnsi="微软雅黑" w:eastAsia="微软雅黑" w:cs="微软雅黑"/>
          <w:color w:val="auto"/>
          <w:sz w:val="24"/>
          <w:szCs w:val="24"/>
        </w:rPr>
        <w:t>报价</w:t>
      </w:r>
      <w:r>
        <w:rPr>
          <w:rFonts w:hint="eastAsia" w:ascii="微软雅黑" w:hAnsi="微软雅黑" w:eastAsia="微软雅黑" w:cs="微软雅黑"/>
          <w:color w:val="auto"/>
          <w:sz w:val="24"/>
          <w:szCs w:val="24"/>
          <w:lang w:val="en-US" w:eastAsia="zh-CN"/>
        </w:rPr>
        <w:t>被</w:t>
      </w:r>
      <w:r>
        <w:rPr>
          <w:rFonts w:hint="default" w:ascii="微软雅黑" w:hAnsi="微软雅黑" w:eastAsia="微软雅黑" w:cs="微软雅黑"/>
          <w:color w:val="auto"/>
          <w:sz w:val="24"/>
          <w:szCs w:val="24"/>
          <w:lang w:eastAsia="zh-CN"/>
        </w:rPr>
        <w:t>评标小组</w:t>
      </w:r>
      <w:r>
        <w:rPr>
          <w:rFonts w:hint="eastAsia" w:ascii="微软雅黑" w:hAnsi="微软雅黑" w:eastAsia="微软雅黑" w:cs="微软雅黑"/>
          <w:color w:val="auto"/>
          <w:sz w:val="24"/>
          <w:szCs w:val="24"/>
          <w:lang w:val="en-US" w:eastAsia="zh-CN"/>
        </w:rPr>
        <w:t>判定为异常低价的</w:t>
      </w:r>
      <w:r>
        <w:rPr>
          <w:rFonts w:hint="eastAsia" w:ascii="微软雅黑" w:hAnsi="微软雅黑" w:eastAsia="微软雅黑" w:cs="微软雅黑"/>
          <w:color w:val="auto"/>
          <w:sz w:val="24"/>
          <w:szCs w:val="24"/>
          <w:lang w:eastAsia="zh-CN"/>
        </w:rPr>
        <w:t>；</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六</w:t>
      </w:r>
      <w:r>
        <w:rPr>
          <w:rFonts w:hint="eastAsia" w:ascii="微软雅黑" w:hAnsi="微软雅黑" w:eastAsia="微软雅黑" w:cs="微软雅黑"/>
          <w:color w:val="auto"/>
          <w:sz w:val="24"/>
          <w:szCs w:val="24"/>
        </w:rPr>
        <w:t>）法定代表人为同一个人的两个及两个以上法人，母公司、全资子公司及其控股公司，在同一包采购中同时参与</w:t>
      </w:r>
      <w:r>
        <w:rPr>
          <w:rFonts w:hint="eastAsia" w:ascii="微软雅黑" w:hAnsi="微软雅黑" w:eastAsia="微软雅黑" w:cs="微软雅黑"/>
          <w:color w:val="auto"/>
          <w:sz w:val="24"/>
          <w:szCs w:val="24"/>
          <w:lang w:val="en-US" w:eastAsia="zh-CN"/>
        </w:rPr>
        <w:t>投标</w:t>
      </w:r>
      <w:r>
        <w:rPr>
          <w:rFonts w:hint="eastAsia" w:ascii="微软雅黑" w:hAnsi="微软雅黑" w:eastAsia="微软雅黑" w:cs="微软雅黑"/>
          <w:color w:val="auto"/>
          <w:sz w:val="24"/>
          <w:szCs w:val="24"/>
        </w:rPr>
        <w:t>；</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七</w:t>
      </w:r>
      <w:r>
        <w:rPr>
          <w:rFonts w:hint="eastAsia" w:ascii="微软雅黑" w:hAnsi="微软雅黑" w:eastAsia="微软雅黑" w:cs="微软雅黑"/>
          <w:color w:val="auto"/>
          <w:sz w:val="24"/>
          <w:szCs w:val="24"/>
        </w:rPr>
        <w:t>）单位负责人为同一人或者存在直接控股、管理关系的不同投标人，参加同一合同项下的采购活动的；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八</w:t>
      </w:r>
      <w:r>
        <w:rPr>
          <w:rFonts w:hint="eastAsia" w:ascii="微软雅黑" w:hAnsi="微软雅黑" w:eastAsia="微软雅黑" w:cs="微软雅黑"/>
          <w:color w:val="auto"/>
          <w:sz w:val="24"/>
          <w:szCs w:val="24"/>
        </w:rPr>
        <w:t>）为采购项目提供整体设计、规范编制或者项目管理、监理、检测等服务的投标人，再参加该采购项目的</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采购活动；</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九</w:t>
      </w:r>
      <w:r>
        <w:rPr>
          <w:rFonts w:hint="eastAsia" w:ascii="微软雅黑" w:hAnsi="微软雅黑" w:eastAsia="微软雅黑" w:cs="微软雅黑"/>
          <w:color w:val="auto"/>
          <w:sz w:val="24"/>
          <w:szCs w:val="24"/>
        </w:rPr>
        <w:t>）投标人授权有效期不满足</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采购文件要求的；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十</w:t>
      </w:r>
      <w:r>
        <w:rPr>
          <w:rFonts w:hint="eastAsia" w:ascii="微软雅黑" w:hAnsi="微软雅黑" w:eastAsia="微软雅黑" w:cs="微软雅黑"/>
          <w:color w:val="auto"/>
          <w:sz w:val="24"/>
          <w:szCs w:val="24"/>
        </w:rPr>
        <w:t>）投标人响应文件内容有与国家现行法律法规相违背的内容，或附有采购人无法接受的条件；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w:t>
      </w:r>
      <w:r>
        <w:rPr>
          <w:rFonts w:hint="eastAsia" w:ascii="微软雅黑" w:hAnsi="微软雅黑" w:eastAsia="微软雅黑" w:cs="微软雅黑"/>
          <w:color w:val="auto"/>
          <w:sz w:val="24"/>
          <w:szCs w:val="24"/>
          <w:lang w:val="en-US" w:eastAsia="zh-CN"/>
        </w:rPr>
        <w:t>一</w:t>
      </w:r>
      <w:r>
        <w:rPr>
          <w:rFonts w:hint="eastAsia" w:ascii="微软雅黑" w:hAnsi="微软雅黑" w:eastAsia="微软雅黑" w:cs="微软雅黑"/>
          <w:color w:val="auto"/>
          <w:sz w:val="24"/>
          <w:szCs w:val="24"/>
        </w:rPr>
        <w:t>）法律、法规和采购文件规定的</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无效情形。</w:t>
      </w:r>
    </w:p>
    <w:p>
      <w:pPr>
        <w:pStyle w:val="2"/>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15" w:name="_Toc106030891"/>
      <w:bookmarkStart w:id="116" w:name="_Toc10687"/>
      <w:bookmarkStart w:id="117" w:name="_Toc76462336"/>
      <w:bookmarkStart w:id="118" w:name="_Toc12222"/>
      <w:bookmarkStart w:id="119" w:name="_Toc12481"/>
      <w:bookmarkStart w:id="120" w:name="_Toc25723"/>
      <w:r>
        <w:rPr>
          <w:rFonts w:hint="eastAsia" w:ascii="微软雅黑" w:hAnsi="微软雅黑" w:eastAsia="微软雅黑" w:cs="微软雅黑"/>
          <w:color w:val="auto"/>
          <w:sz w:val="24"/>
        </w:rPr>
        <w:t>五、</w:t>
      </w:r>
      <w:bookmarkEnd w:id="115"/>
      <w:bookmarkEnd w:id="116"/>
      <w:bookmarkEnd w:id="117"/>
      <w:bookmarkEnd w:id="118"/>
      <w:r>
        <w:rPr>
          <w:rFonts w:hint="eastAsia" w:ascii="微软雅黑" w:hAnsi="微软雅黑" w:eastAsia="微软雅黑" w:cs="微软雅黑"/>
          <w:color w:val="auto"/>
          <w:sz w:val="24"/>
        </w:rPr>
        <w:t>废标条款</w:t>
      </w:r>
      <w:bookmarkEnd w:id="119"/>
      <w:bookmarkEnd w:id="120"/>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（一）因情况变化，不再符合规定的采购方式适用情形的；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（二）出现影响采购公正的违法、违规行为的；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（三）在采购过程中符合要求的有效投标人不足</w:t>
      </w: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rPr>
        <w:t>家的（挂网公示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大于等于3次的除外）；</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2"/>
        <w:spacing w:before="200" w:after="200" w:line="240" w:lineRule="auto"/>
        <w:jc w:val="center"/>
        <w:rPr>
          <w:rFonts w:hint="eastAsia" w:ascii="微软雅黑" w:hAnsi="微软雅黑" w:eastAsia="微软雅黑" w:cs="微软雅黑"/>
          <w:sz w:val="44"/>
        </w:rPr>
      </w:pPr>
      <w:bookmarkStart w:id="121" w:name="_Toc102227313"/>
      <w:bookmarkStart w:id="122" w:name="_Toc29948"/>
      <w:bookmarkStart w:id="123" w:name="_Toc106030892"/>
      <w:bookmarkStart w:id="124" w:name="_Toc13119"/>
      <w:bookmarkStart w:id="125" w:name="_Toc76462337"/>
      <w:r>
        <w:rPr>
          <w:rFonts w:hint="eastAsia" w:ascii="微软雅黑" w:hAnsi="微软雅黑" w:eastAsia="微软雅黑" w:cs="微软雅黑"/>
          <w:sz w:val="44"/>
        </w:rPr>
        <w:t>第五篇  投标人须知</w:t>
      </w:r>
      <w:bookmarkEnd w:id="121"/>
      <w:bookmarkEnd w:id="122"/>
      <w:bookmarkEnd w:id="123"/>
      <w:bookmarkEnd w:id="124"/>
      <w:bookmarkEnd w:id="125"/>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126" w:name="_Toc20271"/>
      <w:bookmarkStart w:id="127" w:name="_Toc76462338"/>
      <w:bookmarkStart w:id="128" w:name="_Toc342913389"/>
      <w:bookmarkStart w:id="129" w:name="_Toc106030893"/>
      <w:bookmarkStart w:id="130" w:name="_Toc26717"/>
      <w:r>
        <w:rPr>
          <w:rFonts w:hint="eastAsia" w:ascii="微软雅黑" w:hAnsi="微软雅黑" w:eastAsia="微软雅黑" w:cs="微软雅黑"/>
          <w:sz w:val="24"/>
        </w:rPr>
        <w:t>一、公开比选费用</w:t>
      </w:r>
      <w:bookmarkEnd w:id="126"/>
      <w:bookmarkEnd w:id="127"/>
      <w:bookmarkEnd w:id="128"/>
      <w:bookmarkEnd w:id="129"/>
      <w:bookmarkEnd w:id="130"/>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131" w:name="_Toc27891"/>
      <w:bookmarkStart w:id="132" w:name="_Toc76462339"/>
      <w:bookmarkStart w:id="133" w:name="_Toc106030894"/>
      <w:bookmarkStart w:id="134" w:name="_Toc342913391"/>
      <w:bookmarkStart w:id="135" w:name="_Toc15712"/>
      <w:r>
        <w:rPr>
          <w:rFonts w:hint="eastAsia" w:ascii="微软雅黑" w:hAnsi="微软雅黑" w:eastAsia="微软雅黑" w:cs="微软雅黑"/>
          <w:sz w:val="24"/>
        </w:rPr>
        <w:t>二、公开比选采购文件</w:t>
      </w:r>
      <w:bookmarkEnd w:id="131"/>
      <w:bookmarkEnd w:id="132"/>
      <w:bookmarkEnd w:id="133"/>
      <w:bookmarkEnd w:id="134"/>
      <w:bookmarkEnd w:id="135"/>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（一）公开比选采购文件由采购邀请书、项目服务需求、投标人须知、项目商务需求、比选程序及方法、评审标准、无效响应和采购终止、投标人须知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（三）公开比选采购文件的解释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36" w:name="_Toc318159349"/>
      <w:bookmarkStart w:id="137" w:name="_Toc318159780"/>
      <w:bookmarkStart w:id="138" w:name="_Toc318159160"/>
      <w:bookmarkStart w:id="139" w:name="_Toc318166429"/>
    </w:p>
    <w:bookmarkEnd w:id="136"/>
    <w:bookmarkEnd w:id="137"/>
    <w:bookmarkEnd w:id="138"/>
    <w:bookmarkEnd w:id="139"/>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140" w:name="_Toc102227318"/>
      <w:bookmarkStart w:id="141" w:name="_Toc106030895"/>
      <w:bookmarkStart w:id="142" w:name="_Toc179714297"/>
      <w:bookmarkStart w:id="143" w:name="_Toc342913392"/>
      <w:bookmarkStart w:id="144" w:name="_Toc26007"/>
      <w:bookmarkStart w:id="145" w:name="_Toc20510"/>
      <w:bookmarkStart w:id="146" w:name="_Toc76462340"/>
      <w:r>
        <w:rPr>
          <w:rFonts w:hint="eastAsia" w:ascii="微软雅黑" w:hAnsi="微软雅黑" w:eastAsia="微软雅黑" w:cs="微软雅黑"/>
          <w:sz w:val="24"/>
        </w:rPr>
        <w:t>三、比选要求</w:t>
      </w:r>
      <w:bookmarkEnd w:id="140"/>
      <w:bookmarkEnd w:id="141"/>
      <w:bookmarkEnd w:id="142"/>
      <w:bookmarkEnd w:id="143"/>
      <w:bookmarkEnd w:id="144"/>
      <w:bookmarkEnd w:id="145"/>
      <w:bookmarkEnd w:id="14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响应文件按公开比选采购文件“第六篇响应文件编制要求”要求签署或盖章。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147" w:name="_Toc76462341"/>
      <w:bookmarkStart w:id="148" w:name="_Toc6435"/>
      <w:bookmarkStart w:id="149" w:name="_Toc106030896"/>
      <w:bookmarkStart w:id="150" w:name="_Toc32166"/>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47"/>
      <w:bookmarkEnd w:id="148"/>
      <w:bookmarkEnd w:id="149"/>
      <w:bookmarkEnd w:id="150"/>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拒绝与采购人签订合同的，采购人可以按照评标报告推荐的成交候选投标人顺序，确定排名下一位的候选人为</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，也可以重新开展采购活动。</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151" w:name="_Toc21532"/>
      <w:bookmarkStart w:id="152" w:name="_Toc106030897"/>
      <w:bookmarkStart w:id="153" w:name="_Toc342913395"/>
      <w:bookmarkStart w:id="154" w:name="_Toc102227321"/>
      <w:bookmarkStart w:id="155" w:name="_Toc2729"/>
      <w:bookmarkStart w:id="156" w:name="_Toc76462342"/>
      <w:r>
        <w:rPr>
          <w:rFonts w:hint="eastAsia" w:ascii="微软雅黑" w:hAnsi="微软雅黑" w:eastAsia="微软雅黑" w:cs="微软雅黑"/>
          <w:sz w:val="24"/>
        </w:rPr>
        <w:t>五、成交通知</w:t>
      </w:r>
      <w:bookmarkEnd w:id="151"/>
      <w:bookmarkEnd w:id="152"/>
      <w:bookmarkEnd w:id="153"/>
      <w:bookmarkEnd w:id="154"/>
      <w:bookmarkEnd w:id="155"/>
      <w:bookmarkEnd w:id="15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157" w:name="_Toc76462343"/>
      <w:bookmarkStart w:id="158" w:name="_Toc21448"/>
      <w:bookmarkStart w:id="159" w:name="_Toc4796"/>
      <w:bookmarkStart w:id="160" w:name="_Toc106030898"/>
      <w:r>
        <w:rPr>
          <w:rFonts w:hint="eastAsia" w:ascii="微软雅黑" w:hAnsi="微软雅黑" w:eastAsia="微软雅黑" w:cs="微软雅黑"/>
          <w:sz w:val="24"/>
        </w:rPr>
        <w:t>六、质疑处理</w:t>
      </w:r>
      <w:bookmarkEnd w:id="157"/>
      <w:bookmarkEnd w:id="158"/>
      <w:bookmarkEnd w:id="159"/>
      <w:bookmarkEnd w:id="16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61" w:name="_Toc106030899"/>
      <w:bookmarkStart w:id="162" w:name="_Toc76462344"/>
      <w:bookmarkStart w:id="163" w:name="_Toc28334"/>
    </w:p>
    <w:p>
      <w:pPr>
        <w:pStyle w:val="2"/>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64" w:name="_Toc23896"/>
      <w:r>
        <w:rPr>
          <w:rFonts w:hint="eastAsia" w:ascii="微软雅黑" w:hAnsi="微软雅黑" w:eastAsia="微软雅黑" w:cs="微软雅黑"/>
          <w:sz w:val="24"/>
        </w:rPr>
        <w:t>七、</w:t>
      </w:r>
      <w:bookmarkEnd w:id="161"/>
      <w:bookmarkEnd w:id="162"/>
      <w:bookmarkEnd w:id="163"/>
      <w:bookmarkStart w:id="165" w:name="_Toc102227322"/>
      <w:bookmarkStart w:id="166" w:name="_Toc3372"/>
      <w:bookmarkStart w:id="167" w:name="_Toc76462346"/>
      <w:bookmarkStart w:id="168" w:name="_Toc106030901"/>
      <w:bookmarkStart w:id="169" w:name="_Toc342913396"/>
      <w:bookmarkStart w:id="170" w:name="_Toc12789059"/>
      <w:bookmarkStart w:id="171" w:name="_Toc11641055"/>
      <w:r>
        <w:rPr>
          <w:rFonts w:hint="eastAsia" w:ascii="微软雅黑" w:hAnsi="微软雅黑" w:eastAsia="微软雅黑" w:cs="微软雅黑"/>
          <w:sz w:val="24"/>
        </w:rPr>
        <w:t>签订</w:t>
      </w:r>
      <w:bookmarkEnd w:id="165"/>
      <w:r>
        <w:rPr>
          <w:rFonts w:hint="eastAsia" w:ascii="微软雅黑" w:hAnsi="微软雅黑" w:eastAsia="微软雅黑" w:cs="微软雅黑"/>
          <w:sz w:val="24"/>
        </w:rPr>
        <w:t>合同</w:t>
      </w:r>
      <w:bookmarkEnd w:id="164"/>
      <w:bookmarkEnd w:id="166"/>
      <w:bookmarkEnd w:id="167"/>
      <w:bookmarkEnd w:id="168"/>
      <w:bookmarkEnd w:id="169"/>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70"/>
      <w:bookmarkEnd w:id="171"/>
    </w:p>
    <w:p>
      <w:pPr>
        <w:pStyle w:val="2"/>
        <w:spacing w:before="200" w:after="200" w:line="240" w:lineRule="auto"/>
        <w:jc w:val="center"/>
        <w:rPr>
          <w:rFonts w:hint="eastAsia" w:ascii="微软雅黑" w:hAnsi="微软雅黑" w:eastAsia="微软雅黑" w:cs="微软雅黑"/>
          <w:b/>
          <w:sz w:val="44"/>
          <w:szCs w:val="20"/>
        </w:rPr>
      </w:pPr>
      <w:bookmarkStart w:id="172" w:name="_Hlt41879464"/>
      <w:bookmarkEnd w:id="172"/>
      <w:bookmarkStart w:id="173" w:name="_Toc27984"/>
      <w:bookmarkStart w:id="174" w:name="_Toc21717"/>
      <w:bookmarkStart w:id="175" w:name="_Toc76462349"/>
      <w:bookmarkStart w:id="176" w:name="_Toc106030905"/>
      <w:r>
        <w:rPr>
          <w:rFonts w:hint="eastAsia" w:ascii="微软雅黑" w:hAnsi="微软雅黑" w:eastAsia="微软雅黑" w:cs="微软雅黑"/>
          <w:b/>
          <w:sz w:val="44"/>
          <w:szCs w:val="20"/>
        </w:rPr>
        <w:t>第六篇  响应文件编制要求</w:t>
      </w:r>
      <w:bookmarkEnd w:id="173"/>
      <w:bookmarkEnd w:id="174"/>
      <w:bookmarkEnd w:id="175"/>
      <w:bookmarkEnd w:id="17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（二）其他资料（格式自定）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lang w:eastAsia="zh-CN"/>
        </w:rPr>
      </w:pPr>
      <w:r>
        <w:rPr>
          <w:rFonts w:hint="eastAsia" w:ascii="微软雅黑" w:hAnsi="微软雅黑" w:eastAsia="微软雅黑" w:cs="微软雅黑"/>
          <w:sz w:val="24"/>
          <w:szCs w:val="24"/>
        </w:rPr>
        <w:t>其他与项目有关的资料</w:t>
      </w: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1"/>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4"/>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3"/>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65CFF"/>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031A07"/>
    <w:rsid w:val="026C7369"/>
    <w:rsid w:val="030620E3"/>
    <w:rsid w:val="04631E70"/>
    <w:rsid w:val="05986724"/>
    <w:rsid w:val="05B83278"/>
    <w:rsid w:val="079B568B"/>
    <w:rsid w:val="07F103E0"/>
    <w:rsid w:val="089E34BE"/>
    <w:rsid w:val="092E6FC0"/>
    <w:rsid w:val="093441FC"/>
    <w:rsid w:val="0BA95C98"/>
    <w:rsid w:val="0BB87E47"/>
    <w:rsid w:val="0D1F249B"/>
    <w:rsid w:val="0D26388C"/>
    <w:rsid w:val="0D2D45FA"/>
    <w:rsid w:val="0F4F0F37"/>
    <w:rsid w:val="0FF64C5B"/>
    <w:rsid w:val="1009316D"/>
    <w:rsid w:val="128D10D0"/>
    <w:rsid w:val="1317485C"/>
    <w:rsid w:val="137173BB"/>
    <w:rsid w:val="13C7366D"/>
    <w:rsid w:val="143E2110"/>
    <w:rsid w:val="147376A7"/>
    <w:rsid w:val="147A5E14"/>
    <w:rsid w:val="14D11CFB"/>
    <w:rsid w:val="15935DB5"/>
    <w:rsid w:val="15BB3449"/>
    <w:rsid w:val="16404E7B"/>
    <w:rsid w:val="167215B9"/>
    <w:rsid w:val="168A64CE"/>
    <w:rsid w:val="17324323"/>
    <w:rsid w:val="17A1211B"/>
    <w:rsid w:val="18ED7A84"/>
    <w:rsid w:val="19255AF5"/>
    <w:rsid w:val="1A7E6296"/>
    <w:rsid w:val="1E9130D7"/>
    <w:rsid w:val="1F0D01CA"/>
    <w:rsid w:val="1FB21338"/>
    <w:rsid w:val="21226BB2"/>
    <w:rsid w:val="21864056"/>
    <w:rsid w:val="222348FC"/>
    <w:rsid w:val="22F860AB"/>
    <w:rsid w:val="23DB3147"/>
    <w:rsid w:val="242C5890"/>
    <w:rsid w:val="2486441F"/>
    <w:rsid w:val="25013478"/>
    <w:rsid w:val="25A07F04"/>
    <w:rsid w:val="263535D3"/>
    <w:rsid w:val="28426BC2"/>
    <w:rsid w:val="2863744A"/>
    <w:rsid w:val="29601F8B"/>
    <w:rsid w:val="296F02CD"/>
    <w:rsid w:val="2AA01F44"/>
    <w:rsid w:val="2B712B53"/>
    <w:rsid w:val="2C43216E"/>
    <w:rsid w:val="2CD472B8"/>
    <w:rsid w:val="2DB02B6B"/>
    <w:rsid w:val="2E966F2B"/>
    <w:rsid w:val="2EB54030"/>
    <w:rsid w:val="300C58E0"/>
    <w:rsid w:val="30607DAE"/>
    <w:rsid w:val="31093DAE"/>
    <w:rsid w:val="31DA5A58"/>
    <w:rsid w:val="32EF600F"/>
    <w:rsid w:val="32FD7152"/>
    <w:rsid w:val="332D1E43"/>
    <w:rsid w:val="33673EF7"/>
    <w:rsid w:val="35680ADC"/>
    <w:rsid w:val="361F2D7D"/>
    <w:rsid w:val="37556B60"/>
    <w:rsid w:val="38CD7FDC"/>
    <w:rsid w:val="3ACE5D4F"/>
    <w:rsid w:val="3C55524B"/>
    <w:rsid w:val="3C740F54"/>
    <w:rsid w:val="3CCE1388"/>
    <w:rsid w:val="3DF6488D"/>
    <w:rsid w:val="3F1C71CA"/>
    <w:rsid w:val="406334F2"/>
    <w:rsid w:val="406D5057"/>
    <w:rsid w:val="409F14A1"/>
    <w:rsid w:val="415F6EA3"/>
    <w:rsid w:val="41C23D04"/>
    <w:rsid w:val="41E22EB6"/>
    <w:rsid w:val="446528DF"/>
    <w:rsid w:val="44890FF5"/>
    <w:rsid w:val="44F64ED7"/>
    <w:rsid w:val="452C7897"/>
    <w:rsid w:val="46151D23"/>
    <w:rsid w:val="46BB1B1D"/>
    <w:rsid w:val="46D026EE"/>
    <w:rsid w:val="475E104C"/>
    <w:rsid w:val="47AA1B14"/>
    <w:rsid w:val="47DF47C8"/>
    <w:rsid w:val="47E44DA2"/>
    <w:rsid w:val="494C6B8D"/>
    <w:rsid w:val="49687C7C"/>
    <w:rsid w:val="497B7CB3"/>
    <w:rsid w:val="4A8845CE"/>
    <w:rsid w:val="4AE01270"/>
    <w:rsid w:val="4B2D12E0"/>
    <w:rsid w:val="4BEB6B31"/>
    <w:rsid w:val="4CAB5FE1"/>
    <w:rsid w:val="4D06649A"/>
    <w:rsid w:val="4DD36371"/>
    <w:rsid w:val="4EEC1F3B"/>
    <w:rsid w:val="4F070047"/>
    <w:rsid w:val="4F3C244F"/>
    <w:rsid w:val="4FCD30B4"/>
    <w:rsid w:val="50067945"/>
    <w:rsid w:val="5115115D"/>
    <w:rsid w:val="521E4A24"/>
    <w:rsid w:val="52D92ACB"/>
    <w:rsid w:val="53B4776F"/>
    <w:rsid w:val="53DF1E3A"/>
    <w:rsid w:val="540F25CE"/>
    <w:rsid w:val="545B425C"/>
    <w:rsid w:val="558E730F"/>
    <w:rsid w:val="573C43EC"/>
    <w:rsid w:val="57857077"/>
    <w:rsid w:val="58EA1C45"/>
    <w:rsid w:val="59A45271"/>
    <w:rsid w:val="59D52FEA"/>
    <w:rsid w:val="5CA67F0E"/>
    <w:rsid w:val="5DAD4E7C"/>
    <w:rsid w:val="5E16050E"/>
    <w:rsid w:val="5E3D2C1E"/>
    <w:rsid w:val="5EE04623"/>
    <w:rsid w:val="5F7C4D42"/>
    <w:rsid w:val="60CB5C8F"/>
    <w:rsid w:val="61743609"/>
    <w:rsid w:val="61DB1F11"/>
    <w:rsid w:val="6379050D"/>
    <w:rsid w:val="648E3C9A"/>
    <w:rsid w:val="64DA4767"/>
    <w:rsid w:val="65170F5B"/>
    <w:rsid w:val="65215328"/>
    <w:rsid w:val="670A099E"/>
    <w:rsid w:val="68BD663A"/>
    <w:rsid w:val="68CA1C56"/>
    <w:rsid w:val="692F74C0"/>
    <w:rsid w:val="696405DD"/>
    <w:rsid w:val="69BE2355"/>
    <w:rsid w:val="6B75107A"/>
    <w:rsid w:val="6D5236ED"/>
    <w:rsid w:val="6F7E3D26"/>
    <w:rsid w:val="6FE969BF"/>
    <w:rsid w:val="701245F9"/>
    <w:rsid w:val="71175C34"/>
    <w:rsid w:val="721C10A9"/>
    <w:rsid w:val="74D70DF7"/>
    <w:rsid w:val="750950F5"/>
    <w:rsid w:val="750D16CF"/>
    <w:rsid w:val="75282A69"/>
    <w:rsid w:val="773622B4"/>
    <w:rsid w:val="780B6D9F"/>
    <w:rsid w:val="789F3DA6"/>
    <w:rsid w:val="78A52377"/>
    <w:rsid w:val="79082185"/>
    <w:rsid w:val="79D7056D"/>
    <w:rsid w:val="7A6F77AB"/>
    <w:rsid w:val="7ABA3FBA"/>
    <w:rsid w:val="7B5B7497"/>
    <w:rsid w:val="7BEF5F10"/>
    <w:rsid w:val="7C745D1B"/>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45"/>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2">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72"/>
    <w:qFormat/>
    <w:uiPriority w:val="0"/>
    <w:pPr>
      <w:keepNext/>
      <w:keepLines/>
      <w:spacing w:before="260" w:after="260" w:line="413" w:lineRule="auto"/>
      <w:outlineLvl w:val="2"/>
    </w:pPr>
    <w:rPr>
      <w:b/>
      <w:sz w:val="32"/>
    </w:rPr>
  </w:style>
  <w:style w:type="paragraph" w:styleId="5">
    <w:name w:val="heading 4"/>
    <w:basedOn w:val="1"/>
    <w:next w:val="1"/>
    <w:qFormat/>
    <w:uiPriority w:val="0"/>
    <w:pPr>
      <w:keepNext/>
      <w:keepLines/>
      <w:spacing w:before="280" w:after="290" w:line="372" w:lineRule="auto"/>
      <w:outlineLvl w:val="3"/>
    </w:pPr>
    <w:rPr>
      <w:rFonts w:ascii="Arial" w:hAnsi="Arial" w:eastAsia="黑体"/>
      <w:b/>
    </w:rPr>
  </w:style>
  <w:style w:type="paragraph" w:styleId="6">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7">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8">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9">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0">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adjustRightInd w:val="0"/>
      <w:snapToGrid w:val="0"/>
      <w:spacing w:line="360" w:lineRule="auto"/>
      <w:ind w:left="100" w:leftChars="400" w:hanging="200" w:hangingChars="200"/>
    </w:pPr>
    <w:rPr>
      <w:sz w:val="24"/>
    </w:rPr>
  </w:style>
  <w:style w:type="paragraph" w:styleId="12">
    <w:name w:val="toc 7"/>
    <w:basedOn w:val="1"/>
    <w:next w:val="1"/>
    <w:qFormat/>
    <w:uiPriority w:val="0"/>
    <w:pPr>
      <w:ind w:left="2520" w:leftChars="1200"/>
    </w:pPr>
  </w:style>
  <w:style w:type="paragraph" w:styleId="13">
    <w:name w:val="List Number 2"/>
    <w:basedOn w:val="1"/>
    <w:qFormat/>
    <w:uiPriority w:val="0"/>
    <w:pPr>
      <w:numPr>
        <w:ilvl w:val="0"/>
        <w:numId w:val="1"/>
      </w:numPr>
      <w:tabs>
        <w:tab w:val="left" w:pos="780"/>
        <w:tab w:val="clear" w:pos="425"/>
      </w:tabs>
      <w:spacing w:line="360" w:lineRule="auto"/>
    </w:pPr>
    <w:rPr>
      <w:sz w:val="24"/>
    </w:rPr>
  </w:style>
  <w:style w:type="paragraph" w:styleId="14">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5">
    <w:name w:val="Normal Indent"/>
    <w:basedOn w:val="1"/>
    <w:qFormat/>
    <w:uiPriority w:val="0"/>
    <w:pPr>
      <w:adjustRightInd w:val="0"/>
      <w:snapToGrid w:val="0"/>
      <w:spacing w:line="360" w:lineRule="auto"/>
      <w:ind w:firstLine="420"/>
    </w:pPr>
    <w:rPr>
      <w:sz w:val="24"/>
    </w:rPr>
  </w:style>
  <w:style w:type="paragraph" w:styleId="16">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7">
    <w:name w:val="Document Map"/>
    <w:basedOn w:val="1"/>
    <w:qFormat/>
    <w:uiPriority w:val="0"/>
    <w:pPr>
      <w:shd w:val="clear" w:color="auto" w:fill="000080"/>
    </w:pPr>
  </w:style>
  <w:style w:type="paragraph" w:styleId="18">
    <w:name w:val="toa heading"/>
    <w:basedOn w:val="1"/>
    <w:next w:val="1"/>
    <w:qFormat/>
    <w:uiPriority w:val="0"/>
    <w:pPr>
      <w:spacing w:before="120"/>
    </w:pPr>
    <w:rPr>
      <w:rFonts w:ascii="Arial" w:hAnsi="Arial"/>
      <w:sz w:val="24"/>
    </w:rPr>
  </w:style>
  <w:style w:type="paragraph" w:styleId="19">
    <w:name w:val="annotation text"/>
    <w:basedOn w:val="1"/>
    <w:link w:val="73"/>
    <w:qFormat/>
    <w:uiPriority w:val="0"/>
    <w:pPr>
      <w:adjustRightInd w:val="0"/>
      <w:spacing w:line="360" w:lineRule="atLeast"/>
      <w:jc w:val="left"/>
      <w:textAlignment w:val="baseline"/>
    </w:pPr>
    <w:rPr>
      <w:kern w:val="0"/>
      <w:sz w:val="24"/>
    </w:rPr>
  </w:style>
  <w:style w:type="paragraph" w:styleId="20">
    <w:name w:val="Body Text 3"/>
    <w:basedOn w:val="1"/>
    <w:qFormat/>
    <w:uiPriority w:val="0"/>
    <w:pPr>
      <w:adjustRightInd w:val="0"/>
      <w:snapToGrid w:val="0"/>
      <w:spacing w:after="120" w:line="360" w:lineRule="auto"/>
    </w:pPr>
    <w:rPr>
      <w:sz w:val="16"/>
    </w:rPr>
  </w:style>
  <w:style w:type="paragraph" w:styleId="21">
    <w:name w:val="List Bullet 3"/>
    <w:basedOn w:val="1"/>
    <w:qFormat/>
    <w:uiPriority w:val="0"/>
    <w:pPr>
      <w:numPr>
        <w:ilvl w:val="0"/>
        <w:numId w:val="3"/>
      </w:numPr>
      <w:adjustRightInd w:val="0"/>
      <w:snapToGrid w:val="0"/>
      <w:spacing w:line="360" w:lineRule="auto"/>
    </w:pPr>
    <w:rPr>
      <w:sz w:val="24"/>
    </w:rPr>
  </w:style>
  <w:style w:type="paragraph" w:styleId="22">
    <w:name w:val="Body Text"/>
    <w:basedOn w:val="1"/>
    <w:next w:val="1"/>
    <w:qFormat/>
    <w:uiPriority w:val="0"/>
    <w:rPr>
      <w:rFonts w:ascii="仿宋_GB2312" w:eastAsia="仿宋_GB2312"/>
      <w:sz w:val="32"/>
    </w:rPr>
  </w:style>
  <w:style w:type="paragraph" w:styleId="23">
    <w:name w:val="Body Text Indent"/>
    <w:basedOn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6"/>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19"/>
    <w:next w:val="19"/>
    <w:link w:val="78"/>
    <w:qFormat/>
    <w:uiPriority w:val="0"/>
    <w:pPr>
      <w:adjustRightInd/>
      <w:spacing w:line="240" w:lineRule="auto"/>
      <w:textAlignment w:val="auto"/>
    </w:pPr>
  </w:style>
  <w:style w:type="paragraph" w:styleId="56">
    <w:name w:val="Body Text First Indent"/>
    <w:basedOn w:val="22"/>
    <w:next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2"/>
    <w:qFormat/>
    <w:uiPriority w:val="0"/>
    <w:rPr>
      <w:rFonts w:ascii="Arial" w:hAnsi="Arial" w:eastAsia="黑体"/>
      <w:b/>
      <w:kern w:val="2"/>
      <w:sz w:val="32"/>
    </w:rPr>
  </w:style>
  <w:style w:type="character" w:customStyle="1" w:styleId="72">
    <w:name w:val="标题 3 字符"/>
    <w:link w:val="4"/>
    <w:qFormat/>
    <w:uiPriority w:val="0"/>
    <w:rPr>
      <w:rFonts w:eastAsia="宋体"/>
      <w:b/>
      <w:kern w:val="2"/>
      <w:sz w:val="32"/>
      <w:lang w:val="en-US" w:eastAsia="zh-CN"/>
    </w:rPr>
  </w:style>
  <w:style w:type="character" w:customStyle="1" w:styleId="73">
    <w:name w:val="批注文字 字符"/>
    <w:link w:val="19"/>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4"/>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2"/>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5"/>
    <w:qFormat/>
    <w:uiPriority w:val="0"/>
    <w:pPr>
      <w:numPr>
        <w:ilvl w:val="0"/>
        <w:numId w:val="8"/>
      </w:numPr>
      <w:spacing w:before="560" w:line="400" w:lineRule="exact"/>
      <w:jc w:val="center"/>
      <w:outlineLvl w:val="0"/>
    </w:pPr>
    <w:rPr>
      <w:b w:val="0"/>
      <w:sz w:val="44"/>
    </w:rPr>
  </w:style>
  <w:style w:type="paragraph" w:customStyle="1" w:styleId="142">
    <w:name w:val="内容标题"/>
    <w:basedOn w:val="17"/>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7"/>
    <w:qFormat/>
    <w:uiPriority w:val="0"/>
    <w:rPr>
      <w:rFonts w:ascii="宋体" w:hAnsi="Tahoma"/>
    </w:rPr>
  </w:style>
  <w:style w:type="paragraph" w:customStyle="1" w:styleId="148">
    <w:name w:val="样式 标题 6第五层条 + 三号 段前: 0.5 行"/>
    <w:basedOn w:val="7"/>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5"/>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4"/>
    <w:qFormat/>
    <w:uiPriority w:val="0"/>
    <w:pPr>
      <w:numPr>
        <w:ilvl w:val="2"/>
        <w:numId w:val="2"/>
      </w:numPr>
      <w:tabs>
        <w:tab w:val="left" w:pos="709"/>
        <w:tab w:val="left" w:pos="1620"/>
      </w:tabs>
    </w:pPr>
  </w:style>
  <w:style w:type="paragraph" w:customStyle="1" w:styleId="176">
    <w:name w:val="样式4"/>
    <w:basedOn w:val="5"/>
    <w:qFormat/>
    <w:uiPriority w:val="0"/>
    <w:pPr>
      <w:adjustRightInd w:val="0"/>
      <w:snapToGrid w:val="0"/>
    </w:pPr>
  </w:style>
  <w:style w:type="paragraph" w:customStyle="1" w:styleId="177">
    <w:name w:val="摘要"/>
    <w:basedOn w:val="1"/>
    <w:next w:val="2"/>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5"/>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 w:type="character" w:customStyle="1" w:styleId="245">
    <w:name w:val="NormalCharacter"/>
    <w:link w:val="1"/>
    <w:semiHidden/>
    <w:qFormat/>
    <w:uiPriority w:val="0"/>
    <w:rPr>
      <w:rFonts w:ascii="Times New Roman" w:hAnsi="Times New Roman" w:eastAsia="宋体" w:cs="Times New Roman"/>
      <w:kern w:val="2"/>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13</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Administrator</cp:lastModifiedBy>
  <cp:lastPrinted>2015-03-25T02:14:00Z</cp:lastPrinted>
  <dcterms:modified xsi:type="dcterms:W3CDTF">2026-10-13T02:54:36Z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283FCDFCD9EA43CDA71F413D0C3C232C</vt:lpwstr>
  </property>
</Properties>
</file>