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76462332"/>
      <w:bookmarkStart w:id="1" w:name="_Toc6692"/>
      <w:bookmarkStart w:id="2" w:name="_Toc106030887"/>
      <w:bookmarkStart w:id="3" w:name="OLE_LINK1"/>
      <w:bookmarkStart w:id="4" w:name="_Toc765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YXX260066</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移动手持终端设备(PDA)</w:t>
      </w:r>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2"/>
        <w:rPr>
          <w:rFonts w:hint="eastAsia"/>
          <w:color w:val="auto"/>
        </w:rPr>
      </w:pPr>
    </w:p>
    <w:p>
      <w:pPr>
        <w:pStyle w:val="22"/>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3</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2"/>
        <w:spacing w:before="200" w:after="200" w:line="240" w:lineRule="auto"/>
        <w:jc w:val="center"/>
        <w:rPr>
          <w:rFonts w:hint="eastAsia" w:ascii="微软雅黑" w:hAnsi="微软雅黑" w:eastAsia="微软雅黑" w:cs="微软雅黑"/>
          <w:color w:val="auto"/>
          <w:sz w:val="44"/>
        </w:rPr>
      </w:pPr>
      <w:bookmarkStart w:id="6" w:name="_Toc106030870"/>
      <w:bookmarkStart w:id="7" w:name="_Toc26011"/>
      <w:bookmarkStart w:id="8" w:name="_Toc24037"/>
      <w:bookmarkStart w:id="9" w:name="_Toc11641050"/>
      <w:bookmarkStart w:id="10" w:name="_Toc12789052"/>
      <w:bookmarkStart w:id="11" w:name="_Toc76462316"/>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移动手持终端设备(PDA)</w:t>
      </w:r>
      <w:r>
        <w:rPr>
          <w:rFonts w:hint="eastAsia" w:ascii="微软雅黑" w:hAnsi="微软雅黑" w:eastAsia="微软雅黑" w:cs="微软雅黑"/>
          <w:color w:val="auto"/>
          <w:sz w:val="24"/>
          <w:szCs w:val="24"/>
        </w:rPr>
        <w:t>项目进行公开比选采购。欢迎有资格的投标人前来参与。</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23226"/>
      <w:bookmarkStart w:id="13" w:name="_Toc106030871"/>
      <w:bookmarkStart w:id="14" w:name="_Toc3856"/>
      <w:bookmarkStart w:id="15" w:name="_Toc76462317"/>
      <w:bookmarkStart w:id="16" w:name="_Toc313893526"/>
      <w:bookmarkStart w:id="17" w:name="_Toc317775175"/>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635"/>
        <w:gridCol w:w="1448"/>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76462318"/>
            <w:bookmarkStart w:id="19" w:name="_Toc106030872"/>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95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lang w:val="en-US" w:eastAsia="zh-CN"/>
              </w:rPr>
              <w:t>单价</w:t>
            </w:r>
            <w:r>
              <w:rPr>
                <w:rFonts w:hint="eastAsia" w:ascii="微软雅黑" w:hAnsi="微软雅黑" w:eastAsia="微软雅黑" w:cs="微软雅黑"/>
                <w:b/>
                <w:bCs/>
                <w:color w:val="auto"/>
                <w:kern w:val="0"/>
                <w:sz w:val="21"/>
                <w:szCs w:val="24"/>
              </w:rPr>
              <w:t>最高限价</w:t>
            </w:r>
          </w:p>
        </w:tc>
        <w:tc>
          <w:tcPr>
            <w:tcW w:w="84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YXX</w:t>
            </w:r>
            <w:bookmarkStart w:id="197" w:name="_GoBack"/>
            <w:bookmarkEnd w:id="197"/>
            <w:r>
              <w:rPr>
                <w:rFonts w:hint="eastAsia" w:ascii="微软雅黑" w:hAnsi="微软雅黑" w:eastAsia="微软雅黑" w:cs="微软雅黑"/>
                <w:color w:val="auto"/>
                <w:kern w:val="0"/>
                <w:sz w:val="21"/>
                <w:szCs w:val="24"/>
                <w:lang w:val="en-US" w:eastAsia="zh-CN"/>
              </w:rPr>
              <w:t>260066</w:t>
            </w:r>
          </w:p>
        </w:tc>
        <w:tc>
          <w:tcPr>
            <w:tcW w:w="16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移动手持终端设备(PDA)</w:t>
            </w:r>
          </w:p>
        </w:tc>
        <w:tc>
          <w:tcPr>
            <w:tcW w:w="9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3000元/台</w:t>
            </w:r>
          </w:p>
        </w:tc>
        <w:tc>
          <w:tcPr>
            <w:tcW w:w="84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 w:name="_Toc9755"/>
      <w:bookmarkStart w:id="22" w:name="_Toc5097"/>
      <w:r>
        <w:rPr>
          <w:rFonts w:hint="eastAsia" w:ascii="微软雅黑" w:hAnsi="微软雅黑" w:eastAsia="微软雅黑" w:cs="微软雅黑"/>
          <w:color w:val="auto"/>
          <w:sz w:val="24"/>
        </w:rPr>
        <w:t>二、</w:t>
      </w:r>
      <w:bookmarkEnd w:id="18"/>
      <w:bookmarkEnd w:id="19"/>
      <w:bookmarkEnd w:id="21"/>
      <w:bookmarkStart w:id="23" w:name="_Toc106030873"/>
      <w:bookmarkStart w:id="24" w:name="_Toc4480"/>
      <w:bookmarkStart w:id="25" w:name="_Toc76462319"/>
      <w:r>
        <w:rPr>
          <w:rFonts w:hint="eastAsia" w:ascii="微软雅黑" w:hAnsi="微软雅黑" w:eastAsia="微软雅黑" w:cs="微软雅黑"/>
          <w:color w:val="auto"/>
          <w:sz w:val="24"/>
        </w:rPr>
        <w:t>投标人资格条件</w:t>
      </w:r>
      <w:bookmarkEnd w:id="22"/>
      <w:bookmarkEnd w:id="23"/>
      <w:bookmarkEnd w:id="24"/>
      <w:bookmarkEnd w:id="2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6" w:name="_Toc106030874"/>
      <w:bookmarkStart w:id="27" w:name="_Toc76462320"/>
      <w:bookmarkStart w:id="28" w:name="_Toc27954"/>
      <w:r>
        <w:rPr>
          <w:rFonts w:hint="eastAsia" w:ascii="微软雅黑" w:hAnsi="微软雅黑" w:eastAsia="微软雅黑" w:cs="微软雅黑"/>
          <w:color w:val="auto"/>
          <w:sz w:val="24"/>
          <w:szCs w:val="24"/>
          <w:lang w:val="en-US" w:eastAsia="zh-CN"/>
        </w:rPr>
        <w:t>无</w:t>
      </w:r>
      <w:r>
        <w:rPr>
          <w:rFonts w:hint="eastAsia" w:ascii="微软雅黑" w:hAnsi="微软雅黑" w:eastAsia="微软雅黑" w:cs="微软雅黑"/>
          <w:color w:val="auto"/>
          <w:sz w:val="24"/>
          <w:szCs w:val="24"/>
        </w:rPr>
        <w:t>。</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9" w:name="_Toc10792"/>
      <w:r>
        <w:rPr>
          <w:rFonts w:hint="eastAsia" w:ascii="微软雅黑" w:hAnsi="微软雅黑" w:eastAsia="微软雅黑" w:cs="微软雅黑"/>
          <w:color w:val="auto"/>
          <w:sz w:val="24"/>
        </w:rPr>
        <w:t>三、比选有关说明</w:t>
      </w:r>
      <w:bookmarkEnd w:id="20"/>
      <w:bookmarkEnd w:id="26"/>
      <w:bookmarkEnd w:id="27"/>
      <w:bookmarkEnd w:id="28"/>
      <w:bookmarkEnd w:id="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0" w:name="_Toc525047162"/>
      <w:bookmarkStart w:id="31" w:name="_Toc2945"/>
      <w:bookmarkStart w:id="32" w:name="_Toc1546"/>
      <w:bookmarkStart w:id="33" w:name="_Toc4355"/>
      <w:bookmarkStart w:id="34" w:name="_Toc65660335"/>
      <w:bookmarkStart w:id="35" w:name="_Toc106034626"/>
      <w:bookmarkStart w:id="36" w:name="_Toc521053054"/>
      <w:bookmarkStart w:id="37"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0"/>
      <w:bookmarkEnd w:id="31"/>
      <w:bookmarkEnd w:id="32"/>
      <w:bookmarkEnd w:id="33"/>
      <w:bookmarkEnd w:id="34"/>
      <w:bookmarkEnd w:id="35"/>
      <w:bookmarkEnd w:id="36"/>
      <w:bookmarkStart w:id="38" w:name="_Toc16749"/>
      <w:bookmarkStart w:id="39" w:name="_Toc65660334"/>
      <w:bookmarkStart w:id="40" w:name="_Toc521053053"/>
      <w:bookmarkStart w:id="41" w:name="_Toc525047161"/>
      <w:bookmarkStart w:id="42" w:name="_Toc12841"/>
      <w:bookmarkStart w:id="43" w:name="_Toc11956"/>
      <w:bookmarkStart w:id="44" w:name="_Toc6178"/>
      <w:bookmarkStart w:id="45" w:name="_Toc106034625"/>
      <w:r>
        <w:rPr>
          <w:rFonts w:hint="eastAsia" w:ascii="微软雅黑" w:hAnsi="微软雅黑" w:eastAsia="微软雅黑" w:cs="微软雅黑"/>
          <w:color w:val="auto"/>
          <w:sz w:val="24"/>
        </w:rPr>
        <w:t>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2"/>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6"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6"/>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7"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7"/>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8" w:name="_Toc24901"/>
      <w:bookmarkStart w:id="49" w:name="_Toc1733"/>
      <w:bookmarkStart w:id="50" w:name="_Toc30276"/>
      <w:bookmarkStart w:id="51" w:name="_Toc10415"/>
      <w:bookmarkStart w:id="52" w:name="_Toc521053056"/>
      <w:bookmarkStart w:id="53" w:name="_Toc65660337"/>
      <w:bookmarkStart w:id="54" w:name="_Toc106034628"/>
      <w:bookmarkStart w:id="55" w:name="_Toc525047164"/>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6" w:name="_Toc2422"/>
      <w:bookmarkStart w:id="57" w:name="_Toc25639"/>
      <w:bookmarkStart w:id="58" w:name="_Toc19886"/>
      <w:bookmarkStart w:id="59" w:name="_Toc1492"/>
      <w:bookmarkStart w:id="60" w:name="_Toc725"/>
      <w:bookmarkStart w:id="61" w:name="_Toc26176"/>
      <w:bookmarkStart w:id="62" w:name="_Toc11017"/>
      <w:bookmarkStart w:id="63" w:name="_Toc1625"/>
      <w:bookmarkStart w:id="64" w:name="_Toc5461"/>
      <w:bookmarkStart w:id="65" w:name="_Toc75793504"/>
      <w:bookmarkStart w:id="66" w:name="_Toc2070"/>
      <w:bookmarkStart w:id="67" w:name="_Toc8649"/>
      <w:bookmarkStart w:id="68" w:name="_Toc23143"/>
      <w:bookmarkStart w:id="69" w:name="_Toc12959"/>
      <w:bookmarkStart w:id="70" w:name="_Toc32686"/>
      <w:bookmarkStart w:id="71" w:name="_Toc27431"/>
      <w:bookmarkStart w:id="72" w:name="_Toc30927"/>
      <w:bookmarkStart w:id="73" w:name="_Toc106030380"/>
      <w:bookmarkStart w:id="74" w:name="_Toc12789058"/>
      <w:r>
        <w:rPr>
          <w:rFonts w:hint="eastAsia" w:ascii="微软雅黑" w:hAnsi="微软雅黑" w:eastAsia="微软雅黑" w:cs="微软雅黑"/>
          <w:b/>
          <w:color w:val="auto"/>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color w:val="auto"/>
          <w:sz w:val="44"/>
        </w:rPr>
        <w:t>项目技术（质量）需求</w:t>
      </w:r>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75793505"/>
      <w:bookmarkStart w:id="76" w:name="_Toc7027"/>
      <w:bookmarkStart w:id="77" w:name="_Toc4531"/>
      <w:bookmarkStart w:id="78" w:name="_Toc8370"/>
      <w:bookmarkStart w:id="79" w:name="_Toc19238"/>
      <w:bookmarkStart w:id="80" w:name="_Toc23656"/>
      <w:bookmarkStart w:id="81" w:name="_Toc4519"/>
      <w:bookmarkStart w:id="82" w:name="_Toc9261"/>
      <w:bookmarkStart w:id="83" w:name="_Toc29985"/>
      <w:bookmarkStart w:id="84" w:name="_Toc4913"/>
      <w:bookmarkStart w:id="85" w:name="_Toc20979"/>
      <w:bookmarkStart w:id="86" w:name="_Toc11703"/>
      <w:bookmarkStart w:id="87" w:name="_Toc22910"/>
      <w:bookmarkStart w:id="88" w:name="_Toc23504"/>
      <w:bookmarkStart w:id="89" w:name="_Toc106030381"/>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2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2277"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移动手持终端设备(PDA)</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2277"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合同期内采购总额不超过40万元</w:t>
            </w:r>
          </w:p>
        </w:tc>
      </w:tr>
    </w:tbl>
    <w:p>
      <w:pPr>
        <w:ind w:firstLine="480" w:firstLineChars="200"/>
        <w:rPr>
          <w:rFonts w:hint="eastAsia" w:ascii="微软雅黑" w:hAnsi="微软雅黑" w:eastAsia="微软雅黑" w:cs="微软雅黑"/>
          <w:color w:val="auto"/>
          <w:sz w:val="24"/>
          <w:szCs w:val="24"/>
        </w:rPr>
      </w:pPr>
      <w:bookmarkStart w:id="90" w:name="_Toc18800"/>
      <w:bookmarkStart w:id="91" w:name="_Toc23975"/>
      <w:bookmarkStart w:id="92" w:name="_Toc106030382"/>
      <w:bookmarkStart w:id="93" w:name="_Toc32262"/>
      <w:bookmarkStart w:id="94" w:name="_Toc695"/>
      <w:bookmarkStart w:id="95" w:name="_Toc18903"/>
      <w:bookmarkStart w:id="96" w:name="_Toc26453"/>
      <w:bookmarkStart w:id="97" w:name="_Toc12568"/>
      <w:bookmarkStart w:id="98" w:name="_Toc7792"/>
      <w:bookmarkStart w:id="99" w:name="_Toc15696"/>
      <w:bookmarkStart w:id="100" w:name="_Toc21817"/>
      <w:bookmarkStart w:id="101" w:name="_Toc10143"/>
      <w:bookmarkStart w:id="102" w:name="_Toc27067"/>
      <w:bookmarkStart w:id="103" w:name="_Toc5751"/>
      <w:bookmarkStart w:id="104" w:name="_Toc75793506"/>
      <w:bookmarkStart w:id="105" w:name="_Toc28205"/>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操作系统：≥Android 9.0</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支持系统安全更新及补丁升级</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CPU：主流八核处理器，主频≥2.0GHz。</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内存：RAM≥4G，ROM≥64G。</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rPr>
        <w:t>显示屏：电容式多点触摸屏，</w:t>
      </w:r>
      <w:r>
        <w:rPr>
          <w:rFonts w:hint="eastAsia" w:ascii="微软雅黑" w:hAnsi="微软雅黑" w:eastAsia="微软雅黑" w:cs="微软雅黑"/>
          <w:color w:val="auto"/>
          <w:sz w:val="24"/>
          <w:szCs w:val="24"/>
          <w:lang w:val="en-US" w:eastAsia="zh-CN"/>
        </w:rPr>
        <w:t>屏幕尺寸</w:t>
      </w: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英寸，分辨率≥1440*720像素。触摸灵敏，支持戴手套/湿手操作</w:t>
      </w:r>
      <w:r>
        <w:rPr>
          <w:rFonts w:hint="eastAsia" w:ascii="微软雅黑" w:hAnsi="微软雅黑" w:eastAsia="微软雅黑" w:cs="微软雅黑"/>
          <w:color w:val="auto"/>
          <w:sz w:val="24"/>
          <w:szCs w:val="24"/>
          <w:lang w:eastAsia="zh-CN"/>
        </w:rPr>
        <w:t>，适配复杂工作环境，确保操作连续性</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rPr>
        <w:t>摄像头：前置摄像头≥200万像素，后置摄像头≥1300万像素</w:t>
      </w:r>
      <w:r>
        <w:rPr>
          <w:rFonts w:hint="eastAsia" w:ascii="微软雅黑" w:hAnsi="微软雅黑" w:eastAsia="微软雅黑" w:cs="微软雅黑"/>
          <w:color w:val="auto"/>
          <w:sz w:val="24"/>
          <w:szCs w:val="24"/>
          <w:lang w:eastAsia="zh-CN"/>
        </w:rPr>
        <w:t>，满足人脸核验、场景拍照及辅助扫码</w:t>
      </w:r>
      <w:r>
        <w:rPr>
          <w:rFonts w:hint="eastAsia" w:ascii="微软雅黑" w:hAnsi="微软雅黑" w:eastAsia="微软雅黑" w:cs="微软雅黑"/>
          <w:color w:val="auto"/>
          <w:sz w:val="24"/>
          <w:szCs w:val="24"/>
          <w:lang w:val="en-US" w:eastAsia="zh-CN"/>
        </w:rPr>
        <w:t>等</w:t>
      </w:r>
      <w:r>
        <w:rPr>
          <w:rFonts w:hint="eastAsia" w:ascii="微软雅黑" w:hAnsi="微软雅黑" w:eastAsia="微软雅黑" w:cs="微软雅黑"/>
          <w:color w:val="auto"/>
          <w:sz w:val="24"/>
          <w:szCs w:val="24"/>
          <w:lang w:eastAsia="zh-CN"/>
        </w:rPr>
        <w:t>需求</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rPr>
        <w:t>蓝牙传输：支持蓝牙5.0及以上技术标准，支持NFC功能。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无线：支持IEEE 802.11a/b/g/n/ac协议，支持2.4G/5G双频段</w:t>
      </w:r>
      <w:r>
        <w:rPr>
          <w:rFonts w:hint="eastAsia" w:ascii="微软雅黑" w:hAnsi="微软雅黑" w:eastAsia="微软雅黑" w:cs="微软雅黑"/>
          <w:color w:val="auto"/>
          <w:sz w:val="24"/>
          <w:szCs w:val="24"/>
          <w:lang w:val="en-US" w:eastAsia="zh-CN"/>
        </w:rPr>
        <w:t>,支持快速漫游，漫游切换时间≤50ms，确保移动过程中网络不中断</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8.</w:t>
      </w:r>
      <w:r>
        <w:rPr>
          <w:rFonts w:hint="eastAsia" w:ascii="微软雅黑" w:hAnsi="微软雅黑" w:eastAsia="微软雅黑" w:cs="微软雅黑"/>
          <w:color w:val="auto"/>
          <w:sz w:val="24"/>
          <w:szCs w:val="24"/>
        </w:rPr>
        <w:t>网络制式：全网通制式，支持中国移动、中国联通、中国电信4G（TD-LTE/FDD-LTE）、3G（TD-SCDMA/WCDMA/CDMA2000）、2G（GSM/CDMA 1X）网络</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支持双卡槽设计，</w:t>
      </w:r>
      <w:r>
        <w:rPr>
          <w:rFonts w:hint="eastAsia" w:ascii="微软雅黑" w:hAnsi="微软雅黑" w:eastAsia="微软雅黑" w:cs="微软雅黑"/>
          <w:color w:val="auto"/>
          <w:sz w:val="24"/>
          <w:szCs w:val="24"/>
          <w:lang w:val="en-US" w:eastAsia="zh-CN"/>
        </w:rPr>
        <w:t>需</w:t>
      </w:r>
      <w:r>
        <w:rPr>
          <w:rFonts w:hint="eastAsia" w:ascii="微软雅黑" w:hAnsi="微软雅黑" w:eastAsia="微软雅黑" w:cs="微软雅黑"/>
          <w:color w:val="auto"/>
          <w:sz w:val="24"/>
          <w:szCs w:val="24"/>
        </w:rPr>
        <w:t>提供工信部入网许可证。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9.</w:t>
      </w:r>
      <w:r>
        <w:rPr>
          <w:rFonts w:hint="eastAsia" w:ascii="微软雅黑" w:hAnsi="微软雅黑" w:eastAsia="微软雅黑" w:cs="微软雅黑"/>
          <w:color w:val="auto"/>
          <w:sz w:val="24"/>
          <w:szCs w:val="24"/>
        </w:rPr>
        <w:t>电池：容量≥4800mAh</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待机时间（连接WLAN、关闭屏幕）≥72小时，连续工作时间（扫码+数据上传+屏幕常亮）≥8小时</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支持≥10W快速充电，从0%充至100%时间≤3小时</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电池循环寿命≥500次</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一体化设计避免电池松动风险，保障长续航需求。</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10.</w:t>
      </w:r>
      <w:r>
        <w:rPr>
          <w:rFonts w:hint="eastAsia" w:ascii="微软雅黑" w:hAnsi="微软雅黑" w:eastAsia="微软雅黑" w:cs="微软雅黑"/>
          <w:color w:val="auto"/>
          <w:sz w:val="24"/>
          <w:szCs w:val="24"/>
        </w:rPr>
        <w:t>接口：配备USB Type-C 2.0接口，支持数据传输、充电及外接设备；支持原装座充及线充两种充电方式</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11.</w:t>
      </w:r>
      <w:r>
        <w:rPr>
          <w:rFonts w:hint="eastAsia" w:ascii="微软雅黑" w:hAnsi="微软雅黑" w:eastAsia="微软雅黑" w:cs="微软雅黑"/>
          <w:color w:val="auto"/>
          <w:sz w:val="24"/>
          <w:szCs w:val="24"/>
        </w:rPr>
        <w:t>扫描头：内置专业扫描头，支持一维码（EAN-13、UPC-A、Code 128等）及二维码（QR Code、Data Matrix、PDF417等）识别；在标准光照（500-1000lux）下，识别距离5-30cm时，识别速度≤2秒，识别准确率≥99</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12.</w:t>
      </w:r>
      <w:r>
        <w:rPr>
          <w:rFonts w:hint="eastAsia" w:ascii="微软雅黑" w:hAnsi="微软雅黑" w:eastAsia="微软雅黑" w:cs="微软雅黑"/>
          <w:color w:val="auto"/>
          <w:sz w:val="24"/>
          <w:szCs w:val="24"/>
        </w:rPr>
        <w:t>防护设计：防护等级≥IP67（提供第三方检测机构测试报告）；抗摔性能：1.5米高度自由跌落至水泥地面（任意面朝下），跌落</w:t>
      </w:r>
      <w:r>
        <w:rPr>
          <w:rFonts w:hint="eastAsia" w:ascii="微软雅黑" w:hAnsi="微软雅黑" w:eastAsia="微软雅黑" w:cs="微软雅黑"/>
          <w:color w:val="auto"/>
          <w:sz w:val="24"/>
          <w:szCs w:val="24"/>
          <w:lang w:val="en-US" w:eastAsia="zh-CN"/>
        </w:rPr>
        <w:t>后</w:t>
      </w:r>
      <w:r>
        <w:rPr>
          <w:rFonts w:hint="eastAsia" w:ascii="微软雅黑" w:hAnsi="微软雅黑" w:eastAsia="微软雅黑" w:cs="微软雅黑"/>
          <w:color w:val="auto"/>
          <w:sz w:val="24"/>
          <w:szCs w:val="24"/>
        </w:rPr>
        <w:t>能正常开机并完成核心功能测试（提供第三方检测机构测试报告）；机身支持日常清洁和酒精消毒。</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13.</w:t>
      </w:r>
      <w:r>
        <w:rPr>
          <w:rFonts w:hint="eastAsia" w:ascii="微软雅黑" w:hAnsi="微软雅黑" w:eastAsia="微软雅黑" w:cs="微软雅黑"/>
          <w:color w:val="auto"/>
          <w:sz w:val="24"/>
          <w:szCs w:val="24"/>
        </w:rPr>
        <w:t>重量：设备整机重量（含电池及标配手绳）≤235g。</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14.</w:t>
      </w:r>
      <w:r>
        <w:rPr>
          <w:rFonts w:hint="eastAsia" w:ascii="微软雅黑" w:hAnsi="微软雅黑" w:eastAsia="微软雅黑" w:cs="微软雅黑"/>
          <w:color w:val="auto"/>
          <w:sz w:val="24"/>
          <w:szCs w:val="24"/>
        </w:rPr>
        <w:t>网络安全：系统原生集成网络安全功能，无需第三方软件即可实现医院WLAN指定SSID与MAC地址双向绑定；绑定后仅允许设备连接已绑定的WLAN，禁止接入其他网络，保障医院内网数据传输安全，防止非法网络接入。</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15.</w:t>
      </w:r>
      <w:r>
        <w:rPr>
          <w:rFonts w:hint="eastAsia" w:ascii="微软雅黑" w:hAnsi="微软雅黑" w:eastAsia="微软雅黑" w:cs="微软雅黑"/>
          <w:color w:val="auto"/>
          <w:sz w:val="24"/>
          <w:szCs w:val="24"/>
        </w:rPr>
        <w:t>安全管理：不借助任何第三方软件即可实现对WIFI、蓝牙等系统设置进行权限管控。管理员输入密码后才能进入操作。</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16.</w:t>
      </w:r>
      <w:r>
        <w:rPr>
          <w:rFonts w:hint="eastAsia" w:ascii="微软雅黑" w:hAnsi="微软雅黑" w:eastAsia="微软雅黑" w:cs="微软雅黑"/>
          <w:color w:val="auto"/>
          <w:sz w:val="24"/>
          <w:szCs w:val="24"/>
        </w:rPr>
        <w:t>其它配套附件：USB数据线、电源适配器、手绳、使用手册及保修卡、外包装等。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.设备稳定性：平均无故障工作时间（MTBF）≥10000小时（提供CNAS检测报告）</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p>
      <w:pPr>
        <w:pStyle w:val="2"/>
        <w:spacing w:before="200" w:after="200" w:line="240" w:lineRule="auto"/>
        <w:jc w:val="center"/>
        <w:rPr>
          <w:rFonts w:hint="eastAsia" w:ascii="微软雅黑" w:hAnsi="微软雅黑" w:eastAsia="微软雅黑" w:cs="微软雅黑"/>
          <w:color w:val="auto"/>
          <w:sz w:val="44"/>
        </w:rPr>
      </w:pPr>
      <w:bookmarkStart w:id="106" w:name="_Toc31179"/>
      <w:bookmarkStart w:id="107" w:name="_Toc106030882"/>
      <w:bookmarkStart w:id="108" w:name="_Toc76462327"/>
      <w:bookmarkStart w:id="109" w:name="_Toc7791"/>
      <w:bookmarkStart w:id="110" w:name="_Toc28649"/>
      <w:r>
        <w:rPr>
          <w:rFonts w:hint="eastAsia" w:ascii="微软雅黑" w:hAnsi="微软雅黑" w:eastAsia="微软雅黑" w:cs="微软雅黑"/>
          <w:color w:val="auto"/>
          <w:sz w:val="44"/>
        </w:rPr>
        <w:t>第三篇  项目商务需求</w:t>
      </w:r>
      <w:bookmarkEnd w:id="106"/>
      <w:bookmarkEnd w:id="107"/>
      <w:bookmarkEnd w:id="108"/>
      <w:bookmarkEnd w:id="109"/>
      <w:bookmarkEnd w:id="110"/>
    </w:p>
    <w:tbl>
      <w:tblPr>
        <w:tblStyle w:val="58"/>
        <w:tblW w:w="51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9"/>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1"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8"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de-DE" w:eastAsia="zh-CN"/>
              </w:rPr>
              <w:t>交货期：中标人在收到采购人通知后在15个日历日内（或者在采购人临时具体书面指定天数内）将设备运到采购人指定交货地点。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de-DE" w:eastAsia="zh-CN"/>
              </w:rPr>
              <w:t>交货地点：重庆医科大学附属儿童医院，</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lang w:val="de-DE" w:eastAsia="zh-CN"/>
              </w:rPr>
              <w:t>需通过</w:t>
            </w:r>
            <w:r>
              <w:rPr>
                <w:rFonts w:hint="eastAsia" w:ascii="微软雅黑" w:hAnsi="微软雅黑" w:eastAsia="微软雅黑" w:cs="微软雅黑"/>
                <w:color w:val="auto"/>
                <w:sz w:val="24"/>
                <w:szCs w:val="24"/>
                <w:lang w:val="en-US" w:eastAsia="zh-CN"/>
              </w:rPr>
              <w:t>工作人员</w:t>
            </w:r>
            <w:r>
              <w:rPr>
                <w:rFonts w:hint="eastAsia" w:ascii="微软雅黑" w:hAnsi="微软雅黑" w:eastAsia="微软雅黑" w:cs="微软雅黑"/>
                <w:color w:val="auto"/>
                <w:sz w:val="24"/>
                <w:szCs w:val="24"/>
                <w:lang w:val="de-DE" w:eastAsia="zh-CN"/>
              </w:rPr>
              <w:t>将设备交到指定地点（不能由第三方交货）。</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de-DE" w:eastAsia="zh-CN"/>
              </w:rPr>
              <w:t>验收方式：按采购人质量要求进行验收，货到现场采购人进行货物表面验收，该表面验收不排除</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lang w:val="de-DE" w:eastAsia="zh-CN"/>
              </w:rPr>
              <w:t>对货物实质质量的责任。验收时，该设备的生产日期距离验收日期须在一年以内。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1"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8"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质量保证：</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1.投标人对所提供的货物提供 3 年的免费维修保养服务（含配件及第三方产品），自安装调试验收合格之日起计算，质保期内免费维修，须由投标人和生产厂家分别出具保修证明，保修期内免费更换零部件和免工时费。质保期外投标人只收取优惠配件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2.中标人对投标产品对应参数需要满足，验收时根据投标响应文件中的技术参数一一验收，如果有一条或者多条不满足，采购人有权取消合同，所产生的损失由中标人承担。</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售后服务：</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1.设备维修响应时间为接到通知后3小时内投标人工程师应到达现场，并在到达后8小时内修复完备，若不能及时修复，投标人在3小时内提供备用机，否则按1：3顺延免费保修期或投标人向采购人赔偿因此而造成的一切损失，（包括但不限于停业损失、另行维修费用、人员工资等），投标人保证设备开机率达到95%以上；</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2.对于质保期外但未超过设备报废年限的机器，投标人收到维修通知后，应到达现场对设备进行检修，若不能及时修复，投标人需带回返厂检测，检测后提供优惠配件费报价。</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3．如投标人服务未达到上述承诺，如给采购人造成的包括采购人人员损害、任何第三人损害、采购人间接的经济损失等均由投标人承担；如投标人两次以上未按时按约定履行后期维护责任，采购人有权履行聘其他公司进行维护处理，产生的所有费用均由投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1"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8"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该项目报价须对货物包干总价和易损易耗件单价分别进行报价，包括完成货物、运输、验收及其他本项目所需的所有费用及各种应纳的税费。因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1"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8"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1.中标人</w:t>
            </w:r>
            <w:r>
              <w:rPr>
                <w:rFonts w:hint="default" w:ascii="微软雅黑" w:hAnsi="微软雅黑" w:eastAsia="微软雅黑" w:cs="微软雅黑"/>
                <w:color w:val="auto"/>
                <w:sz w:val="24"/>
                <w:szCs w:val="24"/>
                <w:lang w:val="en-US" w:eastAsia="zh-CN"/>
              </w:rPr>
              <w:t>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2.中标人</w:t>
            </w:r>
            <w:r>
              <w:rPr>
                <w:rFonts w:hint="default" w:ascii="微软雅黑" w:hAnsi="微软雅黑" w:eastAsia="微软雅黑" w:cs="微软雅黑"/>
                <w:color w:val="auto"/>
                <w:sz w:val="24"/>
                <w:szCs w:val="24"/>
                <w:lang w:val="en-US" w:eastAsia="zh-CN"/>
              </w:rPr>
              <w:t>向采购人开具发票，采购人于</w:t>
            </w:r>
            <w:r>
              <w:rPr>
                <w:rFonts w:hint="eastAsia" w:ascii="微软雅黑" w:hAnsi="微软雅黑" w:eastAsia="微软雅黑" w:cs="微软雅黑"/>
                <w:color w:val="auto"/>
                <w:sz w:val="24"/>
                <w:szCs w:val="24"/>
                <w:lang w:val="en-US" w:eastAsia="zh-CN"/>
              </w:rPr>
              <w:t>2个月</w:t>
            </w:r>
            <w:r>
              <w:rPr>
                <w:rFonts w:hint="default" w:ascii="微软雅黑" w:hAnsi="微软雅黑" w:eastAsia="微软雅黑" w:cs="微软雅黑"/>
                <w:color w:val="auto"/>
                <w:sz w:val="24"/>
                <w:szCs w:val="24"/>
                <w:lang w:val="en-US" w:eastAsia="zh-CN"/>
              </w:rPr>
              <w:t>内以转账方式向</w:t>
            </w:r>
            <w:r>
              <w:rPr>
                <w:rFonts w:hint="eastAsia" w:ascii="微软雅黑" w:hAnsi="微软雅黑" w:eastAsia="微软雅黑" w:cs="微软雅黑"/>
                <w:color w:val="auto"/>
                <w:sz w:val="24"/>
                <w:szCs w:val="24"/>
                <w:lang w:val="en-US" w:eastAsia="zh-CN"/>
              </w:rPr>
              <w:t>中标人</w:t>
            </w:r>
            <w:r>
              <w:rPr>
                <w:rFonts w:hint="default" w:ascii="微软雅黑" w:hAnsi="微软雅黑" w:eastAsia="微软雅黑" w:cs="微软雅黑"/>
                <w:color w:val="auto"/>
                <w:sz w:val="24"/>
                <w:szCs w:val="24"/>
                <w:lang w:val="en-US" w:eastAsia="zh-CN"/>
              </w:rPr>
              <w:t>支付合同全款</w:t>
            </w:r>
            <w:r>
              <w:rPr>
                <w:rFonts w:hint="eastAsia" w:ascii="微软雅黑" w:hAnsi="微软雅黑" w:eastAsia="微软雅黑" w:cs="微软雅黑"/>
                <w:color w:val="auto"/>
                <w:sz w:val="24"/>
                <w:szCs w:val="24"/>
                <w:lang w:val="en-US" w:eastAsia="zh-CN"/>
              </w:rPr>
              <w:t>。</w:t>
            </w:r>
          </w:p>
        </w:tc>
      </w:tr>
    </w:tbl>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4"/>
    <w:bookmarkEnd w:id="74"/>
    <w:p>
      <w:pPr>
        <w:pStyle w:val="2"/>
        <w:spacing w:before="200" w:after="200" w:line="240" w:lineRule="auto"/>
        <w:jc w:val="center"/>
        <w:rPr>
          <w:rFonts w:hint="eastAsia" w:ascii="微软雅黑" w:hAnsi="微软雅黑" w:eastAsia="微软雅黑" w:cs="微软雅黑"/>
          <w:color w:val="auto"/>
          <w:sz w:val="44"/>
        </w:rPr>
      </w:pPr>
      <w:bookmarkStart w:id="111" w:name="_Toc11315"/>
      <w:bookmarkStart w:id="112" w:name="_Toc5236"/>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1"/>
      <w:bookmarkEnd w:id="112"/>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3" w:name="_Toc106030888"/>
      <w:bookmarkStart w:id="114" w:name="_Toc76462333"/>
      <w:bookmarkStart w:id="115" w:name="_Toc26127"/>
      <w:bookmarkStart w:id="116" w:name="_Toc14958"/>
      <w:bookmarkStart w:id="117" w:name="_Toc25412"/>
      <w:bookmarkStart w:id="118" w:name="_Toc6540"/>
      <w:r>
        <w:rPr>
          <w:rFonts w:hint="eastAsia" w:ascii="微软雅黑" w:hAnsi="微软雅黑" w:eastAsia="微软雅黑" w:cs="微软雅黑"/>
          <w:color w:val="auto"/>
          <w:sz w:val="24"/>
        </w:rPr>
        <w:t>一、公开比选采购程序</w:t>
      </w:r>
      <w:bookmarkEnd w:id="113"/>
      <w:bookmarkEnd w:id="114"/>
      <w:bookmarkEnd w:id="115"/>
      <w:bookmarkEnd w:id="116"/>
      <w:bookmarkEnd w:id="117"/>
      <w:bookmarkEnd w:id="118"/>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9" w:name="_Toc8613"/>
      <w:bookmarkStart w:id="120" w:name="_Toc27374"/>
      <w:bookmarkStart w:id="121" w:name="_Toc14961"/>
      <w:r>
        <w:rPr>
          <w:rFonts w:hint="eastAsia" w:ascii="微软雅黑" w:hAnsi="微软雅黑" w:eastAsia="微软雅黑" w:cs="微软雅黑"/>
          <w:color w:val="auto"/>
          <w:sz w:val="24"/>
        </w:rPr>
        <w:t>二、评标方法</w:t>
      </w:r>
      <w:bookmarkEnd w:id="119"/>
      <w:bookmarkEnd w:id="120"/>
      <w:bookmarkEnd w:id="121"/>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color w:val="auto"/>
          <w:sz w:val="24"/>
          <w:szCs w:val="24"/>
        </w:rPr>
      </w:pPr>
      <w:bookmarkStart w:id="122" w:name="_Toc76462334"/>
      <w:bookmarkStart w:id="123" w:name="_Toc106030889"/>
      <w:bookmarkStart w:id="124" w:name="_Toc24315"/>
      <w:bookmarkStart w:id="125" w:name="_Toc342913394"/>
      <w:bookmarkStart w:id="126" w:name="_Toc30944"/>
      <w:bookmarkStart w:id="127" w:name="_Toc102227320"/>
      <w:r>
        <w:rPr>
          <w:rFonts w:hint="eastAsia" w:ascii="微软雅黑" w:hAnsi="微软雅黑" w:eastAsia="微软雅黑" w:cs="微软雅黑"/>
          <w:color w:val="auto"/>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提供相同品牌产品且通过资格审查和符合性审查的不同投标人参加的，按一家投标人计算</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信息类通用设备除外</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 xml:space="preserve">。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评标结果按投标报价由低到高顺序排列，若投标报价相同的由评标小组推荐中标候选人。</w:t>
      </w:r>
    </w:p>
    <w:bookmarkEnd w:id="122"/>
    <w:bookmarkEnd w:id="123"/>
    <w:bookmarkEnd w:id="124"/>
    <w:bookmarkEnd w:id="125"/>
    <w:bookmarkEnd w:id="126"/>
    <w:bookmarkEnd w:id="127"/>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8" w:name="_Toc6063"/>
      <w:bookmarkStart w:id="129" w:name="_Toc23912"/>
      <w:r>
        <w:rPr>
          <w:rFonts w:hint="eastAsia" w:ascii="微软雅黑" w:hAnsi="微软雅黑" w:eastAsia="微软雅黑" w:cs="微软雅黑"/>
          <w:color w:val="auto"/>
          <w:sz w:val="24"/>
          <w:lang w:val="en-US" w:eastAsia="zh-CN"/>
        </w:rPr>
        <w:t>三</w:t>
      </w:r>
      <w:r>
        <w:rPr>
          <w:rFonts w:hint="eastAsia" w:ascii="微软雅黑" w:hAnsi="微软雅黑" w:eastAsia="微软雅黑" w:cs="微软雅黑"/>
          <w:color w:val="auto"/>
          <w:sz w:val="24"/>
        </w:rPr>
        <w:t>、评审标准</w:t>
      </w:r>
      <w:bookmarkEnd w:id="128"/>
      <w:bookmarkEnd w:id="1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（一）关于技术（质量）、商务偏离</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1.响应文件投标应答有一条及以上不满足</w:t>
      </w:r>
      <w:r>
        <w:rPr>
          <w:rFonts w:hint="eastAsia" w:ascii="微软雅黑" w:hAnsi="微软雅黑" w:eastAsia="微软雅黑" w:cs="微软雅黑"/>
          <w:color w:val="auto"/>
          <w:sz w:val="24"/>
          <w:szCs w:val="24"/>
          <w:lang w:val="en-US" w:eastAsia="zh-CN"/>
        </w:rPr>
        <w:t>本项采购需求文件中项目技术要求</w:t>
      </w:r>
      <w:r>
        <w:rPr>
          <w:rFonts w:hint="eastAsia" w:ascii="微软雅黑" w:hAnsi="微软雅黑" w:eastAsia="微软雅黑" w:cs="微软雅黑"/>
          <w:color w:val="auto"/>
          <w:sz w:val="24"/>
          <w:szCs w:val="24"/>
        </w:rPr>
        <w:t>的，投标人将失去成为中标候选人的资格；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2.响应文件投标应答有一条及以上不满足</w:t>
      </w:r>
      <w:r>
        <w:rPr>
          <w:rFonts w:hint="eastAsia" w:ascii="微软雅黑" w:hAnsi="微软雅黑" w:eastAsia="微软雅黑" w:cs="微软雅黑"/>
          <w:color w:val="auto"/>
          <w:sz w:val="24"/>
          <w:szCs w:val="24"/>
          <w:lang w:val="en-US" w:eastAsia="zh-CN"/>
        </w:rPr>
        <w:t>本项采购需求文件中项目商务要求</w:t>
      </w:r>
      <w:r>
        <w:rPr>
          <w:rFonts w:hint="eastAsia" w:ascii="微软雅黑" w:hAnsi="微软雅黑" w:eastAsia="微软雅黑" w:cs="微软雅黑"/>
          <w:color w:val="auto"/>
          <w:sz w:val="24"/>
          <w:szCs w:val="24"/>
        </w:rPr>
        <w:t>的，投标人将失去成为合格投标人的资格；</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rPr>
        <w:t>认为投标人的报价明显低于</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通过符合性审查投标人的报价，有可能影响产品质量或者不能诚信履约的，应当要求其在评标现场合理的时间内提供书面说明，必要时提交相关证明材料；投标人不能证明其报价合理性的，</w:t>
      </w:r>
      <w:r>
        <w:rPr>
          <w:rFonts w:hint="eastAsia"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rPr>
        <w:t>应当将其作为无效投标处理。</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0" w:name="_Toc17606"/>
      <w:bookmarkStart w:id="131" w:name="_Toc8670"/>
      <w:bookmarkStart w:id="132" w:name="_Toc8040"/>
      <w:r>
        <w:rPr>
          <w:rFonts w:hint="eastAsia" w:ascii="微软雅黑" w:hAnsi="微软雅黑" w:eastAsia="微软雅黑" w:cs="微软雅黑"/>
          <w:color w:val="auto"/>
          <w:sz w:val="24"/>
        </w:rPr>
        <w:t>四、无效响应</w:t>
      </w:r>
      <w:bookmarkEnd w:id="130"/>
      <w:bookmarkEnd w:id="131"/>
      <w:bookmarkEnd w:id="132"/>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3" w:name="_Toc76462336"/>
      <w:bookmarkStart w:id="134" w:name="_Toc12222"/>
      <w:bookmarkStart w:id="135" w:name="_Toc10687"/>
      <w:bookmarkStart w:id="136" w:name="_Toc106030891"/>
      <w:bookmarkStart w:id="137" w:name="_Toc12481"/>
      <w:bookmarkStart w:id="138" w:name="_Toc25923"/>
      <w:r>
        <w:rPr>
          <w:rFonts w:hint="eastAsia" w:ascii="微软雅黑" w:hAnsi="微软雅黑" w:eastAsia="微软雅黑" w:cs="微软雅黑"/>
          <w:color w:val="auto"/>
          <w:sz w:val="24"/>
        </w:rPr>
        <w:t>五、</w:t>
      </w:r>
      <w:bookmarkEnd w:id="133"/>
      <w:bookmarkEnd w:id="134"/>
      <w:bookmarkEnd w:id="135"/>
      <w:bookmarkEnd w:id="136"/>
      <w:r>
        <w:rPr>
          <w:rFonts w:hint="eastAsia" w:ascii="微软雅黑" w:hAnsi="微软雅黑" w:eastAsia="微软雅黑" w:cs="微软雅黑"/>
          <w:color w:val="auto"/>
          <w:sz w:val="24"/>
        </w:rPr>
        <w:t>废标条款</w:t>
      </w:r>
      <w:bookmarkEnd w:id="137"/>
      <w:bookmarkEnd w:id="138"/>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2" w:type="default"/>
          <w:pgSz w:w="11907" w:h="16840"/>
          <w:pgMar w:top="1134" w:right="1191" w:bottom="1134" w:left="1304" w:header="964" w:footer="992" w:gutter="0"/>
          <w:pgNumType w:fmt="numberInDash"/>
          <w:cols w:space="720" w:num="1"/>
          <w:docGrid w:linePitch="312" w:charSpace="0"/>
        </w:sectPr>
      </w:pPr>
    </w:p>
    <w:p>
      <w:pPr>
        <w:pStyle w:val="2"/>
        <w:spacing w:before="200" w:after="200" w:line="240" w:lineRule="auto"/>
        <w:jc w:val="center"/>
        <w:rPr>
          <w:rFonts w:hint="eastAsia" w:ascii="微软雅黑" w:hAnsi="微软雅黑" w:eastAsia="微软雅黑" w:cs="微软雅黑"/>
          <w:color w:val="auto"/>
          <w:sz w:val="44"/>
        </w:rPr>
      </w:pPr>
      <w:bookmarkStart w:id="139" w:name="_Hlt41879464"/>
      <w:bookmarkEnd w:id="139"/>
      <w:bookmarkStart w:id="140" w:name="_Toc106030892"/>
      <w:bookmarkStart w:id="141" w:name="_Toc27922"/>
      <w:bookmarkStart w:id="142" w:name="_Toc76462337"/>
      <w:bookmarkStart w:id="143" w:name="_Toc102227313"/>
      <w:bookmarkStart w:id="144" w:name="_Toc29948"/>
      <w:bookmarkStart w:id="145" w:name="_Toc76462349"/>
      <w:bookmarkStart w:id="146" w:name="_Toc27984"/>
      <w:bookmarkStart w:id="147" w:name="_Toc106030905"/>
      <w:bookmarkStart w:id="148" w:name="_Toc4482"/>
      <w:bookmarkStart w:id="149" w:name="_Toc21717"/>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0"/>
      <w:bookmarkEnd w:id="141"/>
      <w:bookmarkEnd w:id="142"/>
      <w:bookmarkEnd w:id="143"/>
      <w:bookmarkEnd w:id="144"/>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0" w:name="_Toc4785"/>
      <w:bookmarkStart w:id="151" w:name="_Toc106030893"/>
      <w:bookmarkStart w:id="152" w:name="_Toc342913389"/>
      <w:bookmarkStart w:id="153" w:name="_Toc76462338"/>
      <w:bookmarkStart w:id="154" w:name="_Toc26717"/>
      <w:r>
        <w:rPr>
          <w:rFonts w:hint="eastAsia" w:ascii="微软雅黑" w:hAnsi="微软雅黑" w:eastAsia="微软雅黑" w:cs="微软雅黑"/>
          <w:color w:val="auto"/>
          <w:sz w:val="24"/>
        </w:rPr>
        <w:t>一、公开比选费用</w:t>
      </w:r>
      <w:bookmarkEnd w:id="150"/>
      <w:bookmarkEnd w:id="151"/>
      <w:bookmarkEnd w:id="152"/>
      <w:bookmarkEnd w:id="153"/>
      <w:bookmarkEnd w:id="154"/>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5" w:name="_Toc106030894"/>
      <w:bookmarkStart w:id="156" w:name="_Toc15712"/>
      <w:bookmarkStart w:id="157" w:name="_Toc20250"/>
      <w:bookmarkStart w:id="158" w:name="_Toc76462339"/>
      <w:bookmarkStart w:id="159" w:name="_Toc342913391"/>
      <w:r>
        <w:rPr>
          <w:rFonts w:hint="eastAsia" w:ascii="微软雅黑" w:hAnsi="微软雅黑" w:eastAsia="微软雅黑" w:cs="微软雅黑"/>
          <w:color w:val="auto"/>
          <w:sz w:val="24"/>
        </w:rPr>
        <w:t>二、公开比选采购文件</w:t>
      </w:r>
      <w:bookmarkEnd w:id="155"/>
      <w:bookmarkEnd w:id="156"/>
      <w:bookmarkEnd w:id="157"/>
      <w:bookmarkEnd w:id="158"/>
      <w:bookmarkEnd w:id="15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60" w:name="_Toc318166429"/>
      <w:bookmarkStart w:id="161" w:name="_Toc318159349"/>
      <w:bookmarkStart w:id="162" w:name="_Toc318159780"/>
      <w:bookmarkStart w:id="163" w:name="_Toc318159160"/>
    </w:p>
    <w:bookmarkEnd w:id="160"/>
    <w:bookmarkEnd w:id="161"/>
    <w:bookmarkEnd w:id="162"/>
    <w:bookmarkEnd w:id="163"/>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4" w:name="_Toc102227318"/>
      <w:bookmarkStart w:id="165" w:name="_Toc106030895"/>
      <w:bookmarkStart w:id="166" w:name="_Toc26007"/>
      <w:bookmarkStart w:id="167" w:name="_Toc76462340"/>
      <w:bookmarkStart w:id="168" w:name="_Toc9410"/>
      <w:bookmarkStart w:id="169" w:name="_Toc179714297"/>
      <w:bookmarkStart w:id="170" w:name="_Toc342913392"/>
      <w:r>
        <w:rPr>
          <w:rFonts w:hint="eastAsia" w:ascii="微软雅黑" w:hAnsi="微软雅黑" w:eastAsia="微软雅黑" w:cs="微软雅黑"/>
          <w:color w:val="auto"/>
          <w:sz w:val="24"/>
        </w:rPr>
        <w:t>三、比选要求</w:t>
      </w:r>
      <w:bookmarkEnd w:id="164"/>
      <w:bookmarkEnd w:id="165"/>
      <w:bookmarkEnd w:id="166"/>
      <w:bookmarkEnd w:id="167"/>
      <w:bookmarkEnd w:id="168"/>
      <w:bookmarkEnd w:id="169"/>
      <w:bookmarkEnd w:id="17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1" w:name="_Toc2838"/>
      <w:bookmarkStart w:id="172" w:name="_Toc6435"/>
      <w:bookmarkStart w:id="173" w:name="_Toc106030896"/>
      <w:bookmarkStart w:id="174" w:name="_Toc76462341"/>
      <w:r>
        <w:rPr>
          <w:rFonts w:hint="eastAsia" w:ascii="微软雅黑" w:hAnsi="微软雅黑" w:eastAsia="微软雅黑" w:cs="微软雅黑"/>
          <w:color w:val="auto"/>
          <w:sz w:val="24"/>
        </w:rPr>
        <w:t>四、中标人的确认和变更</w:t>
      </w:r>
      <w:bookmarkEnd w:id="171"/>
      <w:bookmarkEnd w:id="172"/>
      <w:bookmarkEnd w:id="173"/>
      <w:bookmarkEnd w:id="174"/>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中标人拒绝与采购人签订合同的，采购人可以按照评标报告推荐的成交候选投标人顺序，顺延下一位候选人为中标人，也可以重新开展采购活动。</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5" w:name="_Toc19044"/>
      <w:bookmarkStart w:id="176" w:name="_Toc106030897"/>
      <w:bookmarkStart w:id="177" w:name="_Toc21532"/>
      <w:bookmarkStart w:id="178" w:name="_Toc102227321"/>
      <w:bookmarkStart w:id="179" w:name="_Toc342913395"/>
      <w:bookmarkStart w:id="180" w:name="_Toc76462342"/>
      <w:r>
        <w:rPr>
          <w:rFonts w:hint="eastAsia" w:ascii="微软雅黑" w:hAnsi="微软雅黑" w:eastAsia="微软雅黑" w:cs="微软雅黑"/>
          <w:color w:val="auto"/>
          <w:sz w:val="24"/>
        </w:rPr>
        <w:t>五、成交通知</w:t>
      </w:r>
      <w:bookmarkEnd w:id="175"/>
      <w:bookmarkEnd w:id="176"/>
      <w:bookmarkEnd w:id="177"/>
      <w:bookmarkEnd w:id="178"/>
      <w:bookmarkEnd w:id="179"/>
      <w:bookmarkEnd w:id="18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1" w:name="_Toc76462343"/>
      <w:bookmarkStart w:id="182" w:name="_Toc32010"/>
      <w:bookmarkStart w:id="183" w:name="_Toc106030898"/>
      <w:bookmarkStart w:id="184" w:name="_Toc21448"/>
      <w:r>
        <w:rPr>
          <w:rFonts w:hint="eastAsia" w:ascii="微软雅黑" w:hAnsi="微软雅黑" w:eastAsia="微软雅黑" w:cs="微软雅黑"/>
          <w:color w:val="auto"/>
          <w:sz w:val="24"/>
        </w:rPr>
        <w:t>六、质疑处理</w:t>
      </w:r>
      <w:bookmarkEnd w:id="181"/>
      <w:bookmarkEnd w:id="182"/>
      <w:bookmarkEnd w:id="183"/>
      <w:bookmarkEnd w:id="18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w:t>
      </w:r>
      <w:r>
        <w:rPr>
          <w:rFonts w:hint="eastAsia" w:ascii="微软雅黑" w:hAnsi="微软雅黑" w:eastAsia="微软雅黑" w:cs="微软雅黑"/>
          <w:color w:val="auto"/>
          <w:sz w:val="24"/>
          <w:szCs w:val="24"/>
          <w:lang w:val="en-US" w:eastAsia="zh-CN"/>
        </w:rPr>
        <w:t>受到</w:t>
      </w:r>
      <w:r>
        <w:rPr>
          <w:rFonts w:hint="eastAsia" w:ascii="微软雅黑" w:hAnsi="微软雅黑" w:eastAsia="微软雅黑" w:cs="微软雅黑"/>
          <w:color w:val="auto"/>
          <w:sz w:val="24"/>
          <w:szCs w:val="24"/>
        </w:rPr>
        <w:t>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1.2投标人认为采购过程、成交结果使自己的权益受到损害的，可以在知道或者应知其权益受到损害之日起5个工作日内，以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5" w:name="_Toc106030899"/>
      <w:bookmarkStart w:id="186" w:name="_Toc76462344"/>
      <w:bookmarkStart w:id="187" w:name="_Toc28334"/>
    </w:p>
    <w:p>
      <w:pPr>
        <w:pStyle w:val="2"/>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8" w:name="_Toc32028"/>
      <w:r>
        <w:rPr>
          <w:rFonts w:hint="eastAsia" w:ascii="微软雅黑" w:hAnsi="微软雅黑" w:eastAsia="微软雅黑" w:cs="微软雅黑"/>
          <w:color w:val="auto"/>
          <w:sz w:val="24"/>
        </w:rPr>
        <w:t>七、</w:t>
      </w:r>
      <w:bookmarkEnd w:id="185"/>
      <w:bookmarkEnd w:id="186"/>
      <w:bookmarkEnd w:id="187"/>
      <w:bookmarkStart w:id="189" w:name="_Toc102227322"/>
      <w:bookmarkStart w:id="190" w:name="_Toc76462346"/>
      <w:bookmarkStart w:id="191" w:name="_Toc106030901"/>
      <w:bookmarkStart w:id="192" w:name="_Toc342913396"/>
      <w:bookmarkStart w:id="193" w:name="_Toc3372"/>
      <w:bookmarkStart w:id="194" w:name="_Toc11641055"/>
      <w:bookmarkStart w:id="195" w:name="_Toc12789059"/>
      <w:r>
        <w:rPr>
          <w:rFonts w:hint="eastAsia" w:ascii="微软雅黑" w:hAnsi="微软雅黑" w:eastAsia="微软雅黑" w:cs="微软雅黑"/>
          <w:color w:val="auto"/>
          <w:sz w:val="24"/>
        </w:rPr>
        <w:t>签订</w:t>
      </w:r>
      <w:bookmarkEnd w:id="189"/>
      <w:r>
        <w:rPr>
          <w:rFonts w:hint="eastAsia" w:ascii="微软雅黑" w:hAnsi="微软雅黑" w:eastAsia="微软雅黑" w:cs="微软雅黑"/>
          <w:color w:val="auto"/>
          <w:sz w:val="24"/>
        </w:rPr>
        <w:t>合同</w:t>
      </w:r>
      <w:bookmarkEnd w:id="188"/>
      <w:bookmarkEnd w:id="190"/>
      <w:bookmarkEnd w:id="191"/>
      <w:bookmarkEnd w:id="192"/>
      <w:bookmarkEnd w:id="193"/>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3" w:type="default"/>
          <w:footerReference r:id="rId14"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4"/>
      <w:bookmarkEnd w:id="195"/>
    </w:p>
    <w:p>
      <w:pPr>
        <w:pStyle w:val="2"/>
        <w:spacing w:before="200" w:after="200" w:line="240" w:lineRule="auto"/>
        <w:jc w:val="center"/>
        <w:rPr>
          <w:rFonts w:hint="eastAsia" w:ascii="微软雅黑" w:hAnsi="微软雅黑" w:eastAsia="微软雅黑" w:cs="微软雅黑"/>
          <w:color w:val="auto"/>
          <w:sz w:val="44"/>
        </w:rPr>
      </w:pPr>
      <w:bookmarkStart w:id="196" w:name="_Toc14281"/>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45"/>
      <w:bookmarkEnd w:id="146"/>
      <w:bookmarkEnd w:id="147"/>
      <w:bookmarkEnd w:id="148"/>
      <w:bookmarkEnd w:id="149"/>
      <w:bookmarkEnd w:id="19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bdr w:val="single" w:color="auto" w:sz="4" w:space="0"/>
        </w:rPr>
        <w:sectPr>
          <w:footerReference r:id="rId15"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t>五、其他资料</w:t>
      </w:r>
    </w:p>
    <w:p>
      <w:pPr>
        <w:outlineLvl w:val="0"/>
        <w:rPr>
          <w:rFonts w:hint="eastAsia" w:ascii="微软雅黑" w:hAnsi="微软雅黑" w:eastAsia="微软雅黑" w:cs="微软雅黑"/>
          <w:color w:val="auto"/>
        </w:rPr>
      </w:pPr>
    </w:p>
    <w:sectPr>
      <w:headerReference r:id="rId16" w:type="default"/>
      <w:foot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86B26AF"/>
    <w:rsid w:val="092E6FC0"/>
    <w:rsid w:val="0A5B1BB3"/>
    <w:rsid w:val="0ABC5DA6"/>
    <w:rsid w:val="0AEE1399"/>
    <w:rsid w:val="0BB87E47"/>
    <w:rsid w:val="0BEB3E35"/>
    <w:rsid w:val="0C3E4D15"/>
    <w:rsid w:val="0D1F249B"/>
    <w:rsid w:val="0D26388C"/>
    <w:rsid w:val="0D2D45FA"/>
    <w:rsid w:val="0D8A3C16"/>
    <w:rsid w:val="0EF9321E"/>
    <w:rsid w:val="0F4F0F37"/>
    <w:rsid w:val="0FBA6FCD"/>
    <w:rsid w:val="1009316D"/>
    <w:rsid w:val="108300B5"/>
    <w:rsid w:val="11044578"/>
    <w:rsid w:val="11C41133"/>
    <w:rsid w:val="1317485C"/>
    <w:rsid w:val="13D824C6"/>
    <w:rsid w:val="147A5E14"/>
    <w:rsid w:val="14D11CFB"/>
    <w:rsid w:val="15935DB5"/>
    <w:rsid w:val="15BB3449"/>
    <w:rsid w:val="17324323"/>
    <w:rsid w:val="17A1211B"/>
    <w:rsid w:val="17F359FB"/>
    <w:rsid w:val="18ED7A84"/>
    <w:rsid w:val="19255AF5"/>
    <w:rsid w:val="1A7E6296"/>
    <w:rsid w:val="1BCD722E"/>
    <w:rsid w:val="1BDA5AD7"/>
    <w:rsid w:val="1F0D01CA"/>
    <w:rsid w:val="21226BB2"/>
    <w:rsid w:val="21864056"/>
    <w:rsid w:val="222348FC"/>
    <w:rsid w:val="22F860AB"/>
    <w:rsid w:val="2486441F"/>
    <w:rsid w:val="24E6174E"/>
    <w:rsid w:val="25922C5A"/>
    <w:rsid w:val="263535D3"/>
    <w:rsid w:val="273F7D71"/>
    <w:rsid w:val="28426BC2"/>
    <w:rsid w:val="2863744A"/>
    <w:rsid w:val="29601F8B"/>
    <w:rsid w:val="296F02CD"/>
    <w:rsid w:val="2AA01F44"/>
    <w:rsid w:val="2C43216E"/>
    <w:rsid w:val="2CD472B8"/>
    <w:rsid w:val="2D4B12DF"/>
    <w:rsid w:val="2DB02B6B"/>
    <w:rsid w:val="2EB17C28"/>
    <w:rsid w:val="2ED06C87"/>
    <w:rsid w:val="300C58E0"/>
    <w:rsid w:val="30607DAE"/>
    <w:rsid w:val="31DA5A58"/>
    <w:rsid w:val="32FD7152"/>
    <w:rsid w:val="332D1E43"/>
    <w:rsid w:val="33D42561"/>
    <w:rsid w:val="34692D0C"/>
    <w:rsid w:val="34A20882"/>
    <w:rsid w:val="34B67588"/>
    <w:rsid w:val="35AA6A30"/>
    <w:rsid w:val="361F2D7D"/>
    <w:rsid w:val="365370CC"/>
    <w:rsid w:val="37556B60"/>
    <w:rsid w:val="38CD7FDC"/>
    <w:rsid w:val="3ACE5D4F"/>
    <w:rsid w:val="3C55524B"/>
    <w:rsid w:val="3CCE1388"/>
    <w:rsid w:val="3DF6488D"/>
    <w:rsid w:val="3F1C71CA"/>
    <w:rsid w:val="406334F2"/>
    <w:rsid w:val="406D5057"/>
    <w:rsid w:val="409F14A1"/>
    <w:rsid w:val="415F6EA3"/>
    <w:rsid w:val="446528DF"/>
    <w:rsid w:val="44F64ED7"/>
    <w:rsid w:val="452C7897"/>
    <w:rsid w:val="46151D23"/>
    <w:rsid w:val="46D026EE"/>
    <w:rsid w:val="475E104C"/>
    <w:rsid w:val="484C4ED6"/>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DE0514"/>
    <w:rsid w:val="573C43EC"/>
    <w:rsid w:val="57857077"/>
    <w:rsid w:val="58EA1C45"/>
    <w:rsid w:val="59AE6800"/>
    <w:rsid w:val="59D52FEA"/>
    <w:rsid w:val="5A1F6A46"/>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8F0514E"/>
    <w:rsid w:val="692F74C0"/>
    <w:rsid w:val="696405DD"/>
    <w:rsid w:val="69BE2355"/>
    <w:rsid w:val="6B75107A"/>
    <w:rsid w:val="6D5236ED"/>
    <w:rsid w:val="6F1D384D"/>
    <w:rsid w:val="6FE969BF"/>
    <w:rsid w:val="701245F9"/>
    <w:rsid w:val="71175C34"/>
    <w:rsid w:val="74D70DF7"/>
    <w:rsid w:val="750950F5"/>
    <w:rsid w:val="750D16CF"/>
    <w:rsid w:val="76F6623C"/>
    <w:rsid w:val="773622B4"/>
    <w:rsid w:val="789F3DA6"/>
    <w:rsid w:val="78A52377"/>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2">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2"/>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73"/>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1"/>
    <w:qFormat/>
    <w:uiPriority w:val="0"/>
    <w:rPr>
      <w:rFonts w:ascii="仿宋_GB2312" w:eastAsia="仿宋_GB2312"/>
      <w:sz w:val="32"/>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6"/>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19"/>
    <w:next w:val="19"/>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2"/>
    <w:qFormat/>
    <w:uiPriority w:val="0"/>
    <w:rPr>
      <w:rFonts w:ascii="Arial" w:hAnsi="Arial" w:eastAsia="黑体"/>
      <w:b/>
      <w:kern w:val="2"/>
      <w:sz w:val="32"/>
    </w:rPr>
  </w:style>
  <w:style w:type="character" w:customStyle="1" w:styleId="72">
    <w:name w:val="标题 3 字符"/>
    <w:link w:val="4"/>
    <w:qFormat/>
    <w:uiPriority w:val="0"/>
    <w:rPr>
      <w:rFonts w:eastAsia="宋体"/>
      <w:b/>
      <w:kern w:val="2"/>
      <w:sz w:val="32"/>
      <w:lang w:val="en-US" w:eastAsia="zh-CN"/>
    </w:rPr>
  </w:style>
  <w:style w:type="character" w:customStyle="1" w:styleId="73">
    <w:name w:val="批注文字 字符"/>
    <w:link w:val="19"/>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4"/>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2"/>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5"/>
    <w:qFormat/>
    <w:uiPriority w:val="0"/>
    <w:pPr>
      <w:numPr>
        <w:ilvl w:val="0"/>
        <w:numId w:val="8"/>
      </w:numPr>
      <w:spacing w:before="560" w:line="400" w:lineRule="exact"/>
      <w:jc w:val="center"/>
      <w:outlineLvl w:val="0"/>
    </w:pPr>
    <w:rPr>
      <w:b w:val="0"/>
      <w:sz w:val="44"/>
    </w:rPr>
  </w:style>
  <w:style w:type="paragraph" w:customStyle="1" w:styleId="142">
    <w:name w:val="内容标题"/>
    <w:basedOn w:val="17"/>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7"/>
    <w:qFormat/>
    <w:uiPriority w:val="0"/>
    <w:rPr>
      <w:rFonts w:ascii="宋体" w:hAnsi="Tahoma"/>
    </w:rPr>
  </w:style>
  <w:style w:type="paragraph" w:customStyle="1" w:styleId="148">
    <w:name w:val="样式 标题 6第五层条 + 三号 段前: 0.5 行"/>
    <w:basedOn w:val="7"/>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5"/>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4"/>
    <w:qFormat/>
    <w:uiPriority w:val="0"/>
    <w:pPr>
      <w:numPr>
        <w:ilvl w:val="2"/>
        <w:numId w:val="2"/>
      </w:numPr>
      <w:tabs>
        <w:tab w:val="left" w:pos="709"/>
        <w:tab w:val="left" w:pos="1620"/>
      </w:tabs>
    </w:pPr>
  </w:style>
  <w:style w:type="paragraph" w:customStyle="1" w:styleId="176">
    <w:name w:val="样式4"/>
    <w:basedOn w:val="5"/>
    <w:qFormat/>
    <w:uiPriority w:val="0"/>
    <w:pPr>
      <w:adjustRightInd w:val="0"/>
      <w:snapToGrid w:val="0"/>
    </w:pPr>
  </w:style>
  <w:style w:type="paragraph" w:customStyle="1" w:styleId="177">
    <w:name w:val="摘要"/>
    <w:basedOn w:val="1"/>
    <w:next w:val="2"/>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5"/>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header" Target="header3.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3</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2026-04-30T09:29:53Z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37856697CC384A849CD5B0797BB2D7BB</vt:lpwstr>
  </property>
</Properties>
</file>