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bookmarkStart w:id="0" w:name="_Toc4495"/>
      <w:bookmarkStart w:id="1" w:name="_Toc10778"/>
      <w:bookmarkStart w:id="2" w:name="_Toc30792"/>
      <w:bookmarkStart w:id="3" w:name="_Toc25824"/>
      <w:bookmarkStart w:id="4" w:name="_Toc31497"/>
      <w:bookmarkStart w:id="5" w:name="_Toc106030890"/>
      <w:bookmarkStart w:id="6" w:name="_Toc76462335"/>
      <w:bookmarkStart w:id="7" w:name="_Toc102227320"/>
      <w:bookmarkStart w:id="8" w:name="_Toc342913394"/>
    </w:p>
    <w:p>
      <w:pPr>
        <w:spacing w:line="1600" w:lineRule="exact"/>
        <w:jc w:val="center"/>
        <w:outlineLvl w:val="0"/>
        <w:rPr>
          <w:rFonts w:hint="eastAsia" w:ascii="微软雅黑" w:hAnsi="微软雅黑" w:eastAsia="微软雅黑" w:cs="微软雅黑"/>
          <w:sz w:val="100"/>
        </w:rPr>
      </w:pPr>
    </w:p>
    <w:p>
      <w:pPr>
        <w:pStyle w:val="69"/>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9"/>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70"/>
        <w:rPr>
          <w:rFonts w:hint="eastAsia" w:ascii="微软雅黑" w:hAnsi="微软雅黑" w:eastAsia="微软雅黑" w:cs="微软雅黑"/>
          <w:b w:val="0"/>
          <w:kern w:val="2"/>
          <w:sz w:val="44"/>
          <w:szCs w:val="44"/>
          <w:lang w:val="en-US" w:eastAsia="zh-CN" w:bidi="ar-SA"/>
        </w:rPr>
      </w:pPr>
    </w:p>
    <w:p>
      <w:pPr>
        <w:pStyle w:val="70"/>
        <w:rPr>
          <w:rFonts w:hint="eastAsia" w:ascii="微软雅黑" w:hAnsi="微软雅黑" w:eastAsia="微软雅黑" w:cs="微软雅黑"/>
          <w:b w:val="0"/>
          <w:kern w:val="2"/>
          <w:sz w:val="44"/>
          <w:szCs w:val="44"/>
          <w:lang w:val="en-US" w:eastAsia="zh-CN" w:bidi="ar-SA"/>
        </w:rPr>
      </w:pPr>
    </w:p>
    <w:p>
      <w:pPr>
        <w:spacing w:line="360" w:lineRule="auto"/>
        <w:ind w:firstLine="2160" w:firstLineChars="600"/>
        <w:outlineLvl w:val="0"/>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YXX260067</w:t>
      </w:r>
    </w:p>
    <w:p>
      <w:pPr>
        <w:spacing w:line="360" w:lineRule="auto"/>
        <w:ind w:firstLine="2160" w:firstLineChars="600"/>
        <w:outlineLvl w:val="0"/>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rPr>
        <w:t>集采药品管理系统</w:t>
      </w:r>
    </w:p>
    <w:p>
      <w:pPr>
        <w:spacing w:line="700" w:lineRule="exact"/>
        <w:jc w:val="both"/>
        <w:rPr>
          <w:rFonts w:hint="eastAsia" w:ascii="微软雅黑" w:hAnsi="微软雅黑" w:eastAsia="微软雅黑" w:cs="微软雅黑"/>
          <w:b/>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4</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"_Toc5302" </w:instrText>
      </w:r>
      <w:r>
        <w:rPr>
          <w:rFonts w:hint="eastAsia" w:ascii="微软雅黑" w:hAnsi="微软雅黑" w:eastAsia="微软雅黑" w:cs="微软雅黑"/>
        </w:rPr>
        <w:fldChar w:fldCharType="separate"/>
      </w:r>
      <w:r>
        <w:rPr>
          <w:rFonts w:hint="eastAsia" w:ascii="微软雅黑" w:hAnsi="微软雅黑" w:eastAsia="微软雅黑" w:cs="微软雅黑"/>
        </w:rPr>
        <w:t>第一篇  采购邀请书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_Toc5302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"_Toc8917" </w:instrText>
      </w:r>
      <w:r>
        <w:rPr>
          <w:rFonts w:hint="eastAsia" w:ascii="微软雅黑" w:hAnsi="微软雅黑" w:eastAsia="微软雅黑" w:cs="微软雅黑"/>
        </w:rPr>
        <w:fldChar w:fldCharType="separate"/>
      </w:r>
      <w:r>
        <w:rPr>
          <w:rFonts w:hint="eastAsia" w:ascii="微软雅黑" w:hAnsi="微软雅黑" w:eastAsia="微软雅黑" w:cs="微软雅黑"/>
        </w:rPr>
        <w:t>一、公开比选采购内容</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_Toc8917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"_Toc13455" </w:instrText>
      </w:r>
      <w:r>
        <w:rPr>
          <w:rFonts w:hint="eastAsia" w:ascii="微软雅黑" w:hAnsi="微软雅黑" w:eastAsia="微软雅黑" w:cs="微软雅黑"/>
        </w:rPr>
        <w:fldChar w:fldCharType="separate"/>
      </w:r>
      <w:r>
        <w:rPr>
          <w:rFonts w:hint="eastAsia" w:ascii="微软雅黑" w:hAnsi="微软雅黑" w:eastAsia="微软雅黑" w:cs="微软雅黑"/>
        </w:rPr>
        <w:t>二、投标人资格条件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_Toc13455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"_Toc29069" </w:instrText>
      </w:r>
      <w:r>
        <w:rPr>
          <w:rFonts w:hint="eastAsia" w:ascii="微软雅黑" w:hAnsi="微软雅黑" w:eastAsia="微软雅黑" w:cs="微软雅黑"/>
        </w:rPr>
        <w:fldChar w:fldCharType="separate"/>
      </w:r>
      <w:r>
        <w:rPr>
          <w:rFonts w:hint="eastAsia" w:ascii="微软雅黑" w:hAnsi="微软雅黑" w:eastAsia="微软雅黑" w:cs="微软雅黑"/>
        </w:rPr>
        <w:t>三、比选有关说明</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_Toc29069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"_Toc27275" </w:instrText>
      </w:r>
      <w:r>
        <w:rPr>
          <w:rFonts w:hint="eastAsia" w:ascii="微软雅黑" w:hAnsi="微软雅黑" w:eastAsia="微软雅黑" w:cs="微软雅黑"/>
        </w:rPr>
        <w:fldChar w:fldCharType="separate"/>
      </w:r>
      <w:r>
        <w:rPr>
          <w:rFonts w:hint="eastAsia" w:ascii="微软雅黑" w:hAnsi="微软雅黑" w:eastAsia="微软雅黑" w:cs="微软雅黑"/>
        </w:rPr>
        <w:t>四、保证金</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_Toc27275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"_Toc2344" </w:instrText>
      </w:r>
      <w:r>
        <w:rPr>
          <w:rFonts w:hint="eastAsia" w:ascii="微软雅黑" w:hAnsi="微软雅黑" w:eastAsia="微软雅黑" w:cs="微软雅黑"/>
        </w:rPr>
        <w:fldChar w:fldCharType="separate"/>
      </w:r>
      <w:r>
        <w:rPr>
          <w:rFonts w:hint="eastAsia" w:ascii="微软雅黑" w:hAnsi="微软雅黑" w:eastAsia="微软雅黑" w:cs="微软雅黑"/>
        </w:rPr>
        <w:t>五、</w:t>
      </w:r>
      <w:r>
        <w:rPr>
          <w:rFonts w:hint="eastAsia" w:ascii="微软雅黑" w:hAnsi="微软雅黑" w:eastAsia="微软雅黑" w:cs="微软雅黑"/>
          <w:lang w:eastAsia="zh-CN"/>
        </w:rPr>
        <w:t>其他</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_Toc2344 \h </w:instrText>
      </w:r>
      <w:r>
        <w:rPr>
          <w:rFonts w:hint="eastAsia" w:ascii="微软雅黑" w:hAnsi="微软雅黑" w:eastAsia="微软雅黑" w:cs="微软雅黑"/>
        </w:rPr>
        <w:fldChar w:fldCharType="separate"/>
      </w:r>
      <w:r>
        <w:rPr>
          <w:rFonts w:hint="eastAsia" w:ascii="微软雅黑" w:hAnsi="微软雅黑" w:eastAsia="微软雅黑" w:cs="微软雅黑"/>
        </w:rPr>
        <w:t>- 3 -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"_Toc29391" </w:instrText>
      </w:r>
      <w:r>
        <w:rPr>
          <w:rFonts w:hint="eastAsia" w:ascii="微软雅黑" w:hAnsi="微软雅黑" w:eastAsia="微软雅黑" w:cs="微软雅黑"/>
        </w:rPr>
        <w:fldChar w:fldCharType="separate"/>
      </w:r>
      <w:r>
        <w:rPr>
          <w:rFonts w:hint="eastAsia" w:ascii="微软雅黑" w:hAnsi="微软雅黑" w:eastAsia="微软雅黑" w:cs="微软雅黑"/>
        </w:rPr>
        <w:t>六、联系方式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_Toc29391 \h </w:instrText>
      </w:r>
      <w:r>
        <w:rPr>
          <w:rFonts w:hint="eastAsia" w:ascii="微软雅黑" w:hAnsi="微软雅黑" w:eastAsia="微软雅黑" w:cs="微软雅黑"/>
        </w:rPr>
        <w:fldChar w:fldCharType="separate"/>
      </w:r>
      <w:r>
        <w:rPr>
          <w:rFonts w:hint="eastAsia" w:ascii="微软雅黑" w:hAnsi="微软雅黑" w:eastAsia="微软雅黑" w:cs="微软雅黑"/>
        </w:rPr>
        <w:t>- 3 -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"_Toc10517" </w:instrText>
      </w:r>
      <w:r>
        <w:rPr>
          <w:rFonts w:hint="eastAsia" w:ascii="微软雅黑" w:hAnsi="微软雅黑" w:eastAsia="微软雅黑" w:cs="微软雅黑"/>
        </w:rPr>
        <w:fldChar w:fldCharType="separate"/>
      </w:r>
      <w:r>
        <w:rPr>
          <w:rFonts w:hint="eastAsia" w:ascii="微软雅黑" w:hAnsi="微软雅黑" w:eastAsia="微软雅黑" w:cs="微软雅黑"/>
        </w:rPr>
        <w:t>第二篇 项目技术（质量）及商务需求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_Toc10517 \h </w:instrText>
      </w:r>
      <w:r>
        <w:rPr>
          <w:rFonts w:hint="eastAsia" w:ascii="微软雅黑" w:hAnsi="微软雅黑" w:eastAsia="微软雅黑" w:cs="微软雅黑"/>
        </w:rPr>
        <w:fldChar w:fldCharType="separate"/>
      </w:r>
      <w:r>
        <w:rPr>
          <w:rFonts w:hint="eastAsia" w:ascii="微软雅黑" w:hAnsi="微软雅黑" w:eastAsia="微软雅黑" w:cs="微软雅黑"/>
        </w:rPr>
        <w:t>- 4 -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"_Toc8585" </w:instrText>
      </w:r>
      <w:r>
        <w:rPr>
          <w:rFonts w:hint="eastAsia" w:ascii="微软雅黑" w:hAnsi="微软雅黑" w:eastAsia="微软雅黑" w:cs="微软雅黑"/>
        </w:rPr>
        <w:fldChar w:fldCharType="separate"/>
      </w:r>
      <w:r>
        <w:rPr>
          <w:rFonts w:hint="eastAsia" w:ascii="微软雅黑" w:hAnsi="微软雅黑" w:eastAsia="微软雅黑" w:cs="微软雅黑"/>
        </w:rPr>
        <w:t>第三篇  公开比选采购程序及方法、评审标准、无效响应和采购终止</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_Toc8585 \h </w:instrText>
      </w:r>
      <w:r>
        <w:rPr>
          <w:rFonts w:hint="eastAsia" w:ascii="微软雅黑" w:hAnsi="微软雅黑" w:eastAsia="微软雅黑" w:cs="微软雅黑"/>
        </w:rPr>
        <w:fldChar w:fldCharType="separate"/>
      </w:r>
      <w:r>
        <w:rPr>
          <w:rFonts w:hint="eastAsia" w:ascii="微软雅黑" w:hAnsi="微软雅黑" w:eastAsia="微软雅黑" w:cs="微软雅黑"/>
        </w:rPr>
        <w:t>- 5 -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"_Toc18313" </w:instrText>
      </w:r>
      <w:r>
        <w:rPr>
          <w:rFonts w:hint="eastAsia" w:ascii="微软雅黑" w:hAnsi="微软雅黑" w:eastAsia="微软雅黑" w:cs="微软雅黑"/>
        </w:rPr>
        <w:fldChar w:fldCharType="separate"/>
      </w:r>
      <w:r>
        <w:rPr>
          <w:rFonts w:hint="eastAsia" w:ascii="微软雅黑" w:hAnsi="微软雅黑" w:eastAsia="微软雅黑" w:cs="微软雅黑"/>
        </w:rPr>
        <w:t>一、公开比选采购程序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_Toc18313 \h </w:instrText>
      </w:r>
      <w:r>
        <w:rPr>
          <w:rFonts w:hint="eastAsia" w:ascii="微软雅黑" w:hAnsi="微软雅黑" w:eastAsia="微软雅黑" w:cs="微软雅黑"/>
        </w:rPr>
        <w:fldChar w:fldCharType="separate"/>
      </w:r>
      <w:r>
        <w:rPr>
          <w:rFonts w:hint="eastAsia" w:ascii="微软雅黑" w:hAnsi="微软雅黑" w:eastAsia="微软雅黑" w:cs="微软雅黑"/>
        </w:rPr>
        <w:t>- 5 -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"_Toc17379" </w:instrText>
      </w:r>
      <w:r>
        <w:rPr>
          <w:rFonts w:hint="eastAsia" w:ascii="微软雅黑" w:hAnsi="微软雅黑" w:eastAsia="微软雅黑" w:cs="微软雅黑"/>
        </w:rPr>
        <w:fldChar w:fldCharType="separate"/>
      </w:r>
      <w:r>
        <w:rPr>
          <w:rFonts w:hint="eastAsia" w:ascii="微软雅黑" w:hAnsi="微软雅黑" w:eastAsia="微软雅黑" w:cs="微软雅黑"/>
        </w:rPr>
        <w:t>二、评标方法</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_Toc17379 \h </w:instrText>
      </w:r>
      <w:r>
        <w:rPr>
          <w:rFonts w:hint="eastAsia" w:ascii="微软雅黑" w:hAnsi="微软雅黑" w:eastAsia="微软雅黑" w:cs="微软雅黑"/>
        </w:rPr>
        <w:fldChar w:fldCharType="separate"/>
      </w:r>
      <w:r>
        <w:rPr>
          <w:rFonts w:hint="eastAsia" w:ascii="微软雅黑" w:hAnsi="微软雅黑" w:eastAsia="微软雅黑" w:cs="微软雅黑"/>
        </w:rPr>
        <w:t>- 6 -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"_Toc4054" </w:instrText>
      </w:r>
      <w:r>
        <w:rPr>
          <w:rFonts w:hint="eastAsia" w:ascii="微软雅黑" w:hAnsi="微软雅黑" w:eastAsia="微软雅黑" w:cs="微软雅黑"/>
        </w:rPr>
        <w:fldChar w:fldCharType="separate"/>
      </w:r>
      <w:r>
        <w:rPr>
          <w:rFonts w:hint="eastAsia" w:ascii="微软雅黑" w:hAnsi="微软雅黑" w:eastAsia="微软雅黑" w:cs="微软雅黑"/>
          <w:lang w:val="en-US" w:eastAsia="zh-CN"/>
        </w:rPr>
        <w:t>三</w:t>
      </w:r>
      <w:r>
        <w:rPr>
          <w:rFonts w:hint="eastAsia" w:ascii="微软雅黑" w:hAnsi="微软雅黑" w:eastAsia="微软雅黑" w:cs="微软雅黑"/>
        </w:rPr>
        <w:t>、评审标准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_Toc4054 \h </w:instrText>
      </w:r>
      <w:r>
        <w:rPr>
          <w:rFonts w:hint="eastAsia" w:ascii="微软雅黑" w:hAnsi="微软雅黑" w:eastAsia="微软雅黑" w:cs="微软雅黑"/>
        </w:rPr>
        <w:fldChar w:fldCharType="separate"/>
      </w:r>
      <w:r>
        <w:rPr>
          <w:rFonts w:hint="eastAsia" w:ascii="微软雅黑" w:hAnsi="微软雅黑" w:eastAsia="微软雅黑" w:cs="微软雅黑"/>
        </w:rPr>
        <w:t>- 6 -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"_Toc2214" </w:instrText>
      </w:r>
      <w:r>
        <w:rPr>
          <w:rFonts w:hint="eastAsia" w:ascii="微软雅黑" w:hAnsi="微软雅黑" w:eastAsia="微软雅黑" w:cs="微软雅黑"/>
        </w:rPr>
        <w:fldChar w:fldCharType="separate"/>
      </w:r>
      <w:r>
        <w:rPr>
          <w:rFonts w:hint="eastAsia" w:ascii="微软雅黑" w:hAnsi="微软雅黑" w:eastAsia="微软雅黑" w:cs="微软雅黑"/>
        </w:rPr>
        <w:t>四、无效响应</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_Toc2214 \h </w:instrText>
      </w:r>
      <w:r>
        <w:rPr>
          <w:rFonts w:hint="eastAsia" w:ascii="微软雅黑" w:hAnsi="微软雅黑" w:eastAsia="微软雅黑" w:cs="微软雅黑"/>
        </w:rPr>
        <w:fldChar w:fldCharType="separate"/>
      </w:r>
      <w:r>
        <w:rPr>
          <w:rFonts w:hint="eastAsia" w:ascii="微软雅黑" w:hAnsi="微软雅黑" w:eastAsia="微软雅黑" w:cs="微软雅黑"/>
        </w:rPr>
        <w:t>- 6 -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"_Toc1725" </w:instrText>
      </w:r>
      <w:r>
        <w:rPr>
          <w:rFonts w:hint="eastAsia" w:ascii="微软雅黑" w:hAnsi="微软雅黑" w:eastAsia="微软雅黑" w:cs="微软雅黑"/>
        </w:rPr>
        <w:fldChar w:fldCharType="separate"/>
      </w:r>
      <w:r>
        <w:rPr>
          <w:rFonts w:hint="eastAsia" w:ascii="微软雅黑" w:hAnsi="微软雅黑" w:eastAsia="微软雅黑" w:cs="微软雅黑"/>
        </w:rPr>
        <w:t>五、废标条款</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_Toc1725 \h </w:instrText>
      </w:r>
      <w:r>
        <w:rPr>
          <w:rFonts w:hint="eastAsia" w:ascii="微软雅黑" w:hAnsi="微软雅黑" w:eastAsia="微软雅黑" w:cs="微软雅黑"/>
        </w:rPr>
        <w:fldChar w:fldCharType="separate"/>
      </w:r>
      <w:r>
        <w:rPr>
          <w:rFonts w:hint="eastAsia" w:ascii="微软雅黑" w:hAnsi="微软雅黑" w:eastAsia="微软雅黑" w:cs="微软雅黑"/>
        </w:rPr>
        <w:t>- 7 -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"_Toc5273" </w:instrText>
      </w:r>
      <w:r>
        <w:rPr>
          <w:rFonts w:hint="eastAsia" w:ascii="微软雅黑" w:hAnsi="微软雅黑" w:eastAsia="微软雅黑" w:cs="微软雅黑"/>
        </w:rPr>
        <w:fldChar w:fldCharType="separate"/>
      </w:r>
      <w:r>
        <w:rPr>
          <w:rFonts w:hint="eastAsia" w:ascii="微软雅黑" w:hAnsi="微软雅黑" w:eastAsia="微软雅黑" w:cs="微软雅黑"/>
        </w:rPr>
        <w:t>第四篇  投标人须知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_Toc5273 \h </w:instrText>
      </w:r>
      <w:r>
        <w:rPr>
          <w:rFonts w:hint="eastAsia" w:ascii="微软雅黑" w:hAnsi="微软雅黑" w:eastAsia="微软雅黑" w:cs="微软雅黑"/>
        </w:rPr>
        <w:fldChar w:fldCharType="separate"/>
      </w:r>
      <w:r>
        <w:rPr>
          <w:rFonts w:hint="eastAsia" w:ascii="微软雅黑" w:hAnsi="微软雅黑" w:eastAsia="微软雅黑" w:cs="微软雅黑"/>
        </w:rPr>
        <w:t>- 8 -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"_Toc19855" </w:instrText>
      </w:r>
      <w:r>
        <w:rPr>
          <w:rFonts w:hint="eastAsia" w:ascii="微软雅黑" w:hAnsi="微软雅黑" w:eastAsia="微软雅黑" w:cs="微软雅黑"/>
        </w:rPr>
        <w:fldChar w:fldCharType="separate"/>
      </w:r>
      <w:r>
        <w:rPr>
          <w:rFonts w:hint="eastAsia" w:ascii="微软雅黑" w:hAnsi="微软雅黑" w:eastAsia="微软雅黑" w:cs="微软雅黑"/>
        </w:rPr>
        <w:t>一、公开比选费用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_Toc19855 \h </w:instrText>
      </w:r>
      <w:r>
        <w:rPr>
          <w:rFonts w:hint="eastAsia" w:ascii="微软雅黑" w:hAnsi="微软雅黑" w:eastAsia="微软雅黑" w:cs="微软雅黑"/>
        </w:rPr>
        <w:fldChar w:fldCharType="separate"/>
      </w:r>
      <w:r>
        <w:rPr>
          <w:rFonts w:hint="eastAsia" w:ascii="微软雅黑" w:hAnsi="微软雅黑" w:eastAsia="微软雅黑" w:cs="微软雅黑"/>
        </w:rPr>
        <w:t>- 8 -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"_Toc19008" </w:instrText>
      </w:r>
      <w:r>
        <w:rPr>
          <w:rFonts w:hint="eastAsia" w:ascii="微软雅黑" w:hAnsi="微软雅黑" w:eastAsia="微软雅黑" w:cs="微软雅黑"/>
        </w:rPr>
        <w:fldChar w:fldCharType="separate"/>
      </w:r>
      <w:r>
        <w:rPr>
          <w:rFonts w:hint="eastAsia" w:ascii="微软雅黑" w:hAnsi="微软雅黑" w:eastAsia="微软雅黑" w:cs="微软雅黑"/>
        </w:rPr>
        <w:t>二、公开比选采购文件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_Toc19008 \h </w:instrText>
      </w:r>
      <w:r>
        <w:rPr>
          <w:rFonts w:hint="eastAsia" w:ascii="微软雅黑" w:hAnsi="微软雅黑" w:eastAsia="微软雅黑" w:cs="微软雅黑"/>
        </w:rPr>
        <w:fldChar w:fldCharType="separate"/>
      </w:r>
      <w:r>
        <w:rPr>
          <w:rFonts w:hint="eastAsia" w:ascii="微软雅黑" w:hAnsi="微软雅黑" w:eastAsia="微软雅黑" w:cs="微软雅黑"/>
        </w:rPr>
        <w:t>- 8 -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"_Toc12263" </w:instrText>
      </w:r>
      <w:r>
        <w:rPr>
          <w:rFonts w:hint="eastAsia" w:ascii="微软雅黑" w:hAnsi="微软雅黑" w:eastAsia="微软雅黑" w:cs="微软雅黑"/>
        </w:rPr>
        <w:fldChar w:fldCharType="separate"/>
      </w:r>
      <w:r>
        <w:rPr>
          <w:rFonts w:hint="eastAsia" w:ascii="微软雅黑" w:hAnsi="微软雅黑" w:eastAsia="微软雅黑" w:cs="微软雅黑"/>
        </w:rPr>
        <w:t>三、比选要求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_Toc12263 \h </w:instrText>
      </w:r>
      <w:r>
        <w:rPr>
          <w:rFonts w:hint="eastAsia" w:ascii="微软雅黑" w:hAnsi="微软雅黑" w:eastAsia="微软雅黑" w:cs="微软雅黑"/>
        </w:rPr>
        <w:fldChar w:fldCharType="separate"/>
      </w:r>
      <w:r>
        <w:rPr>
          <w:rFonts w:hint="eastAsia" w:ascii="微软雅黑" w:hAnsi="微软雅黑" w:eastAsia="微软雅黑" w:cs="微软雅黑"/>
        </w:rPr>
        <w:t>- 8 -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"_Toc13425" </w:instrText>
      </w:r>
      <w:r>
        <w:rPr>
          <w:rFonts w:hint="eastAsia" w:ascii="微软雅黑" w:hAnsi="微软雅黑" w:eastAsia="微软雅黑" w:cs="微软雅黑"/>
        </w:rPr>
        <w:fldChar w:fldCharType="separate"/>
      </w:r>
      <w:r>
        <w:rPr>
          <w:rFonts w:hint="eastAsia" w:ascii="微软雅黑" w:hAnsi="微软雅黑" w:eastAsia="微软雅黑" w:cs="微软雅黑"/>
        </w:rPr>
        <w:t>四、中标人的确认和变更</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_Toc13425 \h </w:instrText>
      </w:r>
      <w:r>
        <w:rPr>
          <w:rFonts w:hint="eastAsia" w:ascii="微软雅黑" w:hAnsi="微软雅黑" w:eastAsia="微软雅黑" w:cs="微软雅黑"/>
        </w:rPr>
        <w:fldChar w:fldCharType="separate"/>
      </w:r>
      <w:r>
        <w:rPr>
          <w:rFonts w:hint="eastAsia" w:ascii="微软雅黑" w:hAnsi="微软雅黑" w:eastAsia="微软雅黑" w:cs="微软雅黑"/>
        </w:rPr>
        <w:t>- 9 -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"_Toc27713" </w:instrText>
      </w:r>
      <w:r>
        <w:rPr>
          <w:rFonts w:hint="eastAsia" w:ascii="微软雅黑" w:hAnsi="微软雅黑" w:eastAsia="微软雅黑" w:cs="微软雅黑"/>
        </w:rPr>
        <w:fldChar w:fldCharType="separate"/>
      </w:r>
      <w:r>
        <w:rPr>
          <w:rFonts w:hint="eastAsia" w:ascii="微软雅黑" w:hAnsi="微软雅黑" w:eastAsia="微软雅黑" w:cs="微软雅黑"/>
        </w:rPr>
        <w:t>五、成交通知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_Toc27713 \h </w:instrText>
      </w:r>
      <w:r>
        <w:rPr>
          <w:rFonts w:hint="eastAsia" w:ascii="微软雅黑" w:hAnsi="微软雅黑" w:eastAsia="微软雅黑" w:cs="微软雅黑"/>
        </w:rPr>
        <w:fldChar w:fldCharType="separate"/>
      </w:r>
      <w:r>
        <w:rPr>
          <w:rFonts w:hint="eastAsia" w:ascii="微软雅黑" w:hAnsi="微软雅黑" w:eastAsia="微软雅黑" w:cs="微软雅黑"/>
        </w:rPr>
        <w:t>- 9 -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"_Toc696" </w:instrText>
      </w:r>
      <w:r>
        <w:rPr>
          <w:rFonts w:hint="eastAsia" w:ascii="微软雅黑" w:hAnsi="微软雅黑" w:eastAsia="微软雅黑" w:cs="微软雅黑"/>
        </w:rPr>
        <w:fldChar w:fldCharType="separate"/>
      </w:r>
      <w:r>
        <w:rPr>
          <w:rFonts w:hint="eastAsia" w:ascii="微软雅黑" w:hAnsi="微软雅黑" w:eastAsia="微软雅黑" w:cs="微软雅黑"/>
        </w:rPr>
        <w:t>六、质疑处理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_Toc696 \h </w:instrText>
      </w:r>
      <w:r>
        <w:rPr>
          <w:rFonts w:hint="eastAsia" w:ascii="微软雅黑" w:hAnsi="微软雅黑" w:eastAsia="微软雅黑" w:cs="微软雅黑"/>
        </w:rPr>
        <w:fldChar w:fldCharType="separate"/>
      </w:r>
      <w:r>
        <w:rPr>
          <w:rFonts w:hint="eastAsia" w:ascii="微软雅黑" w:hAnsi="微软雅黑" w:eastAsia="微软雅黑" w:cs="微软雅黑"/>
        </w:rPr>
        <w:t>- 9 -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"_Toc6926" </w:instrText>
      </w:r>
      <w:r>
        <w:rPr>
          <w:rFonts w:hint="eastAsia" w:ascii="微软雅黑" w:hAnsi="微软雅黑" w:eastAsia="微软雅黑" w:cs="微软雅黑"/>
        </w:rPr>
        <w:fldChar w:fldCharType="separate"/>
      </w:r>
      <w:r>
        <w:rPr>
          <w:rFonts w:hint="eastAsia" w:ascii="微软雅黑" w:hAnsi="微软雅黑" w:eastAsia="微软雅黑" w:cs="微软雅黑"/>
        </w:rPr>
        <w:t>七、签订合同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_Toc6926 \h </w:instrText>
      </w:r>
      <w:r>
        <w:rPr>
          <w:rFonts w:hint="eastAsia" w:ascii="微软雅黑" w:hAnsi="微软雅黑" w:eastAsia="微软雅黑" w:cs="微软雅黑"/>
        </w:rPr>
        <w:fldChar w:fldCharType="separate"/>
      </w:r>
      <w:r>
        <w:rPr>
          <w:rFonts w:hint="eastAsia" w:ascii="微软雅黑" w:hAnsi="微软雅黑" w:eastAsia="微软雅黑" w:cs="微软雅黑"/>
        </w:rPr>
        <w:t>- 10 -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"_Toc16009" </w:instrText>
      </w:r>
      <w:r>
        <w:rPr>
          <w:rFonts w:hint="eastAsia" w:ascii="微软雅黑" w:hAnsi="微软雅黑" w:eastAsia="微软雅黑" w:cs="微软雅黑"/>
        </w:rPr>
        <w:fldChar w:fldCharType="separate"/>
      </w:r>
      <w:r>
        <w:rPr>
          <w:rFonts w:hint="eastAsia" w:ascii="微软雅黑" w:hAnsi="微软雅黑" w:eastAsia="微软雅黑" w:cs="微软雅黑"/>
        </w:rPr>
        <w:t>第五篇  响应文件编制要求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_Toc16009 \h </w:instrText>
      </w:r>
      <w:r>
        <w:rPr>
          <w:rFonts w:hint="eastAsia" w:ascii="微软雅黑" w:hAnsi="微软雅黑" w:eastAsia="微软雅黑" w:cs="微软雅黑"/>
        </w:rPr>
        <w:fldChar w:fldCharType="separate"/>
      </w:r>
      <w:r>
        <w:rPr>
          <w:rFonts w:hint="eastAsia" w:ascii="微软雅黑" w:hAnsi="微软雅黑" w:eastAsia="微软雅黑" w:cs="微软雅黑"/>
        </w:rPr>
        <w:t>- 11 -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"_Toc20374" </w:instrText>
      </w:r>
      <w:r>
        <w:rPr>
          <w:rFonts w:hint="eastAsia" w:ascii="微软雅黑" w:hAnsi="微软雅黑" w:eastAsia="微软雅黑" w:cs="微软雅黑"/>
        </w:rPr>
        <w:fldChar w:fldCharType="separate"/>
      </w:r>
      <w:r>
        <w:rPr>
          <w:rFonts w:hint="eastAsia" w:ascii="微软雅黑" w:hAnsi="微软雅黑" w:eastAsia="微软雅黑" w:cs="微软雅黑"/>
        </w:rPr>
        <w:t>一、经济部分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_Toc20374 \h </w:instrText>
      </w:r>
      <w:r>
        <w:rPr>
          <w:rFonts w:hint="eastAsia" w:ascii="微软雅黑" w:hAnsi="微软雅黑" w:eastAsia="微软雅黑" w:cs="微软雅黑"/>
        </w:rPr>
        <w:fldChar w:fldCharType="separate"/>
      </w:r>
      <w:r>
        <w:rPr>
          <w:rFonts w:hint="eastAsia" w:ascii="微软雅黑" w:hAnsi="微软雅黑" w:eastAsia="微软雅黑" w:cs="微软雅黑"/>
        </w:rPr>
        <w:t>- 13 -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"_Toc10022" </w:instrText>
      </w:r>
      <w:r>
        <w:rPr>
          <w:rFonts w:hint="eastAsia" w:ascii="微软雅黑" w:hAnsi="微软雅黑" w:eastAsia="微软雅黑" w:cs="微软雅黑"/>
        </w:rPr>
        <w:fldChar w:fldCharType="separate"/>
      </w:r>
      <w:r>
        <w:rPr>
          <w:rFonts w:hint="eastAsia" w:ascii="微软雅黑" w:hAnsi="微软雅黑" w:eastAsia="微软雅黑" w:cs="微软雅黑"/>
        </w:rPr>
        <w:t>二、技术部分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_Toc10022 \h </w:instrText>
      </w:r>
      <w:r>
        <w:rPr>
          <w:rFonts w:hint="eastAsia" w:ascii="微软雅黑" w:hAnsi="微软雅黑" w:eastAsia="微软雅黑" w:cs="微软雅黑"/>
        </w:rPr>
        <w:fldChar w:fldCharType="separate"/>
      </w:r>
      <w:r>
        <w:rPr>
          <w:rFonts w:hint="eastAsia" w:ascii="微软雅黑" w:hAnsi="微软雅黑" w:eastAsia="微软雅黑" w:cs="微软雅黑"/>
        </w:rPr>
        <w:t>- 15 -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"_Toc18624" </w:instrText>
      </w:r>
      <w:r>
        <w:rPr>
          <w:rFonts w:hint="eastAsia" w:ascii="微软雅黑" w:hAnsi="微软雅黑" w:eastAsia="微软雅黑" w:cs="微软雅黑"/>
        </w:rPr>
        <w:fldChar w:fldCharType="separate"/>
      </w:r>
      <w:r>
        <w:rPr>
          <w:rFonts w:hint="eastAsia" w:ascii="微软雅黑" w:hAnsi="微软雅黑" w:eastAsia="微软雅黑" w:cs="微软雅黑"/>
        </w:rPr>
        <w:t>三、商务部分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_Toc18624 \h </w:instrText>
      </w:r>
      <w:r>
        <w:rPr>
          <w:rFonts w:hint="eastAsia" w:ascii="微软雅黑" w:hAnsi="微软雅黑" w:eastAsia="微软雅黑" w:cs="微软雅黑"/>
        </w:rPr>
        <w:fldChar w:fldCharType="separate"/>
      </w:r>
      <w:r>
        <w:rPr>
          <w:rFonts w:hint="eastAsia" w:ascii="微软雅黑" w:hAnsi="微软雅黑" w:eastAsia="微软雅黑" w:cs="微软雅黑"/>
        </w:rPr>
        <w:t>- 17 -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4"/>
        <w:bidi w:val="0"/>
        <w:spacing w:line="240" w:lineRule="auto"/>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"_Toc20931" </w:instrText>
      </w:r>
      <w:r>
        <w:rPr>
          <w:rFonts w:hint="eastAsia" w:ascii="微软雅黑" w:hAnsi="微软雅黑" w:eastAsia="微软雅黑" w:cs="微软雅黑"/>
        </w:rPr>
        <w:fldChar w:fldCharType="separate"/>
      </w:r>
      <w:r>
        <w:rPr>
          <w:rFonts w:hint="eastAsia" w:ascii="微软雅黑" w:hAnsi="微软雅黑" w:eastAsia="微软雅黑" w:cs="微软雅黑"/>
        </w:rPr>
        <w:t>四、资格条件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_Toc20931 \h </w:instrText>
      </w:r>
      <w:r>
        <w:rPr>
          <w:rFonts w:hint="eastAsia" w:ascii="微软雅黑" w:hAnsi="微软雅黑" w:eastAsia="微软雅黑" w:cs="微软雅黑"/>
        </w:rPr>
        <w:fldChar w:fldCharType="separate"/>
      </w:r>
      <w:r>
        <w:rPr>
          <w:rFonts w:hint="eastAsia" w:ascii="微软雅黑" w:hAnsi="微软雅黑" w:eastAsia="微软雅黑" w:cs="微软雅黑"/>
        </w:rPr>
        <w:t>- 19 -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9" w:name="_Toc76462316"/>
      <w:bookmarkStart w:id="10" w:name="_Toc5302"/>
      <w:bookmarkStart w:id="11" w:name="_Toc24037"/>
      <w:bookmarkStart w:id="12" w:name="_Toc12789052"/>
      <w:bookmarkStart w:id="13" w:name="_Toc11641050"/>
      <w:bookmarkStart w:id="14" w:name="_Toc106030870"/>
      <w:bookmarkStart w:id="15" w:name="_Toc317775178"/>
      <w:r>
        <w:rPr>
          <w:rFonts w:hint="eastAsia" w:ascii="微软雅黑" w:hAnsi="微软雅黑" w:eastAsia="微软雅黑" w:cs="微软雅黑"/>
          <w:sz w:val="44"/>
        </w:rPr>
        <w:t>第一篇  采购邀请书</w:t>
      </w:r>
      <w:bookmarkEnd w:id="9"/>
      <w:bookmarkEnd w:id="10"/>
      <w:bookmarkEnd w:id="11"/>
      <w:bookmarkEnd w:id="12"/>
      <w:bookmarkEnd w:id="13"/>
      <w:bookmarkEnd w:id="14"/>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集采药品管理系统</w:t>
      </w:r>
      <w:r>
        <w:rPr>
          <w:rFonts w:hint="eastAsia" w:ascii="微软雅黑" w:hAnsi="微软雅黑" w:eastAsia="微软雅黑" w:cs="微软雅黑"/>
          <w:sz w:val="24"/>
          <w:szCs w:val="24"/>
        </w:rPr>
        <w:t>项目进行公开比选采购。欢迎有资格的投标人前来参与。</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313893526"/>
      <w:bookmarkStart w:id="17" w:name="_Toc76462317"/>
      <w:bookmarkStart w:id="18" w:name="_Toc317775175"/>
      <w:bookmarkStart w:id="19" w:name="_Toc3856"/>
      <w:bookmarkStart w:id="20" w:name="_Toc106030871"/>
      <w:bookmarkStart w:id="21" w:name="_Toc8917"/>
      <w:r>
        <w:rPr>
          <w:rFonts w:hint="eastAsia" w:ascii="微软雅黑" w:hAnsi="微软雅黑" w:eastAsia="微软雅黑" w:cs="微软雅黑"/>
          <w:sz w:val="24"/>
        </w:rPr>
        <w:t>一、公开比选采购内容</w:t>
      </w:r>
      <w:bookmarkEnd w:id="16"/>
      <w:bookmarkEnd w:id="17"/>
      <w:bookmarkEnd w:id="18"/>
      <w:bookmarkEnd w:id="19"/>
      <w:bookmarkEnd w:id="20"/>
      <w:bookmarkEnd w:id="21"/>
    </w:p>
    <w:tbl>
      <w:tblPr>
        <w:tblStyle w:val="57"/>
        <w:tblW w:w="45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2785"/>
        <w:gridCol w:w="1504"/>
        <w:gridCol w:w="1373"/>
        <w:gridCol w:w="1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2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22" w:name="_Toc106030872"/>
            <w:bookmarkStart w:id="23" w:name="_Toc76462318"/>
            <w:bookmarkStart w:id="24" w:name="_Toc373860293"/>
            <w:r>
              <w:rPr>
                <w:rFonts w:hint="eastAsia" w:ascii="微软雅黑" w:hAnsi="微软雅黑" w:eastAsia="微软雅黑" w:cs="微软雅黑"/>
                <w:b/>
                <w:bCs/>
                <w:kern w:val="0"/>
                <w:sz w:val="21"/>
                <w:szCs w:val="24"/>
              </w:rPr>
              <w:t>项目编号</w:t>
            </w:r>
          </w:p>
        </w:tc>
        <w:tc>
          <w:tcPr>
            <w:tcW w:w="160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86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最高限价</w:t>
            </w:r>
          </w:p>
        </w:tc>
        <w:tc>
          <w:tcPr>
            <w:tcW w:w="79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投标保证金</w:t>
            </w:r>
          </w:p>
        </w:tc>
        <w:tc>
          <w:tcPr>
            <w:tcW w:w="90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2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YXX260067</w:t>
            </w:r>
          </w:p>
        </w:tc>
        <w:tc>
          <w:tcPr>
            <w:tcW w:w="160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集采药品管理系统</w:t>
            </w:r>
          </w:p>
        </w:tc>
        <w:tc>
          <w:tcPr>
            <w:tcW w:w="867"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15万元</w:t>
            </w:r>
          </w:p>
        </w:tc>
        <w:tc>
          <w:tcPr>
            <w:tcW w:w="791"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2000元</w:t>
            </w:r>
          </w:p>
        </w:tc>
        <w:tc>
          <w:tcPr>
            <w:tcW w:w="90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9755"/>
      <w:bookmarkStart w:id="26" w:name="_Toc13455"/>
      <w:r>
        <w:rPr>
          <w:rFonts w:hint="eastAsia" w:ascii="微软雅黑" w:hAnsi="微软雅黑" w:eastAsia="微软雅黑" w:cs="微软雅黑"/>
          <w:sz w:val="24"/>
        </w:rPr>
        <w:t>二、</w:t>
      </w:r>
      <w:bookmarkEnd w:id="22"/>
      <w:bookmarkEnd w:id="23"/>
      <w:bookmarkEnd w:id="25"/>
      <w:bookmarkStart w:id="27" w:name="_Toc4480"/>
      <w:bookmarkStart w:id="28" w:name="_Toc106030873"/>
      <w:bookmarkStart w:id="29" w:name="_Toc76462319"/>
      <w:r>
        <w:rPr>
          <w:rFonts w:hint="eastAsia" w:ascii="微软雅黑" w:hAnsi="微软雅黑" w:eastAsia="微软雅黑" w:cs="微软雅黑"/>
          <w:sz w:val="24"/>
        </w:rPr>
        <w:t>投标人资格条件</w:t>
      </w:r>
      <w:bookmarkEnd w:id="26"/>
      <w:bookmarkEnd w:id="27"/>
      <w:bookmarkEnd w:id="28"/>
      <w:bookmarkEnd w:id="2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30" w:name="_Toc106030874"/>
      <w:bookmarkStart w:id="31" w:name="_Toc76462320"/>
      <w:bookmarkStart w:id="32" w:name="_Toc27954"/>
      <w:r>
        <w:rPr>
          <w:rFonts w:hint="eastAsia" w:ascii="微软雅黑" w:hAnsi="微软雅黑" w:eastAsia="微软雅黑" w:cs="微软雅黑"/>
          <w:sz w:val="24"/>
          <w:szCs w:val="24"/>
          <w:lang w:val="en-US" w:eastAsia="zh-CN"/>
        </w:rPr>
        <w:t>无</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29069"/>
      <w:r>
        <w:rPr>
          <w:rFonts w:hint="eastAsia" w:ascii="微软雅黑" w:hAnsi="微软雅黑" w:eastAsia="微软雅黑" w:cs="微软雅黑"/>
          <w:sz w:val="24"/>
        </w:rPr>
        <w:t>三、比选有关说明</w:t>
      </w:r>
      <w:bookmarkEnd w:id="24"/>
      <w:bookmarkEnd w:id="30"/>
      <w:bookmarkEnd w:id="31"/>
      <w:bookmarkEnd w:id="32"/>
      <w:bookmarkEnd w:id="3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w:t>
      </w:r>
      <w:r>
        <w:rPr>
          <w:rFonts w:hint="eastAsia" w:ascii="微软雅黑" w:hAnsi="微软雅黑" w:eastAsia="微软雅黑" w:cs="微软雅黑"/>
          <w:sz w:val="24"/>
          <w:szCs w:val="24"/>
          <w:lang w:eastAsia="zh-CN"/>
        </w:rPr>
        <w:t>其他</w:t>
      </w:r>
      <w:r>
        <w:rPr>
          <w:rFonts w:hint="eastAsia" w:ascii="微软雅黑" w:hAnsi="微软雅黑" w:eastAsia="微软雅黑" w:cs="微软雅黑"/>
          <w:sz w:val="24"/>
          <w:szCs w:val="24"/>
        </w:rPr>
        <w:t>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4" w:name="_Toc1546"/>
      <w:bookmarkStart w:id="35" w:name="_Toc2344"/>
      <w:bookmarkStart w:id="36" w:name="_Toc525047162"/>
      <w:bookmarkStart w:id="37" w:name="_Toc4355"/>
      <w:bookmarkStart w:id="38" w:name="_Toc106034626"/>
      <w:bookmarkStart w:id="39" w:name="_Toc65660335"/>
      <w:bookmarkStart w:id="40" w:name="_Toc2945"/>
      <w:bookmarkStart w:id="41" w:name="_Toc521053054"/>
      <w:r>
        <w:rPr>
          <w:rFonts w:hint="eastAsia" w:ascii="微软雅黑" w:hAnsi="微软雅黑" w:eastAsia="微软雅黑" w:cs="微软雅黑"/>
          <w:color w:val="auto"/>
          <w:sz w:val="24"/>
          <w:lang w:val="en-US" w:eastAsia="zh-CN"/>
        </w:rPr>
        <w:t>四</w:t>
      </w:r>
      <w:r>
        <w:rPr>
          <w:rFonts w:hint="eastAsia" w:ascii="微软雅黑" w:hAnsi="微软雅黑" w:eastAsia="微软雅黑" w:cs="微软雅黑"/>
          <w:color w:val="auto"/>
          <w:sz w:val="24"/>
        </w:rPr>
        <w:t>、</w:t>
      </w:r>
      <w:bookmarkEnd w:id="34"/>
      <w:bookmarkEnd w:id="35"/>
      <w:bookmarkEnd w:id="36"/>
      <w:bookmarkEnd w:id="37"/>
      <w:bookmarkEnd w:id="38"/>
      <w:bookmarkEnd w:id="39"/>
      <w:bookmarkEnd w:id="40"/>
      <w:bookmarkEnd w:id="41"/>
      <w:r>
        <w:rPr>
          <w:rFonts w:hint="eastAsia" w:ascii="微软雅黑" w:hAnsi="微软雅黑" w:eastAsia="微软雅黑" w:cs="微软雅黑"/>
          <w:color w:val="auto"/>
          <w:sz w:val="24"/>
        </w:rPr>
        <w:t>保证金</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3"/>
        <w:spacing w:line="400" w:lineRule="exact"/>
        <w:ind w:left="0" w:firstLine="54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投标人</w:t>
      </w:r>
      <w:r>
        <w:rPr>
          <w:rFonts w:hint="eastAsia" w:ascii="微软雅黑" w:hAnsi="微软雅黑" w:eastAsia="微软雅黑" w:cs="微软雅黑"/>
          <w:color w:val="auto"/>
          <w:sz w:val="24"/>
          <w:szCs w:val="24"/>
        </w:rPr>
        <w:t>应足额交纳保证金（保证金金额详见本篇，一、</w:t>
      </w:r>
      <w:r>
        <w:rPr>
          <w:rFonts w:hint="eastAsia" w:ascii="微软雅黑" w:hAnsi="微软雅黑" w:eastAsia="微软雅黑" w:cs="微软雅黑"/>
          <w:color w:val="auto"/>
          <w:sz w:val="24"/>
          <w:szCs w:val="24"/>
          <w:lang w:val="en-US" w:eastAsia="zh-CN"/>
        </w:rPr>
        <w:t>公开比选采购</w:t>
      </w:r>
      <w:r>
        <w:rPr>
          <w:rFonts w:hint="eastAsia" w:ascii="微软雅黑" w:hAnsi="微软雅黑" w:eastAsia="微软雅黑" w:cs="微软雅黑"/>
          <w:color w:val="auto"/>
          <w:sz w:val="24"/>
          <w:szCs w:val="24"/>
        </w:rPr>
        <w:t>内容），并通过银行转账的方式直接转入重庆医科大学附属儿童医院对公账户</w:t>
      </w:r>
      <w:r>
        <w:rPr>
          <w:rFonts w:hint="eastAsia" w:ascii="微软雅黑" w:hAnsi="微软雅黑" w:eastAsia="微软雅黑" w:cs="微软雅黑"/>
          <w:color w:val="auto"/>
          <w:sz w:val="24"/>
          <w:szCs w:val="24"/>
          <w:highlight w:val="none"/>
        </w:rPr>
        <w:t>（</w:t>
      </w:r>
      <w:r>
        <w:rPr>
          <w:rFonts w:hint="eastAsia" w:ascii="微软雅黑" w:hAnsi="微软雅黑" w:eastAsia="微软雅黑" w:cs="微软雅黑"/>
          <w:color w:val="auto"/>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color w:val="auto"/>
          <w:sz w:val="24"/>
          <w:szCs w:val="24"/>
          <w:highlight w:val="none"/>
        </w:rPr>
        <w:t>），</w:t>
      </w:r>
      <w:r>
        <w:rPr>
          <w:rFonts w:hint="eastAsia" w:ascii="微软雅黑" w:hAnsi="微软雅黑" w:eastAsia="微软雅黑" w:cs="微软雅黑"/>
          <w:color w:val="auto"/>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w:t>
      </w:r>
      <w:r>
        <w:rPr>
          <w:rFonts w:hint="eastAsia" w:ascii="微软雅黑" w:hAnsi="微软雅黑" w:eastAsia="微软雅黑" w:cs="微软雅黑"/>
          <w:color w:val="auto"/>
          <w:sz w:val="24"/>
          <w:szCs w:val="24"/>
          <w:lang w:val="en-US" w:eastAsia="zh-CN"/>
        </w:rPr>
        <w:t>投标人</w:t>
      </w:r>
      <w:r>
        <w:rPr>
          <w:rFonts w:hint="eastAsia" w:ascii="微软雅黑" w:hAnsi="微软雅黑" w:eastAsia="微软雅黑" w:cs="微软雅黑"/>
          <w:color w:val="auto"/>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的保证金，在</w:t>
      </w:r>
      <w:r>
        <w:rPr>
          <w:rFonts w:hint="eastAsia" w:ascii="微软雅黑" w:hAnsi="微软雅黑" w:eastAsia="微软雅黑" w:cs="微软雅黑"/>
          <w:color w:val="auto"/>
          <w:sz w:val="24"/>
          <w:szCs w:val="24"/>
          <w:lang w:eastAsia="zh-CN"/>
        </w:rPr>
        <w:t>中标通知书</w:t>
      </w:r>
      <w:r>
        <w:rPr>
          <w:rFonts w:hint="eastAsia" w:ascii="微软雅黑" w:hAnsi="微软雅黑" w:eastAsia="微软雅黑" w:cs="微软雅黑"/>
          <w:color w:val="auto"/>
          <w:sz w:val="24"/>
          <w:szCs w:val="24"/>
        </w:rPr>
        <w:t>发放后</w:t>
      </w:r>
      <w:r>
        <w:rPr>
          <w:rFonts w:hint="eastAsia" w:ascii="微软雅黑" w:hAnsi="微软雅黑" w:eastAsia="微软雅黑" w:cs="微软雅黑"/>
          <w:color w:val="auto"/>
          <w:sz w:val="24"/>
          <w:szCs w:val="24"/>
          <w:lang w:val="en-US" w:eastAsia="zh-CN"/>
        </w:rPr>
        <w:t>60</w:t>
      </w:r>
      <w:r>
        <w:rPr>
          <w:rFonts w:hint="eastAsia" w:ascii="微软雅黑" w:hAnsi="微软雅黑" w:eastAsia="微软雅黑" w:cs="微软雅黑"/>
          <w:color w:val="auto"/>
          <w:sz w:val="24"/>
          <w:szCs w:val="24"/>
        </w:rPr>
        <w:t>个</w:t>
      </w:r>
      <w:r>
        <w:rPr>
          <w:rFonts w:hint="eastAsia" w:ascii="微软雅黑" w:hAnsi="微软雅黑" w:eastAsia="微软雅黑" w:cs="微软雅黑"/>
          <w:color w:val="auto"/>
          <w:sz w:val="24"/>
          <w:szCs w:val="24"/>
          <w:lang w:val="en-US" w:eastAsia="zh-CN"/>
        </w:rPr>
        <w:t>工作</w:t>
      </w:r>
      <w:r>
        <w:rPr>
          <w:rFonts w:hint="eastAsia" w:ascii="微软雅黑" w:hAnsi="微软雅黑" w:eastAsia="微软雅黑" w:cs="微软雅黑"/>
          <w:color w:val="auto"/>
          <w:sz w:val="24"/>
          <w:szCs w:val="24"/>
        </w:rPr>
        <w:t>日内退还至项目报名时所填写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color w:val="auto"/>
          <w:sz w:val="24"/>
          <w:szCs w:val="24"/>
        </w:rPr>
        <w:t>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b w:val="0"/>
          <w:bCs/>
          <w:color w:val="auto"/>
          <w:sz w:val="24"/>
        </w:rPr>
      </w:pPr>
      <w:r>
        <w:rPr>
          <w:rFonts w:hint="eastAsia" w:ascii="微软雅黑" w:hAnsi="微软雅黑" w:eastAsia="微软雅黑" w:cs="微软雅黑"/>
          <w:b w:val="0"/>
          <w:bCs/>
          <w:color w:val="auto"/>
          <w:sz w:val="24"/>
          <w:szCs w:val="24"/>
        </w:rPr>
        <w:t>2.</w:t>
      </w:r>
      <w:r>
        <w:rPr>
          <w:rFonts w:hint="eastAsia" w:ascii="微软雅黑" w:hAnsi="微软雅黑" w:eastAsia="微软雅黑" w:cs="微软雅黑"/>
          <w:b w:val="0"/>
          <w:bCs/>
          <w:color w:val="auto"/>
          <w:sz w:val="24"/>
          <w:szCs w:val="24"/>
          <w:lang w:eastAsia="zh-CN"/>
        </w:rPr>
        <w:t>中标人</w:t>
      </w:r>
      <w:r>
        <w:rPr>
          <w:rFonts w:hint="eastAsia" w:ascii="微软雅黑" w:hAnsi="微软雅黑" w:eastAsia="微软雅黑" w:cs="微软雅黑"/>
          <w:b w:val="0"/>
          <w:bCs/>
          <w:color w:val="auto"/>
          <w:sz w:val="24"/>
          <w:szCs w:val="24"/>
        </w:rPr>
        <w:t>的保证金，将在与我院完成签订本项目合同并提交</w:t>
      </w:r>
      <w:r>
        <w:rPr>
          <w:rFonts w:hint="eastAsia" w:ascii="微软雅黑" w:hAnsi="微软雅黑" w:eastAsia="微软雅黑" w:cs="微软雅黑"/>
          <w:b w:val="0"/>
          <w:bCs/>
          <w:color w:val="auto"/>
          <w:sz w:val="24"/>
          <w:szCs w:val="24"/>
          <w:lang w:eastAsia="zh-CN"/>
        </w:rPr>
        <w:t>采购管理处</w:t>
      </w:r>
      <w:r>
        <w:rPr>
          <w:rFonts w:hint="eastAsia" w:ascii="微软雅黑" w:hAnsi="微软雅黑" w:eastAsia="微软雅黑" w:cs="微软雅黑"/>
          <w:b w:val="0"/>
          <w:bCs/>
          <w:color w:val="auto"/>
          <w:sz w:val="24"/>
          <w:szCs w:val="24"/>
        </w:rPr>
        <w:t>（将合同扫描文件发送至zbb63632469@qq.com）之后</w:t>
      </w:r>
      <w:r>
        <w:rPr>
          <w:rFonts w:hint="eastAsia" w:ascii="微软雅黑" w:hAnsi="微软雅黑" w:eastAsia="微软雅黑" w:cs="微软雅黑"/>
          <w:b w:val="0"/>
          <w:bCs/>
          <w:color w:val="auto"/>
          <w:sz w:val="24"/>
          <w:szCs w:val="24"/>
          <w:lang w:val="en-US" w:eastAsia="zh-CN"/>
        </w:rPr>
        <w:t>60</w:t>
      </w:r>
      <w:r>
        <w:rPr>
          <w:rFonts w:hint="eastAsia" w:ascii="微软雅黑" w:hAnsi="微软雅黑" w:eastAsia="微软雅黑" w:cs="微软雅黑"/>
          <w:b w:val="0"/>
          <w:bCs/>
          <w:color w:val="auto"/>
          <w:sz w:val="24"/>
          <w:szCs w:val="24"/>
        </w:rPr>
        <w:t>个</w:t>
      </w:r>
      <w:r>
        <w:rPr>
          <w:rFonts w:hint="eastAsia" w:ascii="微软雅黑" w:hAnsi="微软雅黑" w:eastAsia="微软雅黑" w:cs="微软雅黑"/>
          <w:b w:val="0"/>
          <w:bCs/>
          <w:color w:val="auto"/>
          <w:sz w:val="24"/>
          <w:szCs w:val="24"/>
          <w:lang w:val="en-US" w:eastAsia="zh-CN"/>
        </w:rPr>
        <w:t>工作</w:t>
      </w:r>
      <w:r>
        <w:rPr>
          <w:rFonts w:hint="eastAsia" w:ascii="微软雅黑" w:hAnsi="微软雅黑" w:eastAsia="微软雅黑" w:cs="微软雅黑"/>
          <w:b w:val="0"/>
          <w:bCs/>
          <w:color w:val="auto"/>
          <w:sz w:val="24"/>
          <w:szCs w:val="24"/>
        </w:rPr>
        <w:t>日</w:t>
      </w:r>
      <w:r>
        <w:rPr>
          <w:rFonts w:hint="eastAsia" w:ascii="微软雅黑" w:hAnsi="微软雅黑" w:eastAsia="微软雅黑" w:cs="微软雅黑"/>
          <w:b w:val="0"/>
          <w:bCs/>
          <w:color w:val="auto"/>
          <w:sz w:val="24"/>
          <w:szCs w:val="24"/>
          <w:lang w:val="en-US" w:eastAsia="zh-CN"/>
        </w:rPr>
        <w:t>内</w:t>
      </w:r>
      <w:r>
        <w:rPr>
          <w:rFonts w:hint="eastAsia" w:ascii="微软雅黑" w:hAnsi="微软雅黑" w:eastAsia="微软雅黑" w:cs="微软雅黑"/>
          <w:b w:val="0"/>
          <w:bCs/>
          <w:color w:val="auto"/>
          <w:sz w:val="24"/>
          <w:szCs w:val="24"/>
        </w:rPr>
        <w:t>，无息退还至项目报名时所填写的投标单位对公账户。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lang w:eastAsia="zh-CN"/>
        </w:rPr>
        <w:t>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（一）重庆医科大学附属儿童医院采购管理处所作出的一切书面通知、修改、补充说明、答疑等内容，都是公开比选采购文件不可分割的组成部分。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采购管理处，否则即视为完全放弃对本公开比选采购文件的质疑权利。如采购人认为上述质疑有回复必要，将以书面形式将回复内容通知所有投标</w:t>
      </w:r>
      <w:r>
        <w:rPr>
          <w:rFonts w:hint="eastAsia" w:ascii="微软雅黑" w:hAnsi="微软雅黑" w:eastAsia="微软雅黑" w:cs="微软雅黑"/>
          <w:sz w:val="24"/>
          <w:szCs w:val="24"/>
          <w:lang w:eastAsia="zh-CN"/>
        </w:rPr>
        <w:t>人</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招标单位提出，超过此时限规定，招标单位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2" w:name="_Toc29391"/>
      <w:bookmarkStart w:id="43" w:name="_Toc1733"/>
      <w:bookmarkStart w:id="44" w:name="_Toc65660337"/>
      <w:bookmarkStart w:id="45" w:name="_Toc521053056"/>
      <w:bookmarkStart w:id="46" w:name="_Toc24901"/>
      <w:bookmarkStart w:id="47" w:name="_Toc106034628"/>
      <w:bookmarkStart w:id="48" w:name="_Toc525047164"/>
      <w:bookmarkStart w:id="49" w:name="_Toc10415"/>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2"/>
      <w:bookmarkEnd w:id="43"/>
      <w:bookmarkEnd w:id="44"/>
      <w:bookmarkEnd w:id="45"/>
      <w:bookmarkEnd w:id="46"/>
      <w:bookmarkEnd w:id="47"/>
      <w:bookmarkEnd w:id="48"/>
      <w:bookmarkEnd w:id="49"/>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联系部门：采购管理处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0" w:name="_Toc12789058"/>
    </w:p>
    <w:p>
      <w:pPr>
        <w:pStyle w:val="3"/>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1" w:name="_Toc1492"/>
      <w:bookmarkStart w:id="52" w:name="_Toc2422"/>
      <w:bookmarkStart w:id="53" w:name="_Toc12959"/>
      <w:bookmarkStart w:id="54" w:name="_Toc8649"/>
      <w:bookmarkStart w:id="55" w:name="_Toc2070"/>
      <w:bookmarkStart w:id="56" w:name="_Toc11017"/>
      <w:bookmarkStart w:id="57" w:name="_Toc26176"/>
      <w:bookmarkStart w:id="58" w:name="_Toc19886"/>
      <w:bookmarkStart w:id="59" w:name="_Toc32686"/>
      <w:bookmarkStart w:id="60" w:name="_Toc5461"/>
      <w:bookmarkStart w:id="61" w:name="_Toc1625"/>
      <w:bookmarkStart w:id="62" w:name="_Toc75793504"/>
      <w:bookmarkStart w:id="63" w:name="_Toc23143"/>
      <w:bookmarkStart w:id="64" w:name="_Toc25639"/>
      <w:bookmarkStart w:id="65" w:name="_Toc725"/>
      <w:bookmarkStart w:id="66" w:name="_Toc106030380"/>
      <w:bookmarkStart w:id="67" w:name="_Toc27333"/>
      <w:r>
        <w:rPr>
          <w:rFonts w:hint="eastAsia" w:ascii="微软雅黑" w:hAnsi="微软雅黑" w:eastAsia="微软雅黑" w:cs="微软雅黑"/>
          <w:b/>
          <w:kern w:val="2"/>
          <w:sz w:val="44"/>
          <w:szCs w:val="20"/>
          <w:lang w:val="en-US" w:eastAsia="zh-CN" w:bidi="ar-SA"/>
        </w:rPr>
        <w:t xml:space="preserve">第二篇 </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Pr>
          <w:rFonts w:hint="eastAsia" w:ascii="微软雅黑" w:hAnsi="微软雅黑" w:eastAsia="微软雅黑" w:cs="微软雅黑"/>
          <w:b/>
          <w:kern w:val="2"/>
          <w:sz w:val="44"/>
          <w:szCs w:val="20"/>
          <w:lang w:val="en-US" w:eastAsia="zh-CN" w:bidi="ar-SA"/>
        </w:rPr>
        <w:t>项目技术（质量）需求</w:t>
      </w:r>
      <w:bookmarkEnd w:id="66"/>
      <w:bookmarkEnd w:id="67"/>
    </w:p>
    <w:p>
      <w:pPr>
        <w:ind w:firstLine="480" w:firstLineChars="200"/>
        <w:rPr>
          <w:rFonts w:hint="eastAsia" w:ascii="微软雅黑" w:hAnsi="微软雅黑" w:eastAsia="微软雅黑" w:cs="微软雅黑"/>
          <w:b/>
          <w:bCs/>
          <w:sz w:val="24"/>
          <w:szCs w:val="24"/>
        </w:rPr>
      </w:pPr>
      <w:bookmarkStart w:id="68" w:name="_Toc75793505"/>
      <w:bookmarkStart w:id="69" w:name="_Toc4519"/>
      <w:bookmarkStart w:id="70" w:name="_Toc23656"/>
      <w:bookmarkStart w:id="71" w:name="_Toc29985"/>
      <w:bookmarkStart w:id="72" w:name="_Toc11703"/>
      <w:bookmarkStart w:id="73" w:name="_Toc8370"/>
      <w:bookmarkStart w:id="74" w:name="_Toc106030381"/>
      <w:bookmarkStart w:id="75" w:name="_Toc19238"/>
      <w:bookmarkStart w:id="76" w:name="_Toc23504"/>
      <w:bookmarkStart w:id="77" w:name="_Toc7027"/>
      <w:bookmarkStart w:id="78" w:name="_Toc22910"/>
      <w:bookmarkStart w:id="79" w:name="_Toc20979"/>
      <w:bookmarkStart w:id="80" w:name="_Toc4913"/>
      <w:bookmarkStart w:id="81" w:name="_Toc9261"/>
      <w:bookmarkStart w:id="82" w:name="_Toc4531"/>
      <w:r>
        <w:rPr>
          <w:rFonts w:hint="eastAsia" w:ascii="微软雅黑" w:hAnsi="微软雅黑" w:eastAsia="微软雅黑" w:cs="微软雅黑"/>
          <w:b/>
          <w:bCs/>
          <w:sz w:val="24"/>
          <w:szCs w:val="24"/>
        </w:rPr>
        <w:t>一、项目一览表</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103"/>
        <w:gridCol w:w="1276"/>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5103"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27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786"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集采药品管理系统</w:t>
            </w:r>
          </w:p>
        </w:tc>
        <w:tc>
          <w:tcPr>
            <w:tcW w:w="1276"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1项</w:t>
            </w:r>
          </w:p>
        </w:tc>
        <w:tc>
          <w:tcPr>
            <w:tcW w:w="1786" w:type="dxa"/>
            <w:vAlign w:val="center"/>
          </w:tcPr>
          <w:p>
            <w:pPr>
              <w:jc w:val="center"/>
              <w:rPr>
                <w:rFonts w:hint="eastAsia" w:ascii="微软雅黑" w:hAnsi="微软雅黑" w:eastAsia="微软雅黑" w:cs="微软雅黑"/>
                <w:sz w:val="24"/>
                <w:szCs w:val="24"/>
                <w:lang w:val="en-US" w:eastAsia="zh-CN"/>
              </w:rPr>
            </w:pPr>
          </w:p>
        </w:tc>
      </w:tr>
    </w:tbl>
    <w:p>
      <w:pPr>
        <w:ind w:firstLine="480" w:firstLineChars="200"/>
        <w:rPr>
          <w:rFonts w:hint="eastAsia" w:ascii="微软雅黑" w:hAnsi="微软雅黑" w:eastAsia="微软雅黑" w:cs="微软雅黑"/>
          <w:sz w:val="24"/>
          <w:szCs w:val="24"/>
        </w:rPr>
      </w:pPr>
      <w:bookmarkStart w:id="83" w:name="_Toc32262"/>
      <w:bookmarkStart w:id="84" w:name="_Toc21817"/>
      <w:bookmarkStart w:id="85" w:name="_Toc28205"/>
      <w:bookmarkStart w:id="86" w:name="_Toc18800"/>
      <w:bookmarkStart w:id="87" w:name="_Toc23975"/>
      <w:bookmarkStart w:id="88" w:name="_Toc7792"/>
      <w:bookmarkStart w:id="89" w:name="_Toc75793506"/>
      <w:bookmarkStart w:id="90" w:name="_Toc5751"/>
      <w:bookmarkStart w:id="91" w:name="_Toc106030382"/>
      <w:bookmarkStart w:id="92" w:name="_Toc26453"/>
      <w:bookmarkStart w:id="93" w:name="_Toc27067"/>
      <w:bookmarkStart w:id="94" w:name="_Toc18903"/>
      <w:bookmarkStart w:id="95" w:name="_Toc12568"/>
      <w:bookmarkStart w:id="96" w:name="_Toc15696"/>
      <w:bookmarkStart w:id="97" w:name="_Toc695"/>
      <w:bookmarkStart w:id="98" w:name="_Toc10143"/>
      <w:r>
        <w:rPr>
          <w:rFonts w:hint="eastAsia" w:ascii="微软雅黑" w:hAnsi="微软雅黑" w:eastAsia="微软雅黑" w:cs="微软雅黑"/>
          <w:b/>
          <w:bCs/>
          <w:sz w:val="24"/>
          <w:szCs w:val="24"/>
        </w:rPr>
        <w:t>二、项目技术需求</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tbl>
      <w:tblPr>
        <w:tblStyle w:val="57"/>
        <w:tblW w:w="9025" w:type="dxa"/>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27"/>
        <w:gridCol w:w="7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5" w:type="dxa"/>
            <w:vAlign w:val="center"/>
          </w:tcPr>
          <w:p>
            <w:pPr>
              <w:jc w:val="center"/>
              <w:rPr>
                <w:rFonts w:hint="eastAsia" w:ascii="微软雅黑" w:hAnsi="微软雅黑" w:eastAsia="微软雅黑" w:cs="微软雅黑"/>
                <w:b w:val="0"/>
                <w:bCs w:val="0"/>
                <w:color w:val="0000FF"/>
                <w:kern w:val="0"/>
                <w:sz w:val="21"/>
                <w:szCs w:val="21"/>
              </w:rPr>
            </w:pPr>
            <w:r>
              <w:rPr>
                <w:rFonts w:hint="eastAsia" w:ascii="微软雅黑" w:hAnsi="微软雅黑" w:eastAsia="微软雅黑" w:cs="微软雅黑"/>
                <w:b w:val="0"/>
                <w:bCs w:val="0"/>
                <w:color w:val="0000FF"/>
                <w:kern w:val="0"/>
                <w:sz w:val="21"/>
                <w:szCs w:val="21"/>
              </w:rPr>
              <w:t>序号</w:t>
            </w:r>
          </w:p>
        </w:tc>
        <w:tc>
          <w:tcPr>
            <w:tcW w:w="1127" w:type="dxa"/>
            <w:vAlign w:val="center"/>
          </w:tcPr>
          <w:p>
            <w:pPr>
              <w:jc w:val="center"/>
              <w:rPr>
                <w:rFonts w:hint="eastAsia" w:ascii="微软雅黑" w:hAnsi="微软雅黑" w:eastAsia="微软雅黑" w:cs="微软雅黑"/>
                <w:color w:val="0000FF"/>
                <w:kern w:val="0"/>
                <w:sz w:val="21"/>
                <w:szCs w:val="21"/>
              </w:rPr>
            </w:pPr>
            <w:r>
              <w:rPr>
                <w:rFonts w:hint="eastAsia" w:ascii="微软雅黑" w:hAnsi="微软雅黑" w:eastAsia="微软雅黑" w:cs="微软雅黑"/>
                <w:color w:val="0000FF"/>
                <w:kern w:val="0"/>
                <w:sz w:val="21"/>
                <w:szCs w:val="21"/>
              </w:rPr>
              <w:t>功能</w:t>
            </w:r>
          </w:p>
        </w:tc>
        <w:tc>
          <w:tcPr>
            <w:tcW w:w="7223" w:type="dxa"/>
            <w:vAlign w:val="center"/>
          </w:tcPr>
          <w:p>
            <w:pPr>
              <w:jc w:val="center"/>
              <w:rPr>
                <w:rFonts w:hint="eastAsia" w:ascii="微软雅黑" w:hAnsi="微软雅黑" w:eastAsia="微软雅黑" w:cs="微软雅黑"/>
                <w:color w:val="0000FF"/>
                <w:kern w:val="0"/>
                <w:sz w:val="21"/>
                <w:szCs w:val="21"/>
              </w:rPr>
            </w:pPr>
            <w:r>
              <w:rPr>
                <w:rFonts w:hint="eastAsia" w:ascii="微软雅黑" w:hAnsi="微软雅黑" w:eastAsia="微软雅黑" w:cs="微软雅黑"/>
                <w:color w:val="0000FF"/>
                <w:kern w:val="0"/>
                <w:sz w:val="21"/>
                <w:szCs w:val="21"/>
              </w:rPr>
              <w:t>功能描述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5" w:type="dxa"/>
            <w:vAlign w:val="center"/>
          </w:tcPr>
          <w:p>
            <w:pPr>
              <w:widowControl/>
              <w:jc w:val="center"/>
              <w:textAlignment w:val="center"/>
              <w:rPr>
                <w:rFonts w:hint="eastAsia" w:ascii="微软雅黑" w:hAnsi="微软雅黑" w:eastAsia="微软雅黑" w:cs="微软雅黑"/>
                <w:b w:val="0"/>
                <w:bCs w:val="0"/>
                <w:color w:val="0000FF"/>
                <w:sz w:val="21"/>
                <w:szCs w:val="21"/>
              </w:rPr>
            </w:pPr>
            <w:r>
              <w:rPr>
                <w:rFonts w:hint="eastAsia" w:ascii="微软雅黑" w:hAnsi="微软雅黑" w:eastAsia="微软雅黑" w:cs="微软雅黑"/>
                <w:b w:val="0"/>
                <w:bCs w:val="0"/>
                <w:color w:val="0000FF"/>
                <w:kern w:val="0"/>
                <w:sz w:val="21"/>
                <w:szCs w:val="21"/>
                <w:lang w:bidi="ar"/>
              </w:rPr>
              <w:t>1</w:t>
            </w:r>
          </w:p>
        </w:tc>
        <w:tc>
          <w:tcPr>
            <w:tcW w:w="1127" w:type="dxa"/>
            <w:vAlign w:val="center"/>
          </w:tcPr>
          <w:p>
            <w:pPr>
              <w:widowControl/>
              <w:jc w:val="center"/>
              <w:textAlignment w:val="center"/>
              <w:rPr>
                <w:rFonts w:hint="eastAsia" w:ascii="微软雅黑" w:hAnsi="微软雅黑" w:eastAsia="微软雅黑" w:cs="微软雅黑"/>
                <w:bCs/>
                <w:color w:val="0000FF"/>
                <w:kern w:val="0"/>
                <w:sz w:val="21"/>
                <w:szCs w:val="21"/>
              </w:rPr>
            </w:pPr>
            <w:r>
              <w:rPr>
                <w:rFonts w:hint="eastAsia" w:ascii="微软雅黑" w:hAnsi="微软雅黑" w:eastAsia="微软雅黑" w:cs="微软雅黑"/>
                <w:bCs/>
                <w:color w:val="0000FF"/>
                <w:kern w:val="0"/>
                <w:sz w:val="21"/>
                <w:szCs w:val="21"/>
              </w:rPr>
              <w:t>数据治理</w:t>
            </w:r>
          </w:p>
        </w:tc>
        <w:tc>
          <w:tcPr>
            <w:tcW w:w="7223" w:type="dxa"/>
            <w:vAlign w:val="center"/>
          </w:tcPr>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1.提供国家及联盟级药品集中采购招采目录，支持与医院药品字典库进行映射，并具备按药品品种分组的功能。</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2.提供中选药品的可替代药品目录参考，支持对可替代药品使用情况的监测、分析及管控。</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3.支持数据治理任务的检索与状态同步，并提供多种任务操作功能。</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4.数据采集后具备数据校验功能及错误反馈机制，并支持数据上传后的撤回功能。</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5.自动化处理数据，支持更新数据属性、新增条目，并可删除未审核的新增条目。</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6.支持对目标药品使用数据的采集与统计分析。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5" w:type="dxa"/>
            <w:vAlign w:val="center"/>
          </w:tcPr>
          <w:p>
            <w:pPr>
              <w:widowControl/>
              <w:jc w:val="center"/>
              <w:textAlignment w:val="center"/>
              <w:rPr>
                <w:rFonts w:hint="eastAsia" w:ascii="微软雅黑" w:hAnsi="微软雅黑" w:eastAsia="微软雅黑" w:cs="微软雅黑"/>
                <w:b w:val="0"/>
                <w:bCs w:val="0"/>
                <w:color w:val="0000FF"/>
                <w:kern w:val="0"/>
                <w:sz w:val="21"/>
                <w:szCs w:val="21"/>
              </w:rPr>
            </w:pPr>
            <w:r>
              <w:rPr>
                <w:rFonts w:hint="eastAsia" w:ascii="微软雅黑" w:hAnsi="微软雅黑" w:eastAsia="微软雅黑" w:cs="微软雅黑"/>
                <w:b w:val="0"/>
                <w:bCs w:val="0"/>
                <w:color w:val="0000FF"/>
                <w:kern w:val="0"/>
                <w:sz w:val="21"/>
                <w:szCs w:val="21"/>
                <w:lang w:bidi="ar"/>
              </w:rPr>
              <w:t>2</w:t>
            </w:r>
          </w:p>
        </w:tc>
        <w:tc>
          <w:tcPr>
            <w:tcW w:w="1127" w:type="dxa"/>
            <w:vAlign w:val="center"/>
          </w:tcPr>
          <w:p>
            <w:pPr>
              <w:widowControl/>
              <w:jc w:val="center"/>
              <w:textAlignment w:val="center"/>
              <w:rPr>
                <w:rFonts w:hint="eastAsia" w:ascii="微软雅黑" w:hAnsi="微软雅黑" w:eastAsia="微软雅黑" w:cs="微软雅黑"/>
                <w:bCs/>
                <w:color w:val="0000FF"/>
                <w:kern w:val="0"/>
                <w:sz w:val="21"/>
                <w:szCs w:val="21"/>
              </w:rPr>
            </w:pPr>
            <w:r>
              <w:rPr>
                <w:rFonts w:hint="eastAsia" w:ascii="微软雅黑" w:hAnsi="微软雅黑" w:eastAsia="微软雅黑" w:cs="微软雅黑"/>
                <w:bCs/>
                <w:color w:val="0000FF"/>
                <w:kern w:val="0"/>
                <w:sz w:val="21"/>
                <w:szCs w:val="21"/>
              </w:rPr>
              <w:t>配置管理</w:t>
            </w:r>
          </w:p>
        </w:tc>
        <w:tc>
          <w:tcPr>
            <w:tcW w:w="7223" w:type="dxa"/>
            <w:vAlign w:val="center"/>
          </w:tcPr>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1.支持批次列表的新建、编辑与删除；提供平台统一维护的已发布药品集中采购文件，可按批次进行筛选检索，并支持查看任意批次对应的招采品种。</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2.支持将指定批次的招采品种与医院药品字典自动匹配，获取医院已有品种列表及对应品种下的医院药品清单；进一步对品种下的医院药品列表进行拆分，构建医院集采批次招采品种的中选药品、同种药品及可替代药品的目录。</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3.支持从医院药品字典中，为指定批次下某品种的中选药品添加或删除其同种药品。</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4.支持从医院药品字典中，为指定批次下某品种的中选药品添加或删除其可替代药品（含替代程度）。</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5.支持采购周期管理，包括添加、编辑与删除采购周期，并可自定义采购周期的名称、开始时间及结束时间。</w:t>
            </w:r>
          </w:p>
          <w:p>
            <w:pPr>
              <w:spacing w:line="284" w:lineRule="auto"/>
              <w:rPr>
                <w:rFonts w:hint="eastAsia" w:ascii="微软雅黑" w:hAnsi="微软雅黑" w:eastAsia="微软雅黑" w:cs="微软雅黑"/>
                <w:color w:val="0000FF"/>
                <w:kern w:val="0"/>
                <w:sz w:val="21"/>
                <w:szCs w:val="21"/>
              </w:rPr>
            </w:pPr>
            <w:r>
              <w:rPr>
                <w:rFonts w:hint="eastAsia" w:ascii="微软雅黑" w:hAnsi="微软雅黑" w:eastAsia="微软雅黑" w:cs="微软雅黑"/>
                <w:color w:val="0000FF"/>
                <w:sz w:val="21"/>
                <w:szCs w:val="21"/>
              </w:rPr>
              <w:t>6.支持维护采购周期内的药品采购任务量，提供任务量导入功能，并实现对周期内采购量与任务量完成进度的监测。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5" w:type="dxa"/>
            <w:vAlign w:val="center"/>
          </w:tcPr>
          <w:p>
            <w:pPr>
              <w:widowControl/>
              <w:jc w:val="center"/>
              <w:textAlignment w:val="center"/>
              <w:rPr>
                <w:rFonts w:hint="eastAsia" w:ascii="微软雅黑" w:hAnsi="微软雅黑" w:eastAsia="微软雅黑" w:cs="微软雅黑"/>
                <w:b w:val="0"/>
                <w:bCs w:val="0"/>
                <w:color w:val="0000FF"/>
                <w:kern w:val="0"/>
                <w:sz w:val="21"/>
                <w:szCs w:val="21"/>
                <w:lang w:bidi="ar"/>
              </w:rPr>
            </w:pPr>
            <w:r>
              <w:rPr>
                <w:rFonts w:hint="eastAsia" w:ascii="微软雅黑" w:hAnsi="微软雅黑" w:eastAsia="微软雅黑" w:cs="微软雅黑"/>
                <w:b w:val="0"/>
                <w:bCs w:val="0"/>
                <w:color w:val="0000FF"/>
                <w:kern w:val="0"/>
                <w:sz w:val="21"/>
                <w:szCs w:val="21"/>
                <w:lang w:bidi="ar"/>
              </w:rPr>
              <w:t>3</w:t>
            </w:r>
          </w:p>
        </w:tc>
        <w:tc>
          <w:tcPr>
            <w:tcW w:w="1127" w:type="dxa"/>
            <w:vAlign w:val="center"/>
          </w:tcPr>
          <w:p>
            <w:pPr>
              <w:widowControl/>
              <w:jc w:val="center"/>
              <w:textAlignment w:val="center"/>
              <w:rPr>
                <w:rFonts w:hint="eastAsia" w:ascii="微软雅黑" w:hAnsi="微软雅黑" w:eastAsia="微软雅黑" w:cs="微软雅黑"/>
                <w:bCs/>
                <w:color w:val="0000FF"/>
                <w:kern w:val="0"/>
                <w:sz w:val="21"/>
                <w:szCs w:val="21"/>
              </w:rPr>
            </w:pPr>
            <w:r>
              <w:rPr>
                <w:rFonts w:hint="eastAsia" w:ascii="微软雅黑" w:hAnsi="微软雅黑" w:eastAsia="微软雅黑" w:cs="微软雅黑"/>
                <w:bCs/>
                <w:color w:val="0000FF"/>
                <w:kern w:val="0"/>
                <w:sz w:val="21"/>
                <w:szCs w:val="21"/>
              </w:rPr>
              <w:t>报量管理</w:t>
            </w:r>
          </w:p>
        </w:tc>
        <w:tc>
          <w:tcPr>
            <w:tcW w:w="7223" w:type="dxa"/>
            <w:vAlign w:val="center"/>
          </w:tcPr>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1.基于数据治理规则，按药品通用名称、规格及剂型，对集中采购批次内的报量药品进行统一管理。</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b/>
                <w:color w:val="0000FF"/>
                <w:kern w:val="0"/>
                <w:sz w:val="21"/>
                <w:szCs w:val="21"/>
              </w:rPr>
              <w:t>※</w:t>
            </w:r>
            <w:r>
              <w:rPr>
                <w:rFonts w:hint="eastAsia" w:ascii="微软雅黑" w:hAnsi="微软雅黑" w:eastAsia="微软雅黑" w:cs="微软雅黑"/>
                <w:color w:val="0000FF"/>
                <w:sz w:val="21"/>
                <w:szCs w:val="21"/>
              </w:rPr>
              <w:t>2.系统根据该批次药品在对应周期内的历史消耗量，按预设比例自动计算并生成采购参考需求量；同时支持用户对报量数据进行查询与导出操作。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5" w:type="dxa"/>
            <w:vAlign w:val="center"/>
          </w:tcPr>
          <w:p>
            <w:pPr>
              <w:widowControl/>
              <w:jc w:val="center"/>
              <w:textAlignment w:val="center"/>
              <w:rPr>
                <w:rFonts w:hint="eastAsia" w:ascii="微软雅黑" w:hAnsi="微软雅黑" w:eastAsia="微软雅黑" w:cs="微软雅黑"/>
                <w:b w:val="0"/>
                <w:bCs w:val="0"/>
                <w:color w:val="0000FF"/>
                <w:kern w:val="0"/>
                <w:sz w:val="21"/>
                <w:szCs w:val="21"/>
                <w:lang w:bidi="ar"/>
              </w:rPr>
            </w:pPr>
            <w:r>
              <w:rPr>
                <w:rFonts w:hint="eastAsia" w:ascii="微软雅黑" w:hAnsi="微软雅黑" w:eastAsia="微软雅黑" w:cs="微软雅黑"/>
                <w:b w:val="0"/>
                <w:bCs w:val="0"/>
                <w:color w:val="0000FF"/>
                <w:kern w:val="0"/>
                <w:sz w:val="21"/>
                <w:szCs w:val="21"/>
                <w:lang w:bidi="ar"/>
              </w:rPr>
              <w:t>4</w:t>
            </w:r>
          </w:p>
        </w:tc>
        <w:tc>
          <w:tcPr>
            <w:tcW w:w="1127" w:type="dxa"/>
            <w:vAlign w:val="center"/>
          </w:tcPr>
          <w:p>
            <w:pPr>
              <w:widowControl/>
              <w:jc w:val="center"/>
              <w:textAlignment w:val="center"/>
              <w:rPr>
                <w:rFonts w:hint="eastAsia" w:ascii="微软雅黑" w:hAnsi="微软雅黑" w:eastAsia="微软雅黑" w:cs="微软雅黑"/>
                <w:bCs/>
                <w:color w:val="0000FF"/>
                <w:kern w:val="0"/>
                <w:sz w:val="21"/>
                <w:szCs w:val="21"/>
              </w:rPr>
            </w:pPr>
            <w:r>
              <w:rPr>
                <w:rFonts w:hint="eastAsia" w:ascii="微软雅黑" w:hAnsi="微软雅黑" w:eastAsia="微软雅黑" w:cs="微软雅黑"/>
                <w:bCs/>
                <w:color w:val="0000FF"/>
                <w:kern w:val="0"/>
                <w:sz w:val="21"/>
                <w:szCs w:val="21"/>
              </w:rPr>
              <w:t>任务分配</w:t>
            </w:r>
          </w:p>
        </w:tc>
        <w:tc>
          <w:tcPr>
            <w:tcW w:w="7223" w:type="dxa"/>
            <w:vAlign w:val="center"/>
          </w:tcPr>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支持集采药品任务量的自动分配与自定义分配：自动分配基于历史数据计算权重，智能生成任务量；自定义分配支持按科室或医生颗粒度灵活配置。同时，系统具备任务量完成进度的监测与检索功能。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5" w:type="dxa"/>
            <w:vAlign w:val="center"/>
          </w:tcPr>
          <w:p>
            <w:pPr>
              <w:widowControl/>
              <w:jc w:val="center"/>
              <w:textAlignment w:val="center"/>
              <w:rPr>
                <w:rFonts w:hint="eastAsia" w:ascii="微软雅黑" w:hAnsi="微软雅黑" w:eastAsia="微软雅黑" w:cs="微软雅黑"/>
                <w:b w:val="0"/>
                <w:bCs w:val="0"/>
                <w:color w:val="0000FF"/>
                <w:kern w:val="0"/>
                <w:sz w:val="21"/>
                <w:szCs w:val="21"/>
                <w:lang w:bidi="ar"/>
              </w:rPr>
            </w:pPr>
            <w:r>
              <w:rPr>
                <w:rFonts w:hint="eastAsia" w:ascii="微软雅黑" w:hAnsi="微软雅黑" w:eastAsia="微软雅黑" w:cs="微软雅黑"/>
                <w:b w:val="0"/>
                <w:bCs w:val="0"/>
                <w:color w:val="0000FF"/>
                <w:kern w:val="0"/>
                <w:sz w:val="21"/>
                <w:szCs w:val="21"/>
                <w:lang w:bidi="ar"/>
              </w:rPr>
              <w:t>5</w:t>
            </w:r>
          </w:p>
        </w:tc>
        <w:tc>
          <w:tcPr>
            <w:tcW w:w="1127" w:type="dxa"/>
            <w:vAlign w:val="center"/>
          </w:tcPr>
          <w:p>
            <w:pPr>
              <w:widowControl/>
              <w:jc w:val="center"/>
              <w:textAlignment w:val="center"/>
              <w:rPr>
                <w:rFonts w:hint="eastAsia" w:ascii="微软雅黑" w:hAnsi="微软雅黑" w:eastAsia="微软雅黑" w:cs="微软雅黑"/>
                <w:bCs/>
                <w:color w:val="0000FF"/>
                <w:kern w:val="0"/>
                <w:sz w:val="21"/>
                <w:szCs w:val="21"/>
              </w:rPr>
            </w:pPr>
            <w:r>
              <w:rPr>
                <w:rFonts w:hint="eastAsia" w:ascii="微软雅黑" w:hAnsi="微软雅黑" w:eastAsia="微软雅黑" w:cs="微软雅黑"/>
                <w:bCs/>
                <w:color w:val="0000FF"/>
                <w:kern w:val="0"/>
                <w:sz w:val="21"/>
                <w:szCs w:val="21"/>
              </w:rPr>
              <w:t>规则管理</w:t>
            </w:r>
          </w:p>
        </w:tc>
        <w:tc>
          <w:tcPr>
            <w:tcW w:w="7223" w:type="dxa"/>
            <w:vAlign w:val="center"/>
          </w:tcPr>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1.系统支持对集采中选与非中选同种药品进行分级管控，可根据任务完成进度灵活设置管控力度（如医生处方限制、白名单机制及操作提示）。</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2.系统支持按最小规格或主规格对同种药品进行自动换算，并对集采中选药品及其可替代品种进行标记与管控。</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3.系统可匹配药品使用周期，对周期内处方的药品使用情况进行实时监测。</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4.支持设置药品任务/使用的高、低阈值，对进度滞后的科室或使用比例异常的药品触发分级控制措施；轻度异常时自动弹窗提醒。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5" w:type="dxa"/>
            <w:vAlign w:val="center"/>
          </w:tcPr>
          <w:p>
            <w:pPr>
              <w:widowControl/>
              <w:jc w:val="center"/>
              <w:textAlignment w:val="center"/>
              <w:rPr>
                <w:rFonts w:hint="eastAsia" w:ascii="微软雅黑" w:hAnsi="微软雅黑" w:eastAsia="微软雅黑" w:cs="微软雅黑"/>
                <w:b w:val="0"/>
                <w:bCs w:val="0"/>
                <w:color w:val="0000FF"/>
                <w:kern w:val="0"/>
                <w:sz w:val="21"/>
                <w:szCs w:val="21"/>
              </w:rPr>
            </w:pPr>
            <w:r>
              <w:rPr>
                <w:rFonts w:hint="eastAsia" w:ascii="微软雅黑" w:hAnsi="微软雅黑" w:eastAsia="微软雅黑" w:cs="微软雅黑"/>
                <w:b w:val="0"/>
                <w:bCs w:val="0"/>
                <w:color w:val="0000FF"/>
                <w:kern w:val="0"/>
                <w:sz w:val="21"/>
                <w:szCs w:val="21"/>
                <w:lang w:bidi="ar"/>
              </w:rPr>
              <w:t>6</w:t>
            </w:r>
          </w:p>
        </w:tc>
        <w:tc>
          <w:tcPr>
            <w:tcW w:w="1127" w:type="dxa"/>
            <w:vAlign w:val="center"/>
          </w:tcPr>
          <w:p>
            <w:pPr>
              <w:widowControl/>
              <w:jc w:val="center"/>
              <w:textAlignment w:val="center"/>
              <w:rPr>
                <w:rFonts w:hint="eastAsia" w:ascii="微软雅黑" w:hAnsi="微软雅黑" w:eastAsia="微软雅黑" w:cs="微软雅黑"/>
                <w:bCs/>
                <w:color w:val="0000FF"/>
                <w:kern w:val="0"/>
                <w:sz w:val="21"/>
                <w:szCs w:val="21"/>
              </w:rPr>
            </w:pPr>
            <w:r>
              <w:rPr>
                <w:rFonts w:hint="eastAsia" w:ascii="微软雅黑" w:hAnsi="微软雅黑" w:eastAsia="微软雅黑" w:cs="微软雅黑"/>
                <w:bCs/>
                <w:color w:val="0000FF"/>
                <w:kern w:val="0"/>
                <w:sz w:val="21"/>
                <w:szCs w:val="21"/>
              </w:rPr>
              <w:t>统计分析</w:t>
            </w:r>
          </w:p>
        </w:tc>
        <w:tc>
          <w:tcPr>
            <w:tcW w:w="7223" w:type="dxa"/>
            <w:vAlign w:val="center"/>
          </w:tcPr>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1.系统可基于集采药品使用监测结果生成报表，内容包括同种药品中集采中选、非中选及可替代药品的采购数量、采购金额、消耗数量与消耗金额。</w:t>
            </w:r>
          </w:p>
          <w:p>
            <w:pPr>
              <w:spacing w:line="284" w:lineRule="auto"/>
              <w:rPr>
                <w:rFonts w:hint="eastAsia" w:ascii="微软雅黑" w:hAnsi="微软雅黑" w:eastAsia="微软雅黑" w:cs="微软雅黑"/>
                <w:b/>
                <w:bCs/>
                <w:color w:val="0000FF"/>
                <w:sz w:val="21"/>
                <w:szCs w:val="21"/>
              </w:rPr>
            </w:pPr>
            <w:r>
              <w:rPr>
                <w:rFonts w:hint="eastAsia" w:ascii="微软雅黑" w:hAnsi="微软雅黑" w:eastAsia="微软雅黑" w:cs="微软雅黑"/>
                <w:b/>
                <w:color w:val="0000FF"/>
                <w:kern w:val="0"/>
                <w:sz w:val="21"/>
                <w:szCs w:val="21"/>
              </w:rPr>
              <w:t>※</w:t>
            </w:r>
            <w:r>
              <w:rPr>
                <w:rFonts w:hint="eastAsia" w:ascii="微软雅黑" w:hAnsi="微软雅黑" w:eastAsia="微软雅黑" w:cs="微软雅黑"/>
                <w:color w:val="0000FF"/>
                <w:sz w:val="21"/>
                <w:szCs w:val="21"/>
              </w:rPr>
              <w:t>2.系统可定量计算国家组织药品集中采购中选药品的使用比例及完成比例。</w:t>
            </w:r>
            <w:r>
              <w:rPr>
                <w:rFonts w:hint="eastAsia" w:ascii="微软雅黑" w:hAnsi="微软雅黑" w:eastAsia="微软雅黑" w:cs="微软雅黑"/>
                <w:b/>
                <w:bCs/>
                <w:color w:val="0000FF"/>
                <w:sz w:val="21"/>
                <w:szCs w:val="21"/>
              </w:rPr>
              <w:t>（公式参考国家三级公立医院绩效考核操作手册）</w:t>
            </w:r>
          </w:p>
          <w:p>
            <w:pPr>
              <w:spacing w:line="284" w:lineRule="auto"/>
              <w:rPr>
                <w:rFonts w:hint="eastAsia" w:ascii="微软雅黑" w:hAnsi="微软雅黑" w:eastAsia="微软雅黑" w:cs="微软雅黑"/>
                <w:color w:val="0000FF"/>
                <w:kern w:val="0"/>
                <w:sz w:val="21"/>
                <w:szCs w:val="21"/>
              </w:rPr>
            </w:pPr>
            <w:r>
              <w:rPr>
                <w:rFonts w:hint="eastAsia" w:ascii="微软雅黑" w:hAnsi="微软雅黑" w:eastAsia="微软雅黑" w:cs="微软雅黑"/>
                <w:color w:val="0000FF"/>
                <w:sz w:val="21"/>
                <w:szCs w:val="21"/>
              </w:rPr>
              <w:t>3.支持用户对数据进行查询与导出操作。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5" w:type="dxa"/>
            <w:vAlign w:val="center"/>
          </w:tcPr>
          <w:p>
            <w:pPr>
              <w:widowControl/>
              <w:jc w:val="center"/>
              <w:textAlignment w:val="center"/>
              <w:rPr>
                <w:rFonts w:hint="eastAsia" w:ascii="微软雅黑" w:hAnsi="微软雅黑" w:eastAsia="微软雅黑" w:cs="微软雅黑"/>
                <w:b w:val="0"/>
                <w:bCs w:val="0"/>
                <w:color w:val="0000FF"/>
                <w:kern w:val="0"/>
                <w:sz w:val="21"/>
                <w:szCs w:val="21"/>
              </w:rPr>
            </w:pPr>
            <w:r>
              <w:rPr>
                <w:rFonts w:hint="eastAsia" w:ascii="微软雅黑" w:hAnsi="微软雅黑" w:eastAsia="微软雅黑" w:cs="微软雅黑"/>
                <w:b w:val="0"/>
                <w:bCs w:val="0"/>
                <w:color w:val="0000FF"/>
                <w:kern w:val="0"/>
                <w:sz w:val="21"/>
                <w:szCs w:val="21"/>
                <w:lang w:bidi="ar"/>
              </w:rPr>
              <w:t>7</w:t>
            </w:r>
          </w:p>
        </w:tc>
        <w:tc>
          <w:tcPr>
            <w:tcW w:w="1127" w:type="dxa"/>
            <w:vAlign w:val="center"/>
          </w:tcPr>
          <w:p>
            <w:pPr>
              <w:widowControl/>
              <w:jc w:val="center"/>
              <w:textAlignment w:val="center"/>
              <w:rPr>
                <w:rFonts w:hint="eastAsia" w:ascii="微软雅黑" w:hAnsi="微软雅黑" w:eastAsia="微软雅黑" w:cs="微软雅黑"/>
                <w:bCs/>
                <w:color w:val="0000FF"/>
                <w:kern w:val="0"/>
                <w:sz w:val="21"/>
                <w:szCs w:val="21"/>
              </w:rPr>
            </w:pPr>
            <w:r>
              <w:rPr>
                <w:rFonts w:hint="eastAsia" w:ascii="微软雅黑" w:hAnsi="微软雅黑" w:eastAsia="微软雅黑" w:cs="微软雅黑"/>
                <w:bCs/>
                <w:color w:val="0000FF"/>
                <w:kern w:val="0"/>
                <w:sz w:val="21"/>
                <w:szCs w:val="21"/>
              </w:rPr>
              <w:t>可视化</w:t>
            </w:r>
          </w:p>
        </w:tc>
        <w:tc>
          <w:tcPr>
            <w:tcW w:w="7223" w:type="dxa"/>
            <w:vAlign w:val="center"/>
          </w:tcPr>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1.全院维度：以采购数据为基准，实现集采药品任务监测（批次完成率、达标率、进度趋势图、同种药品用量比/金额比），并支持历史数据情况查看。</w:t>
            </w:r>
          </w:p>
          <w:p>
            <w:pPr>
              <w:pStyle w:val="50"/>
              <w:widowControl/>
              <w:spacing w:line="284" w:lineRule="auto"/>
              <w:rPr>
                <w:rFonts w:hint="eastAsia" w:ascii="微软雅黑" w:hAnsi="微软雅黑" w:eastAsia="微软雅黑" w:cs="微软雅黑"/>
                <w:b/>
                <w:bCs/>
                <w:color w:val="0000FF"/>
                <w:sz w:val="21"/>
                <w:szCs w:val="21"/>
              </w:rPr>
            </w:pPr>
            <w:r>
              <w:rPr>
                <w:rFonts w:hint="eastAsia" w:ascii="微软雅黑" w:hAnsi="微软雅黑" w:eastAsia="微软雅黑" w:cs="微软雅黑"/>
                <w:color w:val="0000FF"/>
                <w:sz w:val="21"/>
                <w:szCs w:val="21"/>
              </w:rPr>
              <w:t>2.科室维度：提供科室层级统计与下钻分析：按月查看科室指标（完成比例、达标率、累计率、用量/金额比），可检索。下钻至单科室查看中选药品任务完成情况；再下钻至医生维度，展示每位医生的用量、金额及环比。</w:t>
            </w:r>
            <w:r>
              <w:rPr>
                <w:rFonts w:hint="eastAsia" w:ascii="微软雅黑" w:hAnsi="微软雅黑" w:eastAsia="微软雅黑" w:cs="微软雅黑"/>
                <w:b/>
                <w:bCs/>
                <w:color w:val="0000FF"/>
                <w:sz w:val="21"/>
                <w:szCs w:val="21"/>
              </w:rPr>
              <w:t>（涉及科室和医生的下钻数据权限务必可控）</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3.药品维度：支持按月查看中选药品统计（批次周期、目标量、执行月数、累计用量/金额、完成率、达标、同种药品用量/金额比。可下钻查看明细，如：同种药品统计（药品信息、累计用量/金额、月用量及用量比）；可替代药品统计（药品信息、可替代程度、累计用量/金额、月用量及环比）。</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4.支持按年查看中选药品使用/完成比例，批次任务明细及同种/可替代明细（含药品信息、年任务量/完成量、同种总用量、中选药品使用比例）。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5" w:type="dxa"/>
            <w:vAlign w:val="center"/>
          </w:tcPr>
          <w:p>
            <w:pPr>
              <w:widowControl/>
              <w:jc w:val="center"/>
              <w:textAlignment w:val="center"/>
              <w:rPr>
                <w:rFonts w:hint="eastAsia" w:ascii="微软雅黑" w:hAnsi="微软雅黑" w:eastAsia="微软雅黑" w:cs="微软雅黑"/>
                <w:b w:val="0"/>
                <w:bCs w:val="0"/>
                <w:color w:val="0000FF"/>
                <w:kern w:val="0"/>
                <w:sz w:val="21"/>
                <w:szCs w:val="21"/>
              </w:rPr>
            </w:pPr>
            <w:r>
              <w:rPr>
                <w:rFonts w:hint="eastAsia" w:ascii="微软雅黑" w:hAnsi="微软雅黑" w:eastAsia="微软雅黑" w:cs="微软雅黑"/>
                <w:b w:val="0"/>
                <w:bCs w:val="0"/>
                <w:color w:val="0000FF"/>
                <w:kern w:val="0"/>
                <w:sz w:val="21"/>
                <w:szCs w:val="21"/>
                <w:lang w:bidi="ar"/>
              </w:rPr>
              <w:t>8</w:t>
            </w:r>
          </w:p>
        </w:tc>
        <w:tc>
          <w:tcPr>
            <w:tcW w:w="1127" w:type="dxa"/>
            <w:vAlign w:val="center"/>
          </w:tcPr>
          <w:p>
            <w:pPr>
              <w:widowControl/>
              <w:jc w:val="center"/>
              <w:textAlignment w:val="center"/>
              <w:rPr>
                <w:rFonts w:hint="eastAsia" w:ascii="微软雅黑" w:hAnsi="微软雅黑" w:eastAsia="微软雅黑" w:cs="微软雅黑"/>
                <w:bCs/>
                <w:color w:val="0000FF"/>
                <w:kern w:val="0"/>
                <w:sz w:val="21"/>
                <w:szCs w:val="21"/>
              </w:rPr>
            </w:pPr>
            <w:r>
              <w:rPr>
                <w:rFonts w:hint="eastAsia" w:ascii="微软雅黑" w:hAnsi="微软雅黑" w:eastAsia="微软雅黑" w:cs="微软雅黑"/>
                <w:bCs/>
                <w:color w:val="0000FF"/>
                <w:kern w:val="0"/>
                <w:sz w:val="21"/>
                <w:szCs w:val="21"/>
              </w:rPr>
              <w:t>智能提醒</w:t>
            </w:r>
          </w:p>
        </w:tc>
        <w:tc>
          <w:tcPr>
            <w:tcW w:w="7223" w:type="dxa"/>
            <w:vAlign w:val="center"/>
          </w:tcPr>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1.支持自定义周期性提醒功能，并可下钻至临床科室及医生层级。（如在集采批次结束前3个月，若某药品的任务完成量未达标或中选药品比例过低，系统将自动向用户发送通知。）</w:t>
            </w:r>
          </w:p>
          <w:p>
            <w:pPr>
              <w:spacing w:line="284" w:lineRule="auto"/>
              <w:rPr>
                <w:rFonts w:hint="eastAsia" w:ascii="微软雅黑" w:hAnsi="微软雅黑" w:eastAsia="微软雅黑" w:cs="微软雅黑"/>
                <w:color w:val="0000FF"/>
                <w:sz w:val="21"/>
                <w:szCs w:val="21"/>
              </w:rPr>
            </w:pPr>
            <w:r>
              <w:rPr>
                <w:rFonts w:hint="eastAsia" w:ascii="微软雅黑" w:hAnsi="微软雅黑" w:eastAsia="微软雅黑" w:cs="微软雅黑"/>
                <w:color w:val="0000FF"/>
                <w:sz w:val="21"/>
                <w:szCs w:val="21"/>
              </w:rPr>
              <w:t>2.具备智能分析能力，依据数据治理规则，自动计算集采中标药品与非中标药品的数量比（如1:1）及金额比（如3:7），并对数据异常药品进行高亮标识，便于快速识别与干预。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5" w:type="dxa"/>
            <w:vAlign w:val="center"/>
          </w:tcPr>
          <w:p>
            <w:pPr>
              <w:widowControl/>
              <w:jc w:val="center"/>
              <w:textAlignment w:val="center"/>
              <w:rPr>
                <w:rFonts w:hint="eastAsia" w:ascii="微软雅黑" w:hAnsi="微软雅黑" w:eastAsia="微软雅黑" w:cs="微软雅黑"/>
                <w:b w:val="0"/>
                <w:bCs w:val="0"/>
                <w:color w:val="0000FF"/>
                <w:kern w:val="0"/>
                <w:sz w:val="21"/>
                <w:szCs w:val="21"/>
              </w:rPr>
            </w:pPr>
            <w:r>
              <w:rPr>
                <w:rFonts w:hint="eastAsia" w:ascii="微软雅黑" w:hAnsi="微软雅黑" w:eastAsia="微软雅黑" w:cs="微软雅黑"/>
                <w:b w:val="0"/>
                <w:bCs w:val="0"/>
                <w:color w:val="0000FF"/>
                <w:kern w:val="0"/>
                <w:sz w:val="21"/>
                <w:szCs w:val="21"/>
                <w:lang w:bidi="ar"/>
              </w:rPr>
              <w:t>9</w:t>
            </w:r>
          </w:p>
        </w:tc>
        <w:tc>
          <w:tcPr>
            <w:tcW w:w="1127" w:type="dxa"/>
            <w:vAlign w:val="center"/>
          </w:tcPr>
          <w:p>
            <w:pPr>
              <w:widowControl/>
              <w:jc w:val="center"/>
              <w:textAlignment w:val="center"/>
              <w:rPr>
                <w:rFonts w:hint="eastAsia" w:ascii="微软雅黑" w:hAnsi="微软雅黑" w:eastAsia="微软雅黑" w:cs="微软雅黑"/>
                <w:bCs/>
                <w:color w:val="0000FF"/>
                <w:kern w:val="0"/>
                <w:sz w:val="21"/>
                <w:szCs w:val="21"/>
              </w:rPr>
            </w:pPr>
            <w:r>
              <w:rPr>
                <w:rFonts w:hint="eastAsia" w:ascii="微软雅黑" w:hAnsi="微软雅黑" w:eastAsia="微软雅黑" w:cs="微软雅黑"/>
                <w:bCs/>
                <w:color w:val="0000FF"/>
                <w:kern w:val="0"/>
                <w:sz w:val="21"/>
                <w:szCs w:val="21"/>
              </w:rPr>
              <w:t>权限管理</w:t>
            </w:r>
          </w:p>
        </w:tc>
        <w:tc>
          <w:tcPr>
            <w:tcW w:w="7223" w:type="dxa"/>
            <w:vAlign w:val="center"/>
          </w:tcPr>
          <w:p>
            <w:pPr>
              <w:widowControl/>
              <w:spacing w:line="284" w:lineRule="auto"/>
              <w:jc w:val="left"/>
              <w:textAlignment w:val="center"/>
              <w:rPr>
                <w:rFonts w:hint="eastAsia" w:ascii="微软雅黑" w:hAnsi="微软雅黑" w:eastAsia="微软雅黑" w:cs="微软雅黑"/>
                <w:color w:val="0000FF"/>
                <w:kern w:val="0"/>
                <w:sz w:val="21"/>
                <w:szCs w:val="21"/>
              </w:rPr>
            </w:pPr>
            <w:r>
              <w:rPr>
                <w:rFonts w:hint="eastAsia" w:ascii="微软雅黑" w:hAnsi="微软雅黑" w:eastAsia="微软雅黑" w:cs="微软雅黑"/>
                <w:color w:val="0000FF"/>
                <w:kern w:val="0"/>
                <w:sz w:val="21"/>
                <w:szCs w:val="21"/>
                <w:lang w:bidi="ar"/>
              </w:rPr>
              <w:t>根据管理职能的差异，分别配置数据的查看和管理权限。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5" w:type="dxa"/>
            <w:vAlign w:val="center"/>
          </w:tcPr>
          <w:p>
            <w:pPr>
              <w:widowControl/>
              <w:jc w:val="center"/>
              <w:textAlignment w:val="center"/>
              <w:rPr>
                <w:rFonts w:hint="eastAsia" w:ascii="微软雅黑" w:hAnsi="微软雅黑" w:eastAsia="微软雅黑" w:cs="微软雅黑"/>
                <w:b w:val="0"/>
                <w:bCs w:val="0"/>
                <w:color w:val="0000FF"/>
                <w:kern w:val="0"/>
                <w:sz w:val="21"/>
                <w:szCs w:val="21"/>
                <w:lang w:bidi="ar"/>
              </w:rPr>
            </w:pPr>
            <w:r>
              <w:rPr>
                <w:rFonts w:hint="eastAsia" w:ascii="微软雅黑" w:hAnsi="微软雅黑" w:eastAsia="微软雅黑" w:cs="微软雅黑"/>
                <w:b w:val="0"/>
                <w:bCs w:val="0"/>
                <w:color w:val="0000FF"/>
                <w:kern w:val="0"/>
                <w:sz w:val="21"/>
                <w:szCs w:val="21"/>
                <w:lang w:bidi="ar"/>
              </w:rPr>
              <w:t>10</w:t>
            </w:r>
          </w:p>
        </w:tc>
        <w:tc>
          <w:tcPr>
            <w:tcW w:w="1127" w:type="dxa"/>
            <w:vAlign w:val="center"/>
          </w:tcPr>
          <w:p>
            <w:pPr>
              <w:widowControl/>
              <w:jc w:val="center"/>
              <w:textAlignment w:val="center"/>
              <w:rPr>
                <w:rFonts w:hint="eastAsia" w:ascii="微软雅黑" w:hAnsi="微软雅黑" w:eastAsia="微软雅黑" w:cs="微软雅黑"/>
                <w:bCs/>
                <w:color w:val="0000FF"/>
                <w:kern w:val="0"/>
                <w:sz w:val="21"/>
                <w:szCs w:val="21"/>
              </w:rPr>
            </w:pPr>
            <w:r>
              <w:rPr>
                <w:rFonts w:hint="eastAsia" w:ascii="微软雅黑" w:hAnsi="微软雅黑" w:eastAsia="微软雅黑" w:cs="微软雅黑"/>
                <w:bCs/>
                <w:color w:val="0000FF"/>
                <w:kern w:val="0"/>
                <w:sz w:val="21"/>
                <w:szCs w:val="21"/>
              </w:rPr>
              <w:t>系统对接</w:t>
            </w:r>
          </w:p>
        </w:tc>
        <w:tc>
          <w:tcPr>
            <w:tcW w:w="7223" w:type="dxa"/>
            <w:vAlign w:val="center"/>
          </w:tcPr>
          <w:p>
            <w:pPr>
              <w:widowControl/>
              <w:spacing w:line="284" w:lineRule="auto"/>
              <w:jc w:val="left"/>
              <w:textAlignment w:val="center"/>
              <w:rPr>
                <w:rFonts w:hint="eastAsia" w:ascii="微软雅黑" w:hAnsi="微软雅黑" w:eastAsia="微软雅黑" w:cs="微软雅黑"/>
                <w:color w:val="0000FF"/>
                <w:kern w:val="0"/>
                <w:sz w:val="21"/>
                <w:szCs w:val="21"/>
              </w:rPr>
            </w:pPr>
            <w:r>
              <w:rPr>
                <w:rFonts w:hint="eastAsia" w:ascii="微软雅黑" w:hAnsi="微软雅黑" w:eastAsia="微软雅黑" w:cs="微软雅黑"/>
                <w:b/>
                <w:color w:val="0000FF"/>
                <w:kern w:val="0"/>
                <w:sz w:val="21"/>
                <w:szCs w:val="21"/>
              </w:rPr>
              <w:t>※</w:t>
            </w:r>
            <w:r>
              <w:rPr>
                <w:rFonts w:hint="eastAsia" w:ascii="微软雅黑" w:hAnsi="微软雅黑" w:eastAsia="微软雅黑" w:cs="微软雅黑"/>
                <w:color w:val="0000FF"/>
                <w:sz w:val="21"/>
                <w:szCs w:val="21"/>
              </w:rPr>
              <w:t>与医院现有HIS等系统对接，实现数据稳定交互。</w:t>
            </w:r>
          </w:p>
        </w:tc>
      </w:tr>
    </w:tbl>
    <w:p>
      <w:pPr>
        <w:spacing w:line="400" w:lineRule="exact"/>
        <w:ind w:firstLine="480" w:firstLineChars="200"/>
        <w:rPr>
          <w:rFonts w:hint="eastAsia" w:ascii="微软雅黑" w:hAnsi="微软雅黑" w:eastAsia="微软雅黑" w:cs="微软雅黑"/>
          <w:sz w:val="24"/>
          <w:szCs w:val="24"/>
          <w:lang w:val="en-US" w:eastAsia="zh-CN"/>
        </w:rPr>
      </w:pPr>
    </w:p>
    <w:bookmarkEnd w:id="50"/>
    <w:p>
      <w:pPr>
        <w:rPr>
          <w:rFonts w:hint="eastAsia" w:ascii="微软雅黑" w:hAnsi="微软雅黑" w:eastAsia="微软雅黑" w:cs="微软雅黑"/>
        </w:rPr>
      </w:pPr>
      <w:r>
        <w:rPr>
          <w:rFonts w:hint="eastAsia" w:ascii="微软雅黑" w:hAnsi="微软雅黑" w:eastAsia="微软雅黑" w:cs="微软雅黑"/>
        </w:rPr>
        <w:br w:type="page"/>
      </w:r>
    </w:p>
    <w:p>
      <w:pPr>
        <w:pStyle w:val="4"/>
        <w:spacing w:before="200" w:after="200" w:line="240" w:lineRule="auto"/>
        <w:ind w:firstLine="2641" w:firstLineChars="600"/>
        <w:jc w:val="both"/>
        <w:rPr>
          <w:rFonts w:hint="eastAsia" w:ascii="微软雅黑" w:hAnsi="微软雅黑" w:eastAsia="微软雅黑" w:cs="微软雅黑"/>
          <w:b/>
          <w:sz w:val="44"/>
          <w:szCs w:val="20"/>
        </w:rPr>
      </w:pPr>
      <w:bookmarkStart w:id="99" w:name="_Toc6337"/>
      <w:bookmarkStart w:id="100" w:name="_Toc106030887"/>
      <w:bookmarkStart w:id="101" w:name="_Toc6692"/>
      <w:bookmarkStart w:id="102" w:name="_Toc76462332"/>
      <w:r>
        <w:rPr>
          <w:rFonts w:hint="eastAsia" w:ascii="微软雅黑" w:hAnsi="微软雅黑" w:eastAsia="微软雅黑" w:cs="微软雅黑"/>
          <w:b/>
          <w:sz w:val="44"/>
          <w:szCs w:val="20"/>
        </w:rPr>
        <w:t>第三篇  项目商务需求</w:t>
      </w:r>
      <w:bookmarkEnd w:id="99"/>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9"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交货期、交货地点及验收方式</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交货期:合同签订后180个日历日内。</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交货地点:重庆医科大学附属儿童医院。</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验收方式:产品安装调试完毕，且正常运行30日后，即证明产品满足要求，符合验收条件，中标人应正式提出验收申请并出具《验收报告》，对采购人根据验收标准给予项目验收签字。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50"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报价方式及要求</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该项目可在投标现场进行二次报价。</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报价为人民币报价，须对项目总价进行报价。包含服务、安装调试、税费、信息系统对接等完成该项目所需全部费用</w:t>
            </w:r>
            <w:r>
              <w:rPr>
                <w:rFonts w:hint="eastAsia" w:ascii="微软雅黑" w:hAnsi="微软雅黑" w:eastAsia="微软雅黑" w:cs="微软雅黑"/>
                <w:color w:val="000000" w:themeColor="text1"/>
                <w:sz w:val="24"/>
                <w:szCs w:val="24"/>
                <w:lang w:val="en-US" w:eastAsia="zh-CN"/>
                <w14:textFill>
                  <w14:solidFill>
                    <w14:schemeClr w14:val="tx1"/>
                  </w14:solidFill>
                </w14:textFill>
              </w:rPr>
              <w:t>。因投标人自身原因造成漏报、少报皆由其自行承担责任，采购人不再补偿。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0000FF"/>
                <w:sz w:val="24"/>
                <w:szCs w:val="24"/>
                <w:lang w:val="en-US" w:eastAsia="zh-CN"/>
              </w:rPr>
              <w:t>1.质保期：免费质保1年（按验收合格之日算）。</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2.中标人须确保投标产品完全满足所对应的技术参数要求。采购人将依据投标响应文件中的技术参数逐项进行核对。如有核心参数未达标，采购人有权单方解除合同，由此产生的全部损失由中标人自行承担。</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3.为保障产品稳定运行，对采购人反馈的产品使用相关问题进行及时响应和分析，对远程无法解决的问题，投标人安排工程师24小时内到现场进行处理，若不能及时修复，在48小时内提供临时解决方案，保证系统可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结算与付款方式</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1.按照采购人需求完成部署并经采购人验收合格后，中标人向采购人开具全额发票，并出具验收报告及合同复印件向采购人提出付款申请。</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2.采购人收到付款申请材料后如双方无争议及纠纷，自收到付款申请材料之日起 60日内支付软件货款。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1.中标人交付完整的全部开发资料，采购人委托中标人开发的信息系统，其过程中形成的全部成果的知识产权归采购人所有。</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2.采购人</w:t>
            </w:r>
            <w:r>
              <w:rPr>
                <w:rFonts w:hint="eastAsia" w:ascii="微软雅黑" w:hAnsi="微软雅黑" w:eastAsia="微软雅黑" w:cs="微软雅黑"/>
                <w:color w:val="000000" w:themeColor="text1"/>
                <w:sz w:val="24"/>
                <w:szCs w:val="24"/>
                <w14:textFill>
                  <w14:solidFill>
                    <w14:schemeClr w14:val="tx1"/>
                  </w14:solidFill>
                </w14:textFill>
              </w:rPr>
              <w:t>在中国境内使用</w:t>
            </w:r>
            <w:r>
              <w:rPr>
                <w:rFonts w:hint="eastAsia" w:ascii="微软雅黑" w:hAnsi="微软雅黑" w:eastAsia="微软雅黑" w:cs="微软雅黑"/>
                <w:color w:val="000000" w:themeColor="text1"/>
                <w:sz w:val="24"/>
                <w:szCs w:val="24"/>
                <w:lang w:val="en-US" w:eastAsia="zh-CN"/>
                <w14:textFill>
                  <w14:solidFill>
                    <w14:schemeClr w14:val="tx1"/>
                  </w14:solidFill>
                </w14:textFill>
              </w:rPr>
              <w:t>中标人</w:t>
            </w:r>
            <w:r>
              <w:rPr>
                <w:rFonts w:hint="eastAsia" w:ascii="微软雅黑" w:hAnsi="微软雅黑" w:eastAsia="微软雅黑" w:cs="微软雅黑"/>
                <w:color w:val="000000" w:themeColor="text1"/>
                <w:sz w:val="24"/>
                <w:szCs w:val="24"/>
                <w14:textFill>
                  <w14:solidFill>
                    <w14:schemeClr w14:val="tx1"/>
                  </w14:solidFill>
                </w14:textFill>
              </w:rPr>
              <w:t>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培训要求</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其他商务要求</w:t>
            </w:r>
          </w:p>
        </w:tc>
        <w:tc>
          <w:tcPr>
            <w:tcW w:w="4271" w:type="pc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0000FF"/>
                <w:sz w:val="24"/>
                <w:szCs w:val="24"/>
                <w:lang w:val="en-US" w:eastAsia="zh-CN"/>
              </w:rPr>
              <w:t>1.</w:t>
            </w:r>
            <w:r>
              <w:rPr>
                <w:rFonts w:hint="eastAsia" w:ascii="微软雅黑" w:hAnsi="微软雅黑" w:eastAsia="微软雅黑" w:cs="微软雅黑"/>
                <w:color w:val="0000FF"/>
                <w:sz w:val="24"/>
                <w:szCs w:val="24"/>
              </w:rPr>
              <w:t>本项目产生的所有数据（包括院内药品数据、使用数据、统计分析结果等）的知识产权和所有权均归采购人所有。中标人不得将数据用于本项目之外的任何目的，并在合同终止或期满后，将所有数据完整移交给采购人并自留副本做销毁处理。</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2.投标人必须在响应文件中对以上条款和服务承诺明确列出，承诺内容必须达到本篇及协商文件其他条款的要求。</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3.其他未尽事宜由供需双方在采购合同中详细约定。</w:t>
            </w:r>
          </w:p>
        </w:tc>
      </w:tr>
    </w:tbl>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bookmarkEnd w:id="100"/>
    <w:bookmarkEnd w:id="101"/>
    <w:bookmarkEnd w:id="102"/>
    <w:p>
      <w:pPr>
        <w:pStyle w:val="4"/>
        <w:spacing w:before="200" w:after="200" w:line="240" w:lineRule="auto"/>
        <w:jc w:val="center"/>
        <w:rPr>
          <w:rFonts w:hint="eastAsia" w:ascii="微软雅黑" w:hAnsi="微软雅黑" w:eastAsia="微软雅黑" w:cs="微软雅黑"/>
          <w:sz w:val="44"/>
        </w:rPr>
      </w:pPr>
      <w:bookmarkStart w:id="103" w:name="_Toc8585"/>
      <w:bookmarkStart w:id="104" w:name="_Toc11315"/>
      <w:r>
        <w:rPr>
          <w:rFonts w:hint="eastAsia" w:ascii="微软雅黑" w:hAnsi="微软雅黑" w:eastAsia="微软雅黑" w:cs="微软雅黑"/>
          <w:sz w:val="44"/>
        </w:rPr>
        <w:t>第三篇  公开比选采购程序及方法、评审标准、无效响应和采购终止</w:t>
      </w:r>
      <w:bookmarkEnd w:id="103"/>
      <w:bookmarkEnd w:id="10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5" w:name="_Toc18313"/>
      <w:bookmarkStart w:id="106" w:name="_Toc76462333"/>
      <w:bookmarkStart w:id="107" w:name="_Toc26127"/>
      <w:bookmarkStart w:id="108" w:name="_Toc106030888"/>
      <w:bookmarkStart w:id="109" w:name="_Toc14958"/>
      <w:bookmarkStart w:id="110" w:name="_Toc25412"/>
      <w:r>
        <w:rPr>
          <w:rFonts w:hint="eastAsia" w:ascii="微软雅黑" w:hAnsi="微软雅黑" w:eastAsia="微软雅黑" w:cs="微软雅黑"/>
          <w:sz w:val="24"/>
        </w:rPr>
        <w:t>一、公开比选采购程序</w:t>
      </w:r>
      <w:bookmarkEnd w:id="105"/>
      <w:bookmarkEnd w:id="106"/>
      <w:bookmarkEnd w:id="107"/>
      <w:bookmarkEnd w:id="108"/>
      <w:bookmarkEnd w:id="109"/>
      <w:bookmarkEnd w:id="11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w:t>
            </w:r>
            <w:r>
              <w:rPr>
                <w:rFonts w:hint="eastAsia" w:ascii="微软雅黑" w:hAnsi="微软雅黑" w:eastAsia="微软雅黑" w:cs="微软雅黑"/>
                <w:color w:val="auto"/>
                <w:szCs w:val="21"/>
              </w:rPr>
              <w:t>第</w:t>
            </w:r>
            <w:r>
              <w:rPr>
                <w:rFonts w:hint="eastAsia" w:ascii="微软雅黑" w:hAnsi="微软雅黑" w:eastAsia="微软雅黑" w:cs="微软雅黑"/>
                <w:color w:val="auto"/>
                <w:szCs w:val="21"/>
                <w:lang w:val="en-US" w:eastAsia="zh-CN"/>
              </w:rPr>
              <w:t>五</w:t>
            </w:r>
            <w:r>
              <w:rPr>
                <w:rFonts w:hint="eastAsia" w:ascii="微软雅黑" w:hAnsi="微软雅黑" w:eastAsia="微软雅黑" w:cs="微软雅黑"/>
                <w:color w:val="auto"/>
                <w:szCs w:val="21"/>
              </w:rPr>
              <w:t>篇</w:t>
            </w:r>
            <w:r>
              <w:rPr>
                <w:rFonts w:hint="eastAsia" w:ascii="微软雅黑" w:hAnsi="微软雅黑" w:eastAsia="微软雅黑" w:cs="微软雅黑"/>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w:t>
            </w:r>
            <w:r>
              <w:rPr>
                <w:rFonts w:hint="eastAsia" w:ascii="微软雅黑" w:hAnsi="微软雅黑" w:eastAsia="微软雅黑" w:cs="微软雅黑"/>
                <w:szCs w:val="21"/>
                <w:lang w:eastAsia="zh-CN"/>
              </w:rPr>
              <w:t>其他</w:t>
            </w:r>
            <w:r>
              <w:rPr>
                <w:rFonts w:hint="eastAsia" w:ascii="微软雅黑" w:hAnsi="微软雅黑" w:eastAsia="微软雅黑" w:cs="微软雅黑"/>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 xml:space="preserve"> </w:t>
            </w:r>
            <w:r>
              <w:rPr>
                <w:rFonts w:hint="eastAsia" w:ascii="微软雅黑" w:hAnsi="微软雅黑" w:eastAsia="微软雅黑" w:cs="微软雅黑"/>
                <w:szCs w:val="21"/>
              </w:rPr>
              <w:t>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w:t>
            </w:r>
            <w:r>
              <w:rPr>
                <w:rFonts w:hint="eastAsia" w:ascii="微软雅黑" w:hAnsi="微软雅黑" w:eastAsia="微软雅黑" w:cs="微软雅黑"/>
                <w:szCs w:val="21"/>
                <w:lang w:eastAsia="zh-CN"/>
              </w:rPr>
              <w:t>其他</w:t>
            </w:r>
            <w:r>
              <w:rPr>
                <w:rFonts w:hint="eastAsia" w:ascii="微软雅黑" w:hAnsi="微软雅黑" w:eastAsia="微软雅黑" w:cs="微软雅黑"/>
                <w:szCs w:val="21"/>
              </w:rPr>
              <w:t>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二、</w:t>
      </w:r>
      <w:bookmarkEnd w:id="0"/>
      <w:bookmarkEnd w:id="1"/>
      <w:bookmarkEnd w:id="2"/>
      <w:bookmarkStart w:id="111" w:name="_Toc9278"/>
      <w:bookmarkStart w:id="112" w:name="_Toc27607"/>
      <w:bookmarkStart w:id="113" w:name="_Toc10932"/>
      <w:r>
        <w:rPr>
          <w:rFonts w:hint="eastAsia" w:ascii="微软雅黑" w:hAnsi="微软雅黑" w:eastAsia="微软雅黑" w:cs="微软雅黑"/>
          <w:sz w:val="24"/>
        </w:rPr>
        <w:t>评标方法</w:t>
      </w:r>
      <w:bookmarkEnd w:id="3"/>
      <w:bookmarkEnd w:id="111"/>
      <w:bookmarkEnd w:id="112"/>
      <w:bookmarkEnd w:id="113"/>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本项目采用综合评分法进行评标。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综合评分法，是指响应文件满足采购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（一）比较与评价。按采购文件中规定的评标方法和标准，对资格审查和符合性审查合格的响应文件进行商务和技术评估。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评审得分相同的，由采购人委托评标委员会按照采购文件规定的方式确定一个投标人获得投标人推荐资格，采购文件未规定的采取随机抽取方式确定。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评标委员会各成员独立对每个有效投标人（通过资格审查、符合性审查的投标人）的响应文件进行评价、打分，然后由评标委员会对各成员打分情况进行核查及复核，个别成员对同一投标人同一评分项的打分偏离较大的，应对投标人的响应文件进行再次核对，确属打分有误的，应及时进行修正。</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按评审后得分由高到低的排列顺序推荐综合得分排名前三的投标人为本项目中标候选人，排名第一的为第一中标候选人。</w:t>
      </w:r>
      <w:r>
        <w:rPr>
          <w:rFonts w:hint="eastAsia" w:ascii="微软雅黑" w:hAnsi="微软雅黑" w:eastAsia="微软雅黑" w:cs="微软雅黑"/>
          <w:color w:val="auto"/>
          <w:sz w:val="24"/>
          <w:szCs w:val="24"/>
        </w:rPr>
        <w:t>综合评分总分相同的，</w:t>
      </w:r>
      <w:r>
        <w:rPr>
          <w:rFonts w:hint="eastAsia" w:ascii="微软雅黑" w:hAnsi="微软雅黑" w:eastAsia="微软雅黑" w:cs="微软雅黑"/>
          <w:color w:val="auto"/>
          <w:sz w:val="24"/>
          <w:szCs w:val="24"/>
          <w:highlight w:val="none"/>
        </w:rPr>
        <w:t>按价格得分高低</w:t>
      </w:r>
      <w:r>
        <w:rPr>
          <w:rFonts w:hint="eastAsia" w:ascii="微软雅黑" w:hAnsi="微软雅黑" w:eastAsia="微软雅黑" w:cs="微软雅黑"/>
          <w:color w:val="auto"/>
          <w:sz w:val="24"/>
          <w:szCs w:val="24"/>
        </w:rPr>
        <w:t>顺序排列（投标报价相同的并列）</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30944"/>
      <w:bookmarkStart w:id="115" w:name="_Toc18577"/>
      <w:bookmarkStart w:id="116" w:name="_Toc76462334"/>
      <w:bookmarkStart w:id="117" w:name="_Toc11400"/>
      <w:bookmarkStart w:id="118" w:name="_Toc5973"/>
      <w:bookmarkStart w:id="119" w:name="_Toc106030889"/>
      <w:bookmarkStart w:id="120" w:name="_Toc27203"/>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rPr>
        <w:t>、评审标准</w:t>
      </w:r>
      <w:bookmarkEnd w:id="114"/>
      <w:bookmarkEnd w:id="115"/>
      <w:bookmarkEnd w:id="116"/>
      <w:bookmarkEnd w:id="117"/>
      <w:bookmarkEnd w:id="118"/>
      <w:bookmarkEnd w:id="119"/>
      <w:bookmarkEnd w:id="120"/>
    </w:p>
    <w:tbl>
      <w:tblPr>
        <w:tblStyle w:val="58"/>
        <w:tblW w:w="94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189"/>
        <w:gridCol w:w="829"/>
        <w:gridCol w:w="5018"/>
        <w:gridCol w:w="1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pPr>
              <w:pStyle w:val="2"/>
              <w:jc w:val="center"/>
              <w:rPr>
                <w:rFonts w:hint="eastAsia" w:ascii="微软雅黑" w:hAnsi="微软雅黑" w:eastAsia="微软雅黑" w:cs="微软雅黑"/>
                <w:b/>
                <w:bCs/>
                <w:sz w:val="21"/>
                <w:szCs w:val="21"/>
                <w:vertAlign w:val="baseline"/>
                <w:lang w:val="en-US" w:eastAsia="zh-CN"/>
              </w:rPr>
            </w:pPr>
            <w:bookmarkStart w:id="121" w:name="_Toc32522"/>
            <w:bookmarkStart w:id="122" w:name="_Toc29489"/>
            <w:bookmarkStart w:id="123" w:name="_Toc14386"/>
            <w:r>
              <w:rPr>
                <w:rFonts w:hint="eastAsia" w:ascii="微软雅黑" w:hAnsi="微软雅黑" w:eastAsia="微软雅黑" w:cs="微软雅黑"/>
                <w:b/>
                <w:bCs/>
                <w:sz w:val="21"/>
                <w:szCs w:val="21"/>
                <w:vertAlign w:val="baseline"/>
                <w:lang w:val="en-US" w:eastAsia="zh-CN"/>
              </w:rPr>
              <w:t>序号</w:t>
            </w:r>
          </w:p>
        </w:tc>
        <w:tc>
          <w:tcPr>
            <w:tcW w:w="1189" w:type="dxa"/>
            <w:vAlign w:val="center"/>
          </w:tcPr>
          <w:p>
            <w:pPr>
              <w:pStyle w:val="2"/>
              <w:jc w:val="center"/>
              <w:rPr>
                <w:rFonts w:hint="eastAsia" w:ascii="微软雅黑" w:hAnsi="微软雅黑" w:eastAsia="微软雅黑" w:cs="微软雅黑"/>
                <w:b/>
                <w:bCs/>
                <w:sz w:val="21"/>
                <w:szCs w:val="21"/>
                <w:vertAlign w:val="baseline"/>
                <w:lang w:val="en-US" w:eastAsia="zh-CN"/>
              </w:rPr>
            </w:pPr>
            <w:r>
              <w:rPr>
                <w:rFonts w:hint="eastAsia" w:ascii="微软雅黑" w:hAnsi="微软雅黑" w:eastAsia="微软雅黑" w:cs="微软雅黑"/>
                <w:b/>
                <w:bCs/>
                <w:sz w:val="21"/>
                <w:szCs w:val="21"/>
                <w:vertAlign w:val="baseline"/>
                <w:lang w:val="en-US" w:eastAsia="zh-CN"/>
              </w:rPr>
              <w:t>评分因素及权重</w:t>
            </w:r>
          </w:p>
        </w:tc>
        <w:tc>
          <w:tcPr>
            <w:tcW w:w="829" w:type="dxa"/>
            <w:vAlign w:val="center"/>
          </w:tcPr>
          <w:p>
            <w:pPr>
              <w:pStyle w:val="2"/>
              <w:jc w:val="center"/>
              <w:rPr>
                <w:rFonts w:hint="eastAsia" w:ascii="微软雅黑" w:hAnsi="微软雅黑" w:eastAsia="微软雅黑" w:cs="微软雅黑"/>
                <w:b/>
                <w:bCs/>
                <w:sz w:val="21"/>
                <w:szCs w:val="21"/>
                <w:vertAlign w:val="baseline"/>
                <w:lang w:val="en-US" w:eastAsia="zh-CN"/>
              </w:rPr>
            </w:pPr>
            <w:r>
              <w:rPr>
                <w:rFonts w:hint="eastAsia" w:ascii="微软雅黑" w:hAnsi="微软雅黑" w:eastAsia="微软雅黑" w:cs="微软雅黑"/>
                <w:b/>
                <w:bCs/>
                <w:sz w:val="21"/>
                <w:szCs w:val="21"/>
                <w:vertAlign w:val="baseline"/>
                <w:lang w:val="en-US" w:eastAsia="zh-CN"/>
              </w:rPr>
              <w:t>分值</w:t>
            </w:r>
          </w:p>
        </w:tc>
        <w:tc>
          <w:tcPr>
            <w:tcW w:w="5018" w:type="dxa"/>
            <w:vAlign w:val="center"/>
          </w:tcPr>
          <w:p>
            <w:pPr>
              <w:pStyle w:val="2"/>
              <w:jc w:val="center"/>
              <w:rPr>
                <w:rFonts w:hint="eastAsia" w:ascii="微软雅黑" w:hAnsi="微软雅黑" w:eastAsia="微软雅黑" w:cs="微软雅黑"/>
                <w:b/>
                <w:bCs/>
                <w:sz w:val="21"/>
                <w:szCs w:val="21"/>
                <w:vertAlign w:val="baseline"/>
                <w:lang w:val="en-US" w:eastAsia="zh-CN"/>
              </w:rPr>
            </w:pPr>
            <w:r>
              <w:rPr>
                <w:rFonts w:hint="eastAsia" w:ascii="微软雅黑" w:hAnsi="微软雅黑" w:eastAsia="微软雅黑" w:cs="微软雅黑"/>
                <w:b/>
                <w:bCs/>
                <w:sz w:val="21"/>
                <w:szCs w:val="21"/>
                <w:vertAlign w:val="baseline"/>
                <w:lang w:val="en-US" w:eastAsia="zh-CN"/>
              </w:rPr>
              <w:t>评分标准</w:t>
            </w:r>
          </w:p>
        </w:tc>
        <w:tc>
          <w:tcPr>
            <w:tcW w:w="1652" w:type="dxa"/>
            <w:vAlign w:val="center"/>
          </w:tcPr>
          <w:p>
            <w:pPr>
              <w:pStyle w:val="2"/>
              <w:jc w:val="center"/>
              <w:rPr>
                <w:rFonts w:hint="eastAsia" w:ascii="微软雅黑" w:hAnsi="微软雅黑" w:eastAsia="微软雅黑" w:cs="微软雅黑"/>
                <w:b/>
                <w:bCs/>
                <w:sz w:val="21"/>
                <w:szCs w:val="21"/>
                <w:vertAlign w:val="baseline"/>
                <w:lang w:val="en-US" w:eastAsia="zh-CN"/>
              </w:rPr>
            </w:pPr>
            <w:r>
              <w:rPr>
                <w:rFonts w:hint="eastAsia" w:ascii="微软雅黑" w:hAnsi="微软雅黑" w:eastAsia="微软雅黑" w:cs="微软雅黑"/>
                <w:b/>
                <w:bCs/>
                <w:sz w:val="21"/>
                <w:szCs w:val="21"/>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trPr>
        <w:tc>
          <w:tcPr>
            <w:tcW w:w="778" w:type="dxa"/>
            <w:vAlign w:val="center"/>
          </w:tcPr>
          <w:p>
            <w:pPr>
              <w:pStyle w:val="2"/>
              <w:jc w:val="center"/>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1</w:t>
            </w:r>
          </w:p>
        </w:tc>
        <w:tc>
          <w:tcPr>
            <w:tcW w:w="1189" w:type="dxa"/>
            <w:vAlign w:val="center"/>
          </w:tcPr>
          <w:p>
            <w:pPr>
              <w:pStyle w:val="2"/>
              <w:jc w:val="center"/>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投标报价(40%)</w:t>
            </w:r>
          </w:p>
        </w:tc>
        <w:tc>
          <w:tcPr>
            <w:tcW w:w="829" w:type="dxa"/>
            <w:vAlign w:val="center"/>
          </w:tcPr>
          <w:p>
            <w:pPr>
              <w:pStyle w:val="2"/>
              <w:jc w:val="center"/>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40</w:t>
            </w:r>
          </w:p>
        </w:tc>
        <w:tc>
          <w:tcPr>
            <w:tcW w:w="5018" w:type="dxa"/>
          </w:tcPr>
          <w:p>
            <w:pPr>
              <w:pStyle w:val="2"/>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有效的投标报价中的最低价为评标基准价，其价格分为满分。其他投标人的价格分统一按照下列公式计算:投标报价得分=(评标基准价/投标报价)x价格权重x100.</w:t>
            </w:r>
          </w:p>
        </w:tc>
        <w:tc>
          <w:tcPr>
            <w:tcW w:w="1652" w:type="dxa"/>
          </w:tcPr>
          <w:p>
            <w:pPr>
              <w:pStyle w:val="2"/>
              <w:rPr>
                <w:rFonts w:hint="eastAsia" w:ascii="微软雅黑" w:hAnsi="微软雅黑" w:eastAsia="微软雅黑" w:cs="微软雅黑"/>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466" w:type="dxa"/>
            <w:gridSpan w:val="5"/>
            <w:vAlign w:val="top"/>
          </w:tcPr>
          <w:p>
            <w:pPr>
              <w:pStyle w:val="2"/>
              <w:jc w:val="left"/>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采购文件“技术（质量）需求”中带“※”的条款为符合性审查中的实质性要求，若不满足按无效投标处理。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2" w:hRule="atLeast"/>
        </w:trPr>
        <w:tc>
          <w:tcPr>
            <w:tcW w:w="778" w:type="dxa"/>
            <w:vAlign w:val="center"/>
          </w:tcPr>
          <w:p>
            <w:pPr>
              <w:pStyle w:val="2"/>
              <w:spacing w:line="240" w:lineRule="auto"/>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189" w:type="dxa"/>
            <w:vAlign w:val="center"/>
          </w:tcPr>
          <w:p>
            <w:pPr>
              <w:pStyle w:val="2"/>
              <w:spacing w:line="240" w:lineRule="auto"/>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技术部分(50%)</w:t>
            </w:r>
          </w:p>
          <w:p>
            <w:pPr>
              <w:pStyle w:val="2"/>
              <w:spacing w:line="240" w:lineRule="auto"/>
              <w:jc w:val="center"/>
              <w:rPr>
                <w:rFonts w:hint="eastAsia" w:ascii="微软雅黑" w:hAnsi="微软雅黑" w:eastAsia="微软雅黑" w:cs="微软雅黑"/>
                <w:sz w:val="21"/>
                <w:szCs w:val="21"/>
              </w:rPr>
            </w:pPr>
          </w:p>
        </w:tc>
        <w:tc>
          <w:tcPr>
            <w:tcW w:w="829" w:type="dxa"/>
            <w:vAlign w:val="center"/>
          </w:tcPr>
          <w:p>
            <w:pPr>
              <w:pStyle w:val="2"/>
              <w:spacing w:line="240" w:lineRule="auto"/>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50</w:t>
            </w:r>
          </w:p>
        </w:tc>
        <w:tc>
          <w:tcPr>
            <w:tcW w:w="5018" w:type="dxa"/>
          </w:tcPr>
          <w:p>
            <w:pPr>
              <w:pStyle w:val="2"/>
              <w:spacing w:line="24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1.起评分:有效投标人的起评分为50分。</w:t>
            </w:r>
          </w:p>
          <w:p>
            <w:pPr>
              <w:pStyle w:val="2"/>
              <w:spacing w:line="240" w:lineRule="auto"/>
              <w:rPr>
                <w:rFonts w:hint="eastAsia" w:ascii="微软雅黑" w:hAnsi="微软雅黑" w:eastAsia="微软雅黑" w:cs="微软雅黑"/>
                <w:sz w:val="21"/>
                <w:szCs w:val="21"/>
              </w:rPr>
            </w:pPr>
            <w:r>
              <w:rPr>
                <w:rFonts w:hint="eastAsia" w:ascii="微软雅黑" w:hAnsi="微软雅黑" w:eastAsia="微软雅黑" w:cs="微软雅黑"/>
                <w:color w:val="0000FF"/>
                <w:sz w:val="21"/>
                <w:szCs w:val="21"/>
              </w:rPr>
              <w:t>2.扣分条款:投标文件投标应答有一条不满足招标文件一般性技术需求的(本采购需求文件项目技术需求中“※”号标注的部分除外)，从起评分中扣除2分，扣完为止。</w:t>
            </w:r>
          </w:p>
        </w:tc>
        <w:tc>
          <w:tcPr>
            <w:tcW w:w="1652" w:type="dxa"/>
          </w:tcPr>
          <w:p>
            <w:pPr>
              <w:pStyle w:val="2"/>
              <w:spacing w:line="240" w:lineRule="auto"/>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6" w:type="dxa"/>
            <w:gridSpan w:val="5"/>
            <w:vAlign w:val="center"/>
          </w:tcPr>
          <w:p>
            <w:pPr>
              <w:pStyle w:val="2"/>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color w:val="auto"/>
                <w:sz w:val="21"/>
                <w:szCs w:val="21"/>
                <w:lang w:val="en-US" w:eastAsia="zh-CN"/>
              </w:rPr>
              <w:t>采购文件“商务需求”中所有条款均为符合性审查中的实质性要求，若不满足按无效投标处理。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Merge w:val="restart"/>
            <w:vAlign w:val="center"/>
          </w:tcPr>
          <w:p>
            <w:pPr>
              <w:pStyle w:val="2"/>
              <w:jc w:val="center"/>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3</w:t>
            </w:r>
          </w:p>
        </w:tc>
        <w:tc>
          <w:tcPr>
            <w:tcW w:w="1189" w:type="dxa"/>
            <w:vMerge w:val="restart"/>
            <w:vAlign w:val="center"/>
          </w:tcPr>
          <w:p>
            <w:pPr>
              <w:pStyle w:val="2"/>
              <w:jc w:val="center"/>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商务部分(20%)</w:t>
            </w:r>
          </w:p>
        </w:tc>
        <w:tc>
          <w:tcPr>
            <w:tcW w:w="829" w:type="dxa"/>
            <w:vMerge w:val="restart"/>
            <w:vAlign w:val="center"/>
          </w:tcPr>
          <w:p>
            <w:pPr>
              <w:pStyle w:val="2"/>
              <w:jc w:val="center"/>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20</w:t>
            </w:r>
          </w:p>
        </w:tc>
        <w:tc>
          <w:tcPr>
            <w:tcW w:w="5018" w:type="dxa"/>
          </w:tcPr>
          <w:p>
            <w:pPr>
              <w:pStyle w:val="2"/>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1.投标人实力：</w:t>
            </w:r>
          </w:p>
          <w:p>
            <w:pPr>
              <w:pStyle w:val="2"/>
              <w:rPr>
                <w:rFonts w:hint="eastAsia" w:ascii="微软雅黑" w:hAnsi="微软雅黑" w:eastAsia="微软雅黑" w:cs="微软雅黑"/>
                <w:sz w:val="21"/>
                <w:szCs w:val="21"/>
                <w:vertAlign w:val="baseline"/>
                <w:lang w:val="en-US" w:eastAsia="zh-CN"/>
              </w:rPr>
            </w:pPr>
            <w:bookmarkStart w:id="124" w:name="OLE_LINK2"/>
            <w:r>
              <w:rPr>
                <w:rFonts w:hint="eastAsia" w:ascii="微软雅黑" w:hAnsi="微软雅黑" w:eastAsia="微软雅黑" w:cs="微软雅黑"/>
                <w:sz w:val="21"/>
                <w:szCs w:val="21"/>
                <w:vertAlign w:val="baseline"/>
                <w:lang w:val="en-US" w:eastAsia="zh-CN"/>
              </w:rPr>
              <w:t>1.1投标人具有ISO9001质量管理体系认证、ISO27001信息安全管理体系认证、</w:t>
            </w:r>
            <w:bookmarkStart w:id="125" w:name="OLE_LINK3"/>
            <w:r>
              <w:rPr>
                <w:rFonts w:hint="eastAsia" w:ascii="微软雅黑" w:hAnsi="微软雅黑" w:eastAsia="微软雅黑" w:cs="微软雅黑"/>
                <w:sz w:val="21"/>
                <w:szCs w:val="21"/>
                <w:vertAlign w:val="baseline"/>
                <w:lang w:val="en-US" w:eastAsia="zh-CN"/>
              </w:rPr>
              <w:t>ISO20000</w:t>
            </w:r>
            <w:bookmarkEnd w:id="125"/>
            <w:r>
              <w:rPr>
                <w:rFonts w:hint="eastAsia" w:ascii="微软雅黑" w:hAnsi="微软雅黑" w:eastAsia="微软雅黑" w:cs="微软雅黑"/>
                <w:sz w:val="21"/>
                <w:szCs w:val="21"/>
                <w:vertAlign w:val="baseline"/>
                <w:lang w:val="en-US" w:eastAsia="zh-CN"/>
              </w:rPr>
              <w:t>信息技术服务管理体系认证，每提供一个证书得2分，总得分6分，不满足或者未提供的得0分。</w:t>
            </w:r>
            <w:bookmarkEnd w:id="124"/>
          </w:p>
        </w:tc>
        <w:tc>
          <w:tcPr>
            <w:tcW w:w="1652" w:type="dxa"/>
            <w:vAlign w:val="center"/>
          </w:tcPr>
          <w:p>
            <w:pPr>
              <w:pStyle w:val="2"/>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提供证书复印件并加盖投标人公章。</w:t>
            </w:r>
          </w:p>
          <w:p>
            <w:pPr>
              <w:pStyle w:val="2"/>
              <w:rPr>
                <w:rFonts w:hint="eastAsia" w:ascii="微软雅黑" w:hAnsi="微软雅黑" w:eastAsia="微软雅黑" w:cs="微软雅黑"/>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Merge w:val="continue"/>
          </w:tcPr>
          <w:p>
            <w:pPr>
              <w:pStyle w:val="2"/>
              <w:rPr>
                <w:rFonts w:hint="eastAsia" w:ascii="微软雅黑" w:hAnsi="微软雅黑" w:eastAsia="微软雅黑" w:cs="微软雅黑"/>
                <w:sz w:val="21"/>
                <w:szCs w:val="21"/>
                <w:vertAlign w:val="baseline"/>
                <w:lang w:val="en-US" w:eastAsia="zh-CN"/>
              </w:rPr>
            </w:pPr>
          </w:p>
        </w:tc>
        <w:tc>
          <w:tcPr>
            <w:tcW w:w="1189" w:type="dxa"/>
            <w:vMerge w:val="continue"/>
          </w:tcPr>
          <w:p>
            <w:pPr>
              <w:pStyle w:val="2"/>
              <w:rPr>
                <w:rFonts w:hint="eastAsia" w:ascii="微软雅黑" w:hAnsi="微软雅黑" w:eastAsia="微软雅黑" w:cs="微软雅黑"/>
                <w:sz w:val="21"/>
                <w:szCs w:val="21"/>
                <w:vertAlign w:val="baseline"/>
                <w:lang w:val="en-US" w:eastAsia="zh-CN"/>
              </w:rPr>
            </w:pPr>
          </w:p>
        </w:tc>
        <w:tc>
          <w:tcPr>
            <w:tcW w:w="829" w:type="dxa"/>
            <w:vMerge w:val="continue"/>
          </w:tcPr>
          <w:p>
            <w:pPr>
              <w:pStyle w:val="2"/>
              <w:rPr>
                <w:rFonts w:hint="eastAsia" w:ascii="微软雅黑" w:hAnsi="微软雅黑" w:eastAsia="微软雅黑" w:cs="微软雅黑"/>
                <w:sz w:val="21"/>
                <w:szCs w:val="21"/>
                <w:vertAlign w:val="baseline"/>
                <w:lang w:val="en-US" w:eastAsia="zh-CN"/>
              </w:rPr>
            </w:pPr>
          </w:p>
        </w:tc>
        <w:tc>
          <w:tcPr>
            <w:tcW w:w="5018" w:type="dxa"/>
          </w:tcPr>
          <w:p>
            <w:pPr>
              <w:pStyle w:val="2"/>
              <w:rPr>
                <w:rFonts w:hint="eastAsia" w:ascii="微软雅黑" w:hAnsi="微软雅黑" w:eastAsia="微软雅黑" w:cs="微软雅黑"/>
                <w:color w:val="0000FF"/>
                <w:sz w:val="21"/>
                <w:szCs w:val="21"/>
                <w:vertAlign w:val="baseline"/>
                <w:lang w:val="en-US" w:eastAsia="zh-CN"/>
              </w:rPr>
            </w:pPr>
            <w:r>
              <w:rPr>
                <w:rFonts w:hint="eastAsia" w:ascii="微软雅黑" w:hAnsi="微软雅黑" w:eastAsia="微软雅黑" w:cs="微软雅黑"/>
                <w:color w:val="0000FF"/>
                <w:sz w:val="21"/>
                <w:szCs w:val="21"/>
                <w:vertAlign w:val="baseline"/>
                <w:lang w:val="en-US" w:eastAsia="zh-CN"/>
              </w:rPr>
              <w:t>2.业绩</w:t>
            </w:r>
            <w:bookmarkStart w:id="188" w:name="_GoBack"/>
            <w:bookmarkEnd w:id="188"/>
          </w:p>
          <w:p>
            <w:pPr>
              <w:pStyle w:val="2"/>
              <w:rPr>
                <w:rFonts w:hint="eastAsia" w:ascii="微软雅黑" w:hAnsi="微软雅黑" w:eastAsia="微软雅黑" w:cs="微软雅黑"/>
                <w:color w:val="0000FF"/>
                <w:sz w:val="21"/>
                <w:szCs w:val="21"/>
                <w:vertAlign w:val="baseline"/>
                <w:lang w:val="en-US" w:eastAsia="zh-CN"/>
              </w:rPr>
            </w:pPr>
            <w:r>
              <w:rPr>
                <w:rFonts w:hint="eastAsia" w:ascii="微软雅黑" w:hAnsi="微软雅黑" w:eastAsia="微软雅黑" w:cs="微软雅黑"/>
                <w:color w:val="0000FF"/>
                <w:sz w:val="21"/>
                <w:szCs w:val="21"/>
                <w:vertAlign w:val="baseline"/>
                <w:lang w:val="en-US" w:eastAsia="zh-CN"/>
              </w:rPr>
              <w:t>投标人自2020年1月1日以来（以合同签订时间为准）具有类似项目实施案例，得8分。</w:t>
            </w:r>
          </w:p>
        </w:tc>
        <w:tc>
          <w:tcPr>
            <w:tcW w:w="1652" w:type="dxa"/>
            <w:vAlign w:val="center"/>
          </w:tcPr>
          <w:p>
            <w:pPr>
              <w:pStyle w:val="2"/>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提供合同复印件并加</w:t>
            </w:r>
          </w:p>
          <w:p>
            <w:pPr>
              <w:pStyle w:val="2"/>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Merge w:val="continue"/>
          </w:tcPr>
          <w:p>
            <w:pPr>
              <w:pStyle w:val="2"/>
              <w:rPr>
                <w:rFonts w:hint="eastAsia" w:ascii="微软雅黑" w:hAnsi="微软雅黑" w:eastAsia="微软雅黑" w:cs="微软雅黑"/>
                <w:sz w:val="21"/>
                <w:szCs w:val="21"/>
                <w:vertAlign w:val="baseline"/>
                <w:lang w:val="en-US" w:eastAsia="zh-CN"/>
              </w:rPr>
            </w:pPr>
          </w:p>
        </w:tc>
        <w:tc>
          <w:tcPr>
            <w:tcW w:w="1189" w:type="dxa"/>
            <w:vMerge w:val="continue"/>
          </w:tcPr>
          <w:p>
            <w:pPr>
              <w:pStyle w:val="2"/>
              <w:rPr>
                <w:rFonts w:hint="eastAsia" w:ascii="微软雅黑" w:hAnsi="微软雅黑" w:eastAsia="微软雅黑" w:cs="微软雅黑"/>
                <w:sz w:val="21"/>
                <w:szCs w:val="21"/>
                <w:vertAlign w:val="baseline"/>
                <w:lang w:val="en-US" w:eastAsia="zh-CN"/>
              </w:rPr>
            </w:pPr>
          </w:p>
        </w:tc>
        <w:tc>
          <w:tcPr>
            <w:tcW w:w="829" w:type="dxa"/>
            <w:vMerge w:val="continue"/>
          </w:tcPr>
          <w:p>
            <w:pPr>
              <w:pStyle w:val="2"/>
              <w:rPr>
                <w:rFonts w:hint="eastAsia" w:ascii="微软雅黑" w:hAnsi="微软雅黑" w:eastAsia="微软雅黑" w:cs="微软雅黑"/>
                <w:sz w:val="21"/>
                <w:szCs w:val="21"/>
                <w:vertAlign w:val="baseline"/>
                <w:lang w:val="en-US" w:eastAsia="zh-CN"/>
              </w:rPr>
            </w:pPr>
          </w:p>
        </w:tc>
        <w:tc>
          <w:tcPr>
            <w:tcW w:w="5018" w:type="dxa"/>
          </w:tcPr>
          <w:p>
            <w:pPr>
              <w:pStyle w:val="2"/>
              <w:rPr>
                <w:rFonts w:hint="eastAsia" w:ascii="微软雅黑" w:hAnsi="微软雅黑" w:eastAsia="微软雅黑" w:cs="微软雅黑"/>
                <w:color w:val="0000FF"/>
                <w:sz w:val="21"/>
                <w:szCs w:val="21"/>
                <w:vertAlign w:val="baseline"/>
                <w:lang w:val="en-US" w:eastAsia="zh-CN"/>
              </w:rPr>
            </w:pPr>
            <w:r>
              <w:rPr>
                <w:rFonts w:hint="eastAsia" w:ascii="微软雅黑" w:hAnsi="微软雅黑" w:eastAsia="微软雅黑" w:cs="微软雅黑"/>
                <w:color w:val="0000FF"/>
                <w:sz w:val="21"/>
                <w:szCs w:val="21"/>
                <w:vertAlign w:val="baseline"/>
                <w:lang w:val="en-US" w:eastAsia="zh-CN"/>
              </w:rPr>
              <w:t>3.售后服务</w:t>
            </w:r>
          </w:p>
          <w:p>
            <w:pPr>
              <w:pStyle w:val="2"/>
              <w:rPr>
                <w:rFonts w:hint="eastAsia" w:ascii="微软雅黑" w:hAnsi="微软雅黑" w:eastAsia="微软雅黑" w:cs="微软雅黑"/>
                <w:color w:val="0000FF"/>
                <w:sz w:val="21"/>
                <w:szCs w:val="21"/>
                <w:vertAlign w:val="baseline"/>
                <w:lang w:val="en-US" w:eastAsia="zh-CN"/>
              </w:rPr>
            </w:pPr>
            <w:r>
              <w:rPr>
                <w:rFonts w:hint="eastAsia" w:ascii="微软雅黑" w:hAnsi="微软雅黑" w:eastAsia="微软雅黑" w:cs="微软雅黑"/>
                <w:color w:val="0000FF"/>
                <w:sz w:val="21"/>
                <w:szCs w:val="21"/>
                <w:vertAlign w:val="baseline"/>
                <w:lang w:val="en-US" w:eastAsia="zh-CN"/>
              </w:rPr>
              <w:t>至少提供1年免费质保，承诺提供3年及以下免费质保得0分，每增加一年得2分，本项最多得6分。</w:t>
            </w:r>
          </w:p>
        </w:tc>
        <w:tc>
          <w:tcPr>
            <w:tcW w:w="1652" w:type="dxa"/>
            <w:vAlign w:val="center"/>
          </w:tcPr>
          <w:p>
            <w:pPr>
              <w:pStyle w:val="2"/>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提供承诺书并加</w:t>
            </w:r>
          </w:p>
          <w:p>
            <w:pPr>
              <w:pStyle w:val="2"/>
              <w:rPr>
                <w:rFonts w:hint="eastAsia" w:ascii="微软雅黑" w:hAnsi="微软雅黑" w:eastAsia="微软雅黑" w:cs="微软雅黑"/>
                <w:sz w:val="21"/>
                <w:szCs w:val="21"/>
                <w:vertAlign w:val="baseline"/>
                <w:lang w:val="en-US" w:eastAsia="zh-CN"/>
              </w:rPr>
            </w:pPr>
            <w:r>
              <w:rPr>
                <w:rFonts w:hint="eastAsia" w:ascii="微软雅黑" w:hAnsi="微软雅黑" w:eastAsia="微软雅黑" w:cs="微软雅黑"/>
                <w:sz w:val="21"/>
                <w:szCs w:val="21"/>
                <w:vertAlign w:val="baseline"/>
                <w:lang w:val="en-US" w:eastAsia="zh-CN"/>
              </w:rPr>
              <w:t>盖投标人公章。</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四</w:t>
      </w:r>
      <w:r>
        <w:rPr>
          <w:rFonts w:hint="eastAsia" w:ascii="微软雅黑" w:hAnsi="微软雅黑" w:eastAsia="微软雅黑" w:cs="微软雅黑"/>
          <w:sz w:val="24"/>
        </w:rPr>
        <w:t>、无效响应</w:t>
      </w:r>
      <w:bookmarkEnd w:id="4"/>
      <w:bookmarkEnd w:id="5"/>
      <w:bookmarkEnd w:id="6"/>
      <w:bookmarkEnd w:id="121"/>
      <w:bookmarkEnd w:id="122"/>
      <w:bookmarkEnd w:id="123"/>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w:t>
      </w:r>
      <w:r>
        <w:rPr>
          <w:rFonts w:hint="eastAsia" w:ascii="微软雅黑" w:hAnsi="微软雅黑" w:eastAsia="微软雅黑" w:cs="微软雅黑"/>
          <w:sz w:val="24"/>
          <w:szCs w:val="24"/>
          <w:highlight w:val="none"/>
        </w:rPr>
        <w:t>第</w:t>
      </w:r>
      <w:r>
        <w:rPr>
          <w:rFonts w:hint="eastAsia" w:ascii="微软雅黑" w:hAnsi="微软雅黑" w:eastAsia="微软雅黑" w:cs="微软雅黑"/>
          <w:sz w:val="24"/>
          <w:szCs w:val="24"/>
          <w:highlight w:val="none"/>
          <w:lang w:val="en-US" w:eastAsia="zh-CN"/>
        </w:rPr>
        <w:t>五</w:t>
      </w:r>
      <w:r>
        <w:rPr>
          <w:rFonts w:hint="eastAsia" w:ascii="微软雅黑" w:hAnsi="微软雅黑" w:eastAsia="微软雅黑" w:cs="微软雅黑"/>
          <w:sz w:val="24"/>
          <w:szCs w:val="24"/>
          <w:highlight w:val="none"/>
        </w:rPr>
        <w:t>篇</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响应文件编制要求”要求</w:t>
      </w:r>
      <w:r>
        <w:rPr>
          <w:rFonts w:hint="eastAsia" w:ascii="微软雅黑" w:hAnsi="微软雅黑" w:eastAsia="微软雅黑" w:cs="微软雅黑"/>
          <w:sz w:val="24"/>
          <w:szCs w:val="24"/>
        </w:rPr>
        <w:t>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（八）投标人授权有效期不满足公开比选采购文件要求的；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（十）法律、法规和采购文件规定的其他无效情形。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10687"/>
      <w:bookmarkStart w:id="127" w:name="_Toc106030891"/>
      <w:bookmarkStart w:id="128" w:name="_Toc76462336"/>
      <w:bookmarkStart w:id="129" w:name="_Toc30340"/>
      <w:bookmarkStart w:id="130" w:name="_Toc27153"/>
      <w:bookmarkStart w:id="131" w:name="_Toc29702"/>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7"/>
      <w:bookmarkEnd w:id="8"/>
      <w:bookmarkEnd w:id="126"/>
      <w:bookmarkEnd w:id="127"/>
      <w:bookmarkEnd w:id="128"/>
      <w:r>
        <w:rPr>
          <w:rFonts w:hint="eastAsia" w:ascii="微软雅黑" w:hAnsi="微软雅黑" w:eastAsia="微软雅黑" w:cs="微软雅黑"/>
          <w:sz w:val="24"/>
        </w:rPr>
        <w:t>废标条款</w:t>
      </w:r>
      <w:bookmarkEnd w:id="129"/>
      <w:bookmarkEnd w:id="130"/>
      <w:bookmarkEnd w:id="13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（二）出现影响采购公正的违法、违规行为的；</w:t>
      </w:r>
    </w:p>
    <w:p>
      <w:pPr>
        <w:snapToGrid w:val="0"/>
        <w:spacing w:line="400" w:lineRule="exact"/>
        <w:ind w:firstLine="46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（三）在采购过程中符合要求的有效投标人不足三家的</w:t>
      </w:r>
      <w:r>
        <w:rPr>
          <w:rFonts w:hint="eastAsia" w:ascii="微软雅黑" w:hAnsi="微软雅黑" w:eastAsia="微软雅黑" w:cs="微软雅黑"/>
          <w:color w:val="auto"/>
          <w:sz w:val="24"/>
          <w:szCs w:val="24"/>
        </w:rPr>
        <w:t>（挂网公示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r>
        <w:rPr>
          <w:rFonts w:hint="eastAsia" w:ascii="微软雅黑" w:hAnsi="微软雅黑" w:eastAsia="微软雅黑" w:cs="微软雅黑"/>
          <w:sz w:val="24"/>
          <w:szCs w:val="24"/>
          <w:highlight w:val="none"/>
        </w:rPr>
        <w:t>；</w:t>
      </w:r>
    </w:p>
    <w:p>
      <w:pPr>
        <w:snapToGrid w:val="0"/>
        <w:spacing w:line="400" w:lineRule="exact"/>
        <w:ind w:firstLine="46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（四）采购任务变更或取消的。</w:t>
      </w:r>
    </w:p>
    <w:p>
      <w:pPr>
        <w:spacing w:line="400" w:lineRule="exact"/>
        <w:ind w:firstLine="480" w:firstLineChars="200"/>
        <w:rPr>
          <w:rFonts w:hint="eastAsia" w:ascii="微软雅黑" w:hAnsi="微软雅黑" w:eastAsia="微软雅黑" w:cs="微软雅黑"/>
          <w:sz w:val="24"/>
          <w:szCs w:val="24"/>
        </w:rPr>
        <w:sectPr>
          <w:headerReference r:id="rId8" w:type="default"/>
          <w:footerReference r:id="rId9"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2" w:name="_Hlt41879464"/>
      <w:bookmarkEnd w:id="132"/>
      <w:bookmarkStart w:id="133" w:name="_Toc76462337"/>
      <w:bookmarkStart w:id="134" w:name="_Toc102227313"/>
      <w:bookmarkStart w:id="135" w:name="_Toc106030892"/>
      <w:bookmarkStart w:id="136" w:name="_Toc5273"/>
      <w:bookmarkStart w:id="137" w:name="_Toc29948"/>
      <w:bookmarkStart w:id="138" w:name="_Toc14549"/>
      <w:bookmarkStart w:id="139" w:name="_Toc76462349"/>
      <w:bookmarkStart w:id="140" w:name="_Toc106030905"/>
      <w:bookmarkStart w:id="141" w:name="_Toc27984"/>
      <w:r>
        <w:rPr>
          <w:rFonts w:hint="eastAsia" w:ascii="微软雅黑" w:hAnsi="微软雅黑" w:eastAsia="微软雅黑" w:cs="微软雅黑"/>
          <w:sz w:val="44"/>
        </w:rPr>
        <w:t>第四篇  投标人须知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106030893"/>
      <w:bookmarkStart w:id="143" w:name="_Toc19855"/>
      <w:bookmarkStart w:id="144" w:name="_Toc26717"/>
      <w:bookmarkStart w:id="145" w:name="_Toc76462338"/>
      <w:bookmarkStart w:id="146" w:name="_Toc342913389"/>
      <w:r>
        <w:rPr>
          <w:rFonts w:hint="eastAsia" w:ascii="微软雅黑" w:hAnsi="微软雅黑" w:eastAsia="微软雅黑" w:cs="微软雅黑"/>
          <w:sz w:val="24"/>
        </w:rPr>
        <w:t>一、公开比选费用</w:t>
      </w:r>
      <w:bookmarkEnd w:id="142"/>
      <w:bookmarkEnd w:id="143"/>
      <w:bookmarkEnd w:id="144"/>
      <w:bookmarkEnd w:id="145"/>
      <w:bookmarkEnd w:id="146"/>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19008"/>
      <w:bookmarkStart w:id="148" w:name="_Toc342913391"/>
      <w:bookmarkStart w:id="149" w:name="_Toc76462339"/>
      <w:bookmarkStart w:id="150" w:name="_Toc15712"/>
      <w:bookmarkStart w:id="151" w:name="_Toc106030894"/>
      <w:r>
        <w:rPr>
          <w:rFonts w:hint="eastAsia" w:ascii="微软雅黑" w:hAnsi="微软雅黑" w:eastAsia="微软雅黑" w:cs="微软雅黑"/>
          <w:sz w:val="24"/>
        </w:rPr>
        <w:t>二、公开比选采购文件</w:t>
      </w:r>
      <w:bookmarkEnd w:id="147"/>
      <w:bookmarkEnd w:id="148"/>
      <w:bookmarkEnd w:id="149"/>
      <w:bookmarkEnd w:id="150"/>
      <w:bookmarkEnd w:id="15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w:t>
      </w:r>
      <w:r>
        <w:rPr>
          <w:rFonts w:hint="eastAsia" w:ascii="微软雅黑" w:hAnsi="微软雅黑" w:eastAsia="微软雅黑" w:cs="微软雅黑"/>
          <w:sz w:val="24"/>
          <w:szCs w:val="24"/>
          <w:lang w:val="en-US" w:eastAsia="zh-CN"/>
        </w:rPr>
        <w:t>技术（质量）及商务需求</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rPr>
        <w:t>程序及方法、评审标准、无效响应和采购终止、投标人须知、响应文件编制要求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52" w:name="_Toc318159780"/>
      <w:bookmarkStart w:id="153" w:name="_Toc318159349"/>
      <w:bookmarkStart w:id="154" w:name="_Toc318166429"/>
      <w:bookmarkStart w:id="155" w:name="_Toc318159160"/>
    </w:p>
    <w:bookmarkEnd w:id="152"/>
    <w:bookmarkEnd w:id="153"/>
    <w:bookmarkEnd w:id="154"/>
    <w:bookmarkEnd w:id="15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342913392"/>
      <w:bookmarkStart w:id="157" w:name="_Toc102227318"/>
      <w:bookmarkStart w:id="158" w:name="_Toc26007"/>
      <w:bookmarkStart w:id="159" w:name="_Toc106030895"/>
      <w:bookmarkStart w:id="160" w:name="_Toc76462340"/>
      <w:bookmarkStart w:id="161" w:name="_Toc12263"/>
      <w:bookmarkStart w:id="162" w:name="_Toc179714297"/>
      <w:r>
        <w:rPr>
          <w:rFonts w:hint="eastAsia" w:ascii="微软雅黑" w:hAnsi="微软雅黑" w:eastAsia="微软雅黑" w:cs="微软雅黑"/>
          <w:sz w:val="24"/>
        </w:rPr>
        <w:t>三、比选要求</w:t>
      </w:r>
      <w:bookmarkEnd w:id="156"/>
      <w:bookmarkEnd w:id="157"/>
      <w:bookmarkEnd w:id="158"/>
      <w:bookmarkEnd w:id="159"/>
      <w:bookmarkEnd w:id="160"/>
      <w:bookmarkEnd w:id="161"/>
      <w:bookmarkEnd w:id="16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响应文件由“第五篇 响应文件编制要求”规定的部分和投标人所作的一切有效补充、修改和承诺等文件组成，投标人应按照“第五篇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0"/>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0"/>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0"/>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0"/>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0"/>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响应文件按公开比选采购文件“第五篇</w:t>
      </w:r>
      <w:r>
        <w:rPr>
          <w:rFonts w:hint="eastAsia" w:ascii="微软雅黑" w:hAnsi="微软雅黑" w:eastAsia="微软雅黑" w:cs="微软雅黑"/>
          <w:color w:val="auto"/>
          <w:sz w:val="24"/>
          <w:lang w:val="en-US" w:eastAsia="zh-CN"/>
        </w:rPr>
        <w:t xml:space="preserve"> </w:t>
      </w:r>
      <w:r>
        <w:rPr>
          <w:rFonts w:hint="eastAsia" w:ascii="微软雅黑" w:hAnsi="微软雅黑" w:eastAsia="微软雅黑" w:cs="微软雅黑"/>
          <w:color w:val="auto"/>
          <w:sz w:val="24"/>
        </w:rPr>
        <w:t>响应文件编制要求”要</w:t>
      </w:r>
      <w:r>
        <w:rPr>
          <w:rFonts w:hint="eastAsia" w:ascii="微软雅黑" w:hAnsi="微软雅黑" w:eastAsia="微软雅黑" w:cs="微软雅黑"/>
          <w:sz w:val="24"/>
        </w:rPr>
        <w:t>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6435"/>
      <w:bookmarkStart w:id="164" w:name="_Toc13425"/>
      <w:bookmarkStart w:id="165" w:name="_Toc106030896"/>
      <w:bookmarkStart w:id="166" w:name="_Toc76462341"/>
      <w:r>
        <w:rPr>
          <w:rFonts w:hint="eastAsia" w:ascii="微软雅黑" w:hAnsi="微软雅黑" w:eastAsia="微软雅黑" w:cs="微软雅黑"/>
          <w:sz w:val="24"/>
        </w:rPr>
        <w:t>四、中标人的确认和变更</w:t>
      </w:r>
      <w:bookmarkEnd w:id="163"/>
      <w:bookmarkEnd w:id="164"/>
      <w:bookmarkEnd w:id="165"/>
      <w:bookmarkEnd w:id="166"/>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（一）中标人的确认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（二）中标人的变更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中标人拒绝与采购人签订合同的，采购人可以按照评标报告推荐的成交候选投标人顺序，顺延下一位候选人为中标人，也可以重新开展采购活动。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21532"/>
      <w:bookmarkStart w:id="168" w:name="_Toc106030897"/>
      <w:bookmarkStart w:id="169" w:name="_Toc76462342"/>
      <w:bookmarkStart w:id="170" w:name="_Toc27713"/>
      <w:bookmarkStart w:id="171" w:name="_Toc342913395"/>
      <w:bookmarkStart w:id="172" w:name="_Toc102227321"/>
      <w:r>
        <w:rPr>
          <w:rFonts w:hint="eastAsia" w:ascii="微软雅黑" w:hAnsi="微软雅黑" w:eastAsia="微软雅黑" w:cs="微软雅黑"/>
          <w:sz w:val="24"/>
        </w:rPr>
        <w:t>五、成交通知</w:t>
      </w:r>
      <w:bookmarkEnd w:id="167"/>
      <w:bookmarkEnd w:id="168"/>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（一）中标人确定后，采购管理处将在重庆医科大学附属儿童医院电子招投标平台（zbb.chcmu-com.cn）上发布成交结果公告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sz w:val="24"/>
          <w:szCs w:val="24"/>
        </w:rPr>
        <w:t>结果公告发出同时，采购管理处将平台内发出《中标通知书》。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3" w:name="_Toc76462343"/>
      <w:bookmarkStart w:id="174" w:name="_Toc696"/>
      <w:bookmarkStart w:id="175" w:name="_Toc21448"/>
      <w:bookmarkStart w:id="176" w:name="_Toc106030898"/>
      <w:r>
        <w:rPr>
          <w:rFonts w:hint="eastAsia" w:ascii="微软雅黑" w:hAnsi="微软雅黑" w:eastAsia="微软雅黑" w:cs="微软雅黑"/>
          <w:sz w:val="24"/>
        </w:rPr>
        <w:t>六、质疑处理</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w:t>
      </w:r>
      <w:r>
        <w:rPr>
          <w:rFonts w:hint="eastAsia" w:ascii="微软雅黑" w:hAnsi="微软雅黑" w:eastAsia="微软雅黑" w:cs="微软雅黑"/>
          <w:sz w:val="24"/>
          <w:szCs w:val="24"/>
          <w:lang w:val="en-US" w:eastAsia="zh-CN"/>
        </w:rPr>
        <w:t>受到</w:t>
      </w:r>
      <w:r>
        <w:rPr>
          <w:rFonts w:hint="eastAsia" w:ascii="微软雅黑" w:hAnsi="微软雅黑" w:eastAsia="微软雅黑" w:cs="微软雅黑"/>
          <w:sz w:val="24"/>
          <w:szCs w:val="24"/>
        </w:rPr>
        <w:t>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w:t>
      </w:r>
      <w:r>
        <w:rPr>
          <w:rFonts w:hint="eastAsia" w:ascii="微软雅黑" w:hAnsi="微软雅黑" w:eastAsia="微软雅黑" w:cs="微软雅黑"/>
          <w:color w:val="auto"/>
          <w:sz w:val="24"/>
        </w:rPr>
        <w:t>知道或者应知其权益受到损害之日起</w:t>
      </w:r>
      <w:r>
        <w:rPr>
          <w:rFonts w:hint="eastAsia" w:ascii="微软雅黑" w:hAnsi="微软雅黑" w:eastAsia="微软雅黑" w:cs="微软雅黑"/>
          <w:sz w:val="24"/>
        </w:rPr>
        <w:t>5个工作日内，以</w:t>
      </w:r>
      <w:r>
        <w:rPr>
          <w:rFonts w:hint="eastAsia" w:ascii="微软雅黑" w:hAnsi="微软雅黑" w:eastAsia="微软雅黑" w:cs="微软雅黑"/>
          <w:sz w:val="24"/>
          <w:lang w:val="en-US" w:eastAsia="zh-CN"/>
        </w:rPr>
        <w:t>提交</w:t>
      </w:r>
      <w:r>
        <w:rPr>
          <w:rFonts w:hint="eastAsia" w:ascii="微软雅黑" w:hAnsi="微软雅黑" w:eastAsia="微软雅黑" w:cs="微软雅黑"/>
          <w:sz w:val="24"/>
          <w:szCs w:val="24"/>
        </w:rPr>
        <w:t>质疑文件纸质版（须加盖提出质疑单位的公章确认）</w:t>
      </w:r>
      <w:r>
        <w:rPr>
          <w:rFonts w:hint="eastAsia" w:ascii="微软雅黑" w:hAnsi="微软雅黑" w:eastAsia="微软雅黑" w:cs="微软雅黑"/>
          <w:sz w:val="24"/>
          <w:szCs w:val="24"/>
          <w:lang w:eastAsia="zh-CN"/>
        </w:rPr>
        <w:t>的</w:t>
      </w:r>
      <w:r>
        <w:rPr>
          <w:rFonts w:hint="eastAsia" w:ascii="微软雅黑" w:hAnsi="微软雅黑" w:eastAsia="微软雅黑" w:cs="微软雅黑"/>
          <w:sz w:val="24"/>
          <w:szCs w:val="24"/>
          <w:lang w:val="en-US" w:eastAsia="zh-CN"/>
        </w:rPr>
        <w:t>形式</w:t>
      </w:r>
      <w:r>
        <w:rPr>
          <w:rFonts w:hint="eastAsia" w:ascii="微软雅黑" w:hAnsi="微软雅黑" w:eastAsia="微软雅黑" w:cs="微软雅黑"/>
          <w:sz w:val="24"/>
        </w:rPr>
        <w:t>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w:t>
      </w:r>
      <w:r>
        <w:rPr>
          <w:rFonts w:hint="eastAsia" w:ascii="微软雅黑" w:hAnsi="微软雅黑" w:eastAsia="微软雅黑" w:cs="微软雅黑"/>
          <w:sz w:val="24"/>
          <w:lang w:eastAsia="zh-CN"/>
        </w:rPr>
        <w:t>其他</w:t>
      </w:r>
      <w:r>
        <w:rPr>
          <w:rFonts w:hint="eastAsia" w:ascii="微软雅黑" w:hAnsi="微软雅黑" w:eastAsia="微软雅黑" w:cs="微软雅黑"/>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w:t>
      </w:r>
      <w:r>
        <w:rPr>
          <w:rFonts w:hint="eastAsia" w:ascii="微软雅黑" w:hAnsi="微软雅黑" w:eastAsia="微软雅黑" w:cs="微软雅黑"/>
          <w:sz w:val="24"/>
          <w:lang w:eastAsia="zh-CN"/>
        </w:rPr>
        <w:t>其他</w:t>
      </w:r>
      <w:r>
        <w:rPr>
          <w:rFonts w:hint="eastAsia" w:ascii="微软雅黑" w:hAnsi="微软雅黑" w:eastAsia="微软雅黑" w:cs="微软雅黑"/>
          <w:sz w:val="24"/>
        </w:rPr>
        <w:t>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7" w:name="_Toc28334"/>
      <w:bookmarkStart w:id="178" w:name="_Toc76462344"/>
      <w:bookmarkStart w:id="179"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6926"/>
      <w:r>
        <w:rPr>
          <w:rFonts w:hint="eastAsia" w:ascii="微软雅黑" w:hAnsi="微软雅黑" w:eastAsia="微软雅黑" w:cs="微软雅黑"/>
          <w:sz w:val="24"/>
        </w:rPr>
        <w:t>七、</w:t>
      </w:r>
      <w:bookmarkEnd w:id="177"/>
      <w:bookmarkEnd w:id="178"/>
      <w:bookmarkEnd w:id="179"/>
      <w:bookmarkStart w:id="181" w:name="_Toc102227322"/>
      <w:bookmarkStart w:id="182" w:name="_Toc76462346"/>
      <w:bookmarkStart w:id="183" w:name="_Toc106030901"/>
      <w:bookmarkStart w:id="184" w:name="_Toc3372"/>
      <w:bookmarkStart w:id="185" w:name="_Toc342913396"/>
      <w:bookmarkStart w:id="186" w:name="_Toc11641055"/>
      <w:bookmarkStart w:id="187" w:name="_Toc12789059"/>
      <w:r>
        <w:rPr>
          <w:rFonts w:hint="eastAsia" w:ascii="微软雅黑" w:hAnsi="微软雅黑" w:eastAsia="微软雅黑" w:cs="微软雅黑"/>
          <w:sz w:val="24"/>
        </w:rPr>
        <w:t>签订</w:t>
      </w:r>
      <w:bookmarkEnd w:id="181"/>
      <w:r>
        <w:rPr>
          <w:rFonts w:hint="eastAsia" w:ascii="微软雅黑" w:hAnsi="微软雅黑" w:eastAsia="微软雅黑" w:cs="微软雅黑"/>
          <w:sz w:val="24"/>
        </w:rPr>
        <w:t>合同</w:t>
      </w:r>
      <w:bookmarkEnd w:id="180"/>
      <w:bookmarkEnd w:id="182"/>
      <w:bookmarkEnd w:id="183"/>
      <w:bookmarkEnd w:id="184"/>
      <w:bookmarkEnd w:id="185"/>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（二）中标人未在规定时间内递交合同或放弃中标资格，则采购人将有充分的理由废除授标，将中标人纳入采购人失信投标人名单</w:t>
      </w:r>
      <w:r>
        <w:rPr>
          <w:rFonts w:hint="eastAsia" w:ascii="微软雅黑" w:hAnsi="微软雅黑" w:eastAsia="微软雅黑" w:cs="微软雅黑"/>
          <w:color w:val="auto"/>
          <w:sz w:val="24"/>
        </w:rPr>
        <w:t>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w:t>
      </w:r>
      <w:r>
        <w:rPr>
          <w:rFonts w:hint="eastAsia" w:ascii="微软雅黑" w:hAnsi="微软雅黑" w:eastAsia="微软雅黑" w:cs="微软雅黑"/>
          <w:sz w:val="24"/>
        </w:rPr>
        <w:t>两年之内不得参与采购人任何级别的招标项目。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10" w:type="default"/>
          <w:footerReference r:id="rId11"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6"/>
      <w:bookmarkEnd w:id="187"/>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第五篇  响应文件编制要求</w:t>
      </w:r>
      <w:bookmarkEnd w:id="138"/>
      <w:bookmarkEnd w:id="139"/>
      <w:bookmarkEnd w:id="140"/>
      <w:bookmarkEnd w:id="14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（二）技术部分应答材料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（二）商务部分应答材料</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三）综合评标商务部分证明材料</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四、资格条件及</w:t>
      </w:r>
      <w:r>
        <w:rPr>
          <w:rFonts w:hint="eastAsia" w:ascii="微软雅黑" w:hAnsi="微软雅黑" w:eastAsia="微软雅黑" w:cs="微软雅黑"/>
          <w:sz w:val="24"/>
          <w:szCs w:val="24"/>
          <w:lang w:eastAsia="zh-CN"/>
        </w:rPr>
        <w:t>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napToGrid w:val="0"/>
        <w:spacing w:line="360" w:lineRule="auto"/>
        <w:rPr>
          <w:rFonts w:hint="eastAsia" w:ascii="微软雅黑" w:hAnsi="微软雅黑" w:eastAsia="微软雅黑" w:cs="微软雅黑"/>
          <w:sz w:val="24"/>
          <w:szCs w:val="24"/>
          <w:bdr w:val="single" w:color="auto" w:sz="4" w:space="0"/>
        </w:rPr>
        <w:sectPr>
          <w:footerReference r:id="rId12" w:type="default"/>
          <w:pgSz w:w="11907" w:h="16840"/>
          <w:pgMar w:top="1134" w:right="1191" w:bottom="1134" w:left="1304" w:header="851" w:footer="992" w:gutter="0"/>
          <w:pgNumType w:fmt="numberInDash"/>
          <w:cols w:space="720" w:num="1"/>
          <w:docGrid w:linePitch="380" w:charSpace="-5735"/>
        </w:sectPr>
      </w:pPr>
    </w:p>
    <w:p>
      <w:pPr>
        <w:spacing w:line="360" w:lineRule="auto"/>
        <w:jc w:val="both"/>
        <w:outlineLvl w:val="0"/>
        <w:rPr>
          <w:rFonts w:hint="eastAsia" w:ascii="微软雅黑" w:hAnsi="微软雅黑" w:eastAsia="微软雅黑" w:cs="微软雅黑"/>
        </w:rPr>
      </w:pPr>
    </w:p>
    <w:sectPr>
      <w:headerReference r:id="rId13" w:type="default"/>
      <w:footerReference r:id="rId14"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921"/>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663A"/>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30ECD"/>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A6A21"/>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686"/>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2780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5C078C"/>
    <w:rsid w:val="019B2D16"/>
    <w:rsid w:val="02385AB4"/>
    <w:rsid w:val="026C7369"/>
    <w:rsid w:val="030620E3"/>
    <w:rsid w:val="04634BCE"/>
    <w:rsid w:val="079B568B"/>
    <w:rsid w:val="07ED44C6"/>
    <w:rsid w:val="07F103E0"/>
    <w:rsid w:val="08B93368"/>
    <w:rsid w:val="092E6FC0"/>
    <w:rsid w:val="09AD6C77"/>
    <w:rsid w:val="0B0133DB"/>
    <w:rsid w:val="0BB87E47"/>
    <w:rsid w:val="0CB23443"/>
    <w:rsid w:val="0CB809C5"/>
    <w:rsid w:val="0D1F249B"/>
    <w:rsid w:val="0DDD5846"/>
    <w:rsid w:val="129F40B1"/>
    <w:rsid w:val="130D3DAF"/>
    <w:rsid w:val="132B3514"/>
    <w:rsid w:val="141E6843"/>
    <w:rsid w:val="147A5E14"/>
    <w:rsid w:val="15372D93"/>
    <w:rsid w:val="15935DB5"/>
    <w:rsid w:val="15BB3449"/>
    <w:rsid w:val="17A1211B"/>
    <w:rsid w:val="188769E6"/>
    <w:rsid w:val="18ED7A84"/>
    <w:rsid w:val="19255AF5"/>
    <w:rsid w:val="192E668F"/>
    <w:rsid w:val="1A7E6296"/>
    <w:rsid w:val="1A8D34EF"/>
    <w:rsid w:val="1ABA2925"/>
    <w:rsid w:val="1AE47EB5"/>
    <w:rsid w:val="1B844F63"/>
    <w:rsid w:val="1E592D54"/>
    <w:rsid w:val="1EDE416D"/>
    <w:rsid w:val="1F0D01CA"/>
    <w:rsid w:val="1F985F44"/>
    <w:rsid w:val="205A4A69"/>
    <w:rsid w:val="21864056"/>
    <w:rsid w:val="21E05106"/>
    <w:rsid w:val="21F27144"/>
    <w:rsid w:val="22F860AB"/>
    <w:rsid w:val="2486441F"/>
    <w:rsid w:val="25211088"/>
    <w:rsid w:val="254944BC"/>
    <w:rsid w:val="25DF4270"/>
    <w:rsid w:val="28B20E90"/>
    <w:rsid w:val="28FD0FCB"/>
    <w:rsid w:val="293A6024"/>
    <w:rsid w:val="297D580F"/>
    <w:rsid w:val="2AA01F44"/>
    <w:rsid w:val="2D272C6C"/>
    <w:rsid w:val="2D5846A0"/>
    <w:rsid w:val="2DB02B6B"/>
    <w:rsid w:val="300C58E0"/>
    <w:rsid w:val="30206AC9"/>
    <w:rsid w:val="30607DAE"/>
    <w:rsid w:val="332D1E43"/>
    <w:rsid w:val="34446508"/>
    <w:rsid w:val="35476FB9"/>
    <w:rsid w:val="35B025DF"/>
    <w:rsid w:val="36B4487B"/>
    <w:rsid w:val="37556B60"/>
    <w:rsid w:val="375B43EA"/>
    <w:rsid w:val="38CD7FDC"/>
    <w:rsid w:val="39B06C1E"/>
    <w:rsid w:val="3ACE5D4F"/>
    <w:rsid w:val="3BC23D92"/>
    <w:rsid w:val="3C55524B"/>
    <w:rsid w:val="3D3B4299"/>
    <w:rsid w:val="3D876113"/>
    <w:rsid w:val="3DF6488D"/>
    <w:rsid w:val="3EDB5D0B"/>
    <w:rsid w:val="3F1C71CA"/>
    <w:rsid w:val="3F92674D"/>
    <w:rsid w:val="40283F82"/>
    <w:rsid w:val="406334F2"/>
    <w:rsid w:val="4068765E"/>
    <w:rsid w:val="40693FDF"/>
    <w:rsid w:val="409F14A1"/>
    <w:rsid w:val="415F6EA3"/>
    <w:rsid w:val="452C7897"/>
    <w:rsid w:val="457671C4"/>
    <w:rsid w:val="474A3DE0"/>
    <w:rsid w:val="48B67FD6"/>
    <w:rsid w:val="48DB4D9B"/>
    <w:rsid w:val="49166763"/>
    <w:rsid w:val="494C6B8D"/>
    <w:rsid w:val="497B7CB3"/>
    <w:rsid w:val="4A8845CE"/>
    <w:rsid w:val="4B2D12E0"/>
    <w:rsid w:val="4BEB6B31"/>
    <w:rsid w:val="4D1A70D0"/>
    <w:rsid w:val="4DD36371"/>
    <w:rsid w:val="4E845893"/>
    <w:rsid w:val="4F070047"/>
    <w:rsid w:val="4F3C244F"/>
    <w:rsid w:val="5115115D"/>
    <w:rsid w:val="521E4A24"/>
    <w:rsid w:val="52696888"/>
    <w:rsid w:val="52D92ACB"/>
    <w:rsid w:val="53B4776F"/>
    <w:rsid w:val="53DF1E3A"/>
    <w:rsid w:val="55442A4B"/>
    <w:rsid w:val="558E730F"/>
    <w:rsid w:val="57857077"/>
    <w:rsid w:val="58414098"/>
    <w:rsid w:val="5857211F"/>
    <w:rsid w:val="5CA67F0E"/>
    <w:rsid w:val="5D6A2D73"/>
    <w:rsid w:val="5EBB43CA"/>
    <w:rsid w:val="5F6D5C93"/>
    <w:rsid w:val="60CA1FBB"/>
    <w:rsid w:val="61B90880"/>
    <w:rsid w:val="66F54D2D"/>
    <w:rsid w:val="670A099E"/>
    <w:rsid w:val="68907975"/>
    <w:rsid w:val="68BD663A"/>
    <w:rsid w:val="692F74C0"/>
    <w:rsid w:val="69377BBA"/>
    <w:rsid w:val="696405DD"/>
    <w:rsid w:val="6B8E362F"/>
    <w:rsid w:val="6BB66A3C"/>
    <w:rsid w:val="6D5F7399"/>
    <w:rsid w:val="6F5F56B2"/>
    <w:rsid w:val="6FBE5B79"/>
    <w:rsid w:val="6FCD1928"/>
    <w:rsid w:val="6FE969BF"/>
    <w:rsid w:val="701245F9"/>
    <w:rsid w:val="71175C34"/>
    <w:rsid w:val="72081617"/>
    <w:rsid w:val="72D731E9"/>
    <w:rsid w:val="73CB11D6"/>
    <w:rsid w:val="74D70DF7"/>
    <w:rsid w:val="750950F5"/>
    <w:rsid w:val="750D16CF"/>
    <w:rsid w:val="75CE5374"/>
    <w:rsid w:val="77AE7692"/>
    <w:rsid w:val="789F3DA6"/>
    <w:rsid w:val="78A52377"/>
    <w:rsid w:val="79082185"/>
    <w:rsid w:val="7A6F77AB"/>
    <w:rsid w:val="7B5B7497"/>
    <w:rsid w:val="7B6C067B"/>
    <w:rsid w:val="7BEF5F10"/>
    <w:rsid w:val="7C7768CA"/>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next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1"/>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5"/>
    <w:qFormat/>
    <w:uiPriority w:val="0"/>
  </w:style>
  <w:style w:type="paragraph" w:styleId="33">
    <w:name w:val="Body Text Indent 2"/>
    <w:basedOn w:val="1"/>
    <w:link w:val="76"/>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7"/>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line="360" w:lineRule="auto"/>
      <w:ind w:left="840" w:leftChars="400"/>
    </w:pPr>
    <w:rPr>
      <w:sz w:val="24"/>
    </w:rPr>
  </w:style>
  <w:style w:type="paragraph" w:styleId="50">
    <w:name w:val="Normal (Web)"/>
    <w:basedOn w:val="1"/>
    <w:qFormat/>
    <w:uiPriority w:val="0"/>
    <w:pPr>
      <w:widowControl/>
      <w:spacing w:before="100" w:beforeAutospacing="1" w:after="100" w:afterAutospacing="1"/>
      <w:jc w:val="left"/>
    </w:pPr>
    <w:rPr>
      <w:rFonts w:ascii="宋体" w:hAnsi="宋体"/>
      <w:kern w:val="0"/>
      <w:sz w:val="24"/>
    </w:rPr>
  </w:style>
  <w:style w:type="paragraph" w:styleId="51">
    <w:name w:val="List Continue 3"/>
    <w:basedOn w:val="1"/>
    <w:qFormat/>
    <w:uiPriority w:val="0"/>
    <w:pPr>
      <w:adjustRightInd w:val="0"/>
      <w:snapToGrid w:val="0"/>
      <w:spacing w:after="12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line="360" w:lineRule="auto"/>
      <w:jc w:val="center"/>
    </w:pPr>
    <w:rPr>
      <w:rFonts w:ascii="Arial" w:hAnsi="Arial"/>
      <w:b/>
      <w:smallCaps/>
      <w:kern w:val="28"/>
      <w:sz w:val="36"/>
      <w:lang w:eastAsia="en-US"/>
    </w:rPr>
  </w:style>
  <w:style w:type="paragraph" w:styleId="54">
    <w:name w:val="annotation subject"/>
    <w:basedOn w:val="20"/>
    <w:next w:val="20"/>
    <w:link w:val="78"/>
    <w:qFormat/>
    <w:uiPriority w:val="0"/>
    <w:pPr>
      <w:adjustRightInd/>
      <w:spacing w:line="240" w:lineRule="auto"/>
      <w:textAlignment w:val="auto"/>
    </w:pPr>
  </w:style>
  <w:style w:type="paragraph" w:styleId="55">
    <w:name w:val="Body Text First Indent"/>
    <w:basedOn w:val="2"/>
    <w:qFormat/>
    <w:uiPriority w:val="0"/>
    <w:pPr>
      <w:spacing w:line="360" w:lineRule="auto"/>
      <w:ind w:firstLine="420"/>
    </w:pPr>
    <w:rPr>
      <w:rFonts w:ascii="宋体" w:hAnsi="宋体"/>
      <w:sz w:val="24"/>
    </w:rPr>
  </w:style>
  <w:style w:type="paragraph" w:styleId="56">
    <w:name w:val="Body Text First Indent 2"/>
    <w:basedOn w:val="23"/>
    <w:link w:val="79"/>
    <w:qFormat/>
    <w:uiPriority w:val="0"/>
    <w:pPr>
      <w:spacing w:after="12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引用1"/>
    <w:basedOn w:val="1"/>
    <w:next w:val="1"/>
    <w:qFormat/>
    <w:uiPriority w:val="0"/>
    <w:pPr>
      <w:wordWrap w:val="0"/>
      <w:spacing w:before="200" w:after="160"/>
      <w:ind w:left="864" w:right="864"/>
      <w:jc w:val="center"/>
    </w:pPr>
    <w:rPr>
      <w:i/>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2"/>
    <w:qFormat/>
    <w:uiPriority w:val="0"/>
    <w:rPr>
      <w:kern w:val="2"/>
      <w:sz w:val="28"/>
    </w:rPr>
  </w:style>
  <w:style w:type="character" w:customStyle="1" w:styleId="76">
    <w:name w:val="正文文本缩进 2 字符1"/>
    <w:link w:val="33"/>
    <w:qFormat/>
    <w:uiPriority w:val="0"/>
    <w:rPr>
      <w:kern w:val="2"/>
      <w:sz w:val="28"/>
    </w:rPr>
  </w:style>
  <w:style w:type="character" w:customStyle="1" w:styleId="77">
    <w:name w:val="脚注文本 字符"/>
    <w:link w:val="40"/>
    <w:qFormat/>
    <w:uiPriority w:val="0"/>
    <w:rPr>
      <w:kern w:val="2"/>
      <w:sz w:val="18"/>
    </w:rPr>
  </w:style>
  <w:style w:type="character" w:customStyle="1" w:styleId="78">
    <w:name w:val="批注主题 字符"/>
    <w:link w:val="54"/>
    <w:qFormat/>
    <w:uiPriority w:val="0"/>
  </w:style>
  <w:style w:type="character" w:customStyle="1" w:styleId="79">
    <w:name w:val="正文文本首行缩进 2 字符"/>
    <w:link w:val="56"/>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5"/>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3"/>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0"/>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3"/>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0"/>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59"/>
    <w:link w:val="30"/>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26</Pages>
  <Words>8353</Words>
  <Characters>3734</Characters>
  <Lines>339</Lines>
  <Paragraphs>503</Paragraphs>
  <TotalTime>8</TotalTime>
  <ScaleCrop>false</ScaleCrop>
  <LinksUpToDate>false</LinksUpToDate>
  <CharactersWithSpaces>11584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Administrator</cp:lastModifiedBy>
  <cp:lastPrinted>2015-03-25T02:14:00Z</cp:lastPrinted>
  <dcterms:modified xsi:type="dcterms:W3CDTF">2026-04-27T06:27:24Z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88752BBCA04741E698C98144C8B288BD</vt:lpwstr>
  </property>
</Properties>
</file>