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69"/>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9"/>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70"/>
        <w:rPr>
          <w:rFonts w:hint="eastAsia" w:ascii="微软雅黑" w:hAnsi="微软雅黑" w:eastAsia="微软雅黑" w:cs="微软雅黑"/>
          <w:b w:val="0"/>
          <w:kern w:val="2"/>
          <w:sz w:val="44"/>
          <w:szCs w:val="44"/>
          <w:lang w:val="en-US" w:eastAsia="zh-CN" w:bidi="ar-SA"/>
        </w:rPr>
      </w:pPr>
    </w:p>
    <w:p>
      <w:pPr>
        <w:pStyle w:val="70"/>
        <w:rPr>
          <w:rFonts w:hint="eastAsia" w:ascii="微软雅黑" w:hAnsi="微软雅黑" w:eastAsia="微软雅黑" w:cs="微软雅黑"/>
          <w:b w:val="0"/>
          <w:kern w:val="2"/>
          <w:sz w:val="44"/>
          <w:szCs w:val="44"/>
          <w:lang w:val="en-US" w:eastAsia="zh-CN" w:bidi="ar-SA"/>
        </w:rPr>
      </w:pPr>
    </w:p>
    <w:p>
      <w:pPr>
        <w:spacing w:line="360" w:lineRule="auto"/>
        <w:ind w:firstLine="2880" w:firstLineChars="800"/>
        <w:jc w:val="both"/>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YXX260082</w:t>
      </w:r>
    </w:p>
    <w:p>
      <w:pPr>
        <w:spacing w:line="360" w:lineRule="auto"/>
        <w:ind w:firstLine="2880" w:firstLineChars="800"/>
        <w:jc w:val="both"/>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LED显示屏维保</w:t>
      </w: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700" w:lineRule="exact"/>
        <w:jc w:val="both"/>
        <w:rPr>
          <w:rFonts w:hint="eastAsia" w:ascii="微软雅黑" w:hAnsi="微软雅黑" w:eastAsia="微软雅黑" w:cs="微软雅黑"/>
          <w:b/>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2</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目   录</w:t>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_Toc11153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_Toc11153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_Toc22314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_Toc22314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_Toc30334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_Toc30334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_Toc12821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_Toc12821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_Toc29385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_Toc29385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_Toc32668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_Toc32668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_Toc15127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一、项目基本概况介绍</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_Toc6337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_Toc18371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_Toc18603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_Toc10843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二、报价方式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_Toc10843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_Toc28037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eastAsia="zh-CN"/>
        </w:rPr>
        <w:t>本</w:t>
      </w:r>
      <w:r>
        <w:rPr>
          <w:rFonts w:hint="eastAsia" w:ascii="微软雅黑" w:hAnsi="微软雅黑" w:eastAsia="微软雅黑" w:cs="微软雅黑"/>
          <w:bCs w:val="0"/>
          <w:sz w:val="24"/>
          <w:szCs w:val="24"/>
          <w:lang w:val="en-US" w:eastAsia="zh-CN"/>
        </w:rPr>
        <w:t>项目为一次性报价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_Toc28037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_Toc27394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_Toc24201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_Toc24201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_Toc15660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_Toc15660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_Toc15885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_Toc15885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_Toc32169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_Toc29479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_Toc29479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_Toc23630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_Toc23630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_Toc16798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_Toc16798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_Toc30288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_Toc5511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_Toc5511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_Toc32363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_Toc32363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_Toc13524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_Toc13524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_Toc12364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_Toc20531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_Toc31101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_Toc31101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_Toc26771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综合评标应答</w:t>
      </w:r>
      <w:r>
        <w:rPr>
          <w:rFonts w:hint="eastAsia" w:ascii="微软雅黑" w:hAnsi="微软雅黑" w:eastAsia="微软雅黑" w:cs="微软雅黑"/>
          <w:sz w:val="24"/>
          <w:szCs w:val="24"/>
        </w:rPr>
        <w:t>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_Toc26771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02"/>
        </w:tabs>
        <w:spacing w:line="480" w:lineRule="exact"/>
        <w:ind w:left="560"/>
        <w:jc w:val="center"/>
        <w:rPr>
          <w:rFonts w:hint="eastAsia" w:ascii="微软雅黑" w:hAnsi="微软雅黑" w:eastAsia="微软雅黑" w:cs="微软雅黑"/>
          <w:sz w:val="24"/>
          <w:szCs w:val="24"/>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numPr>
          <w:ilvl w:val="0"/>
          <w:numId w:val="14"/>
        </w:numPr>
        <w:spacing w:before="200" w:after="200" w:line="240" w:lineRule="auto"/>
        <w:jc w:val="center"/>
        <w:rPr>
          <w:rFonts w:hint="eastAsia" w:ascii="微软雅黑" w:hAnsi="微软雅黑" w:eastAsia="微软雅黑" w:cs="微软雅黑"/>
          <w:b/>
          <w:sz w:val="44"/>
          <w:szCs w:val="20"/>
        </w:rPr>
      </w:pPr>
      <w:bookmarkStart w:id="0" w:name="_Toc11641050"/>
      <w:bookmarkStart w:id="1" w:name="_Toc106030870"/>
      <w:bookmarkStart w:id="2" w:name="_Toc76462316"/>
      <w:bookmarkStart w:id="3" w:name="_Toc24037"/>
      <w:bookmarkStart w:id="4" w:name="_Toc11153"/>
      <w:bookmarkStart w:id="5" w:name="_Toc12789052"/>
      <w:r>
        <w:rPr>
          <w:rFonts w:hint="eastAsia" w:ascii="微软雅黑" w:hAnsi="微软雅黑" w:eastAsia="微软雅黑" w:cs="微软雅黑"/>
          <w:b/>
          <w:sz w:val="44"/>
          <w:szCs w:val="20"/>
        </w:rPr>
        <w:t xml:space="preserve"> 采购邀请书</w:t>
      </w:r>
      <w:bookmarkEnd w:id="0"/>
      <w:bookmarkEnd w:id="1"/>
      <w:bookmarkEnd w:id="2"/>
      <w:bookmarkEnd w:id="3"/>
      <w:bookmarkEnd w:id="4"/>
      <w:bookmarkEnd w:id="5"/>
    </w:p>
    <w:p>
      <w:pPr>
        <w:pStyle w:val="4"/>
        <w:numPr>
          <w:ilvl w:val="0"/>
          <w:numId w:val="0"/>
        </w:numPr>
        <w:spacing w:before="200" w:after="200" w:line="240" w:lineRule="auto"/>
        <w:jc w:val="both"/>
        <w:rPr>
          <w:rFonts w:hint="eastAsia" w:ascii="微软雅黑" w:hAnsi="微软雅黑" w:eastAsia="微软雅黑" w:cs="微软雅黑"/>
          <w:b w:val="0"/>
          <w:kern w:val="2"/>
          <w:sz w:val="24"/>
          <w:szCs w:val="24"/>
          <w:lang w:val="en-US" w:eastAsia="zh-CN" w:bidi="ar-SA"/>
        </w:rPr>
      </w:pPr>
      <w:r>
        <w:rPr>
          <w:rFonts w:hint="eastAsia" w:ascii="微软雅黑" w:hAnsi="微软雅黑" w:eastAsia="微软雅黑" w:cs="微软雅黑"/>
          <w:sz w:val="24"/>
          <w:szCs w:val="24"/>
        </w:rPr>
        <w:t xml:space="preserve"> </w:t>
      </w:r>
      <w:r>
        <w:rPr>
          <w:rFonts w:hint="eastAsia" w:ascii="微软雅黑" w:hAnsi="微软雅黑" w:eastAsia="微软雅黑" w:cs="微软雅黑"/>
          <w:b w:val="0"/>
          <w:kern w:val="2"/>
          <w:sz w:val="24"/>
          <w:szCs w:val="24"/>
          <w:lang w:val="en-US" w:eastAsia="zh-CN" w:bidi="ar-SA"/>
        </w:rPr>
        <w:t xml:space="preserve">   重庆医科大学附属儿童医院对</w:t>
      </w:r>
      <w:r>
        <w:rPr>
          <w:rFonts w:hint="eastAsia" w:ascii="微软雅黑" w:hAnsi="微软雅黑" w:eastAsia="微软雅黑" w:cs="微软雅黑"/>
          <w:b w:val="0"/>
          <w:kern w:val="2"/>
          <w:sz w:val="24"/>
          <w:szCs w:val="24"/>
          <w:u w:val="single"/>
          <w:lang w:val="en-US" w:eastAsia="zh-CN" w:bidi="ar-SA"/>
        </w:rPr>
        <w:t>LED显示屏维保</w:t>
      </w:r>
      <w:r>
        <w:rPr>
          <w:rFonts w:hint="eastAsia" w:ascii="微软雅黑" w:hAnsi="微软雅黑" w:eastAsia="微软雅黑" w:cs="微软雅黑"/>
          <w:b w:val="0"/>
          <w:kern w:val="2"/>
          <w:sz w:val="24"/>
          <w:szCs w:val="24"/>
          <w:lang w:val="en-US" w:eastAsia="zh-CN" w:bidi="ar-SA"/>
        </w:rPr>
        <w:t>项目进行公开比选采购。欢迎有资格的投标人前来参与。</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317775175"/>
      <w:bookmarkStart w:id="7" w:name="_Toc76462317"/>
      <w:bookmarkStart w:id="8" w:name="_Toc313893526"/>
      <w:bookmarkStart w:id="9" w:name="_Toc3856"/>
      <w:bookmarkStart w:id="10" w:name="_Toc106030871"/>
      <w:bookmarkStart w:id="11" w:name="_Toc22314"/>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7"/>
        <w:tblW w:w="48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2239"/>
        <w:gridCol w:w="2231"/>
        <w:gridCol w:w="1155"/>
        <w:gridCol w:w="1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9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25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24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b/>
                <w:bCs/>
                <w:kern w:val="0"/>
                <w:sz w:val="21"/>
                <w:szCs w:val="24"/>
                <w:lang w:val="en-US"/>
              </w:rPr>
            </w:pPr>
            <w:r>
              <w:rPr>
                <w:rFonts w:hint="eastAsia" w:ascii="微软雅黑" w:hAnsi="微软雅黑" w:eastAsia="微软雅黑" w:cs="微软雅黑"/>
                <w:b/>
                <w:bCs/>
                <w:kern w:val="0"/>
                <w:sz w:val="21"/>
                <w:szCs w:val="24"/>
                <w:lang w:val="en-US" w:eastAsia="zh-CN"/>
              </w:rPr>
              <w:t>最高限价（万元）</w:t>
            </w:r>
          </w:p>
        </w:tc>
        <w:tc>
          <w:tcPr>
            <w:tcW w:w="644"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63"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1"/>
                <w:u w:val="none"/>
                <w:lang w:val="en-US" w:eastAsia="zh-CN"/>
              </w:rPr>
            </w:pPr>
            <w:r>
              <w:rPr>
                <w:rFonts w:hint="eastAsia" w:ascii="微软雅黑" w:hAnsi="微软雅黑" w:eastAsia="微软雅黑" w:cs="微软雅黑"/>
                <w:sz w:val="21"/>
                <w:szCs w:val="21"/>
                <w:u w:val="none"/>
                <w:lang w:val="en-US" w:eastAsia="zh-CN"/>
              </w:rPr>
              <w:t>YXX260082</w:t>
            </w:r>
          </w:p>
        </w:tc>
        <w:tc>
          <w:tcPr>
            <w:tcW w:w="125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LED显示屏维保</w:t>
            </w:r>
          </w:p>
        </w:tc>
        <w:tc>
          <w:tcPr>
            <w:tcW w:w="124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7.5</w:t>
            </w:r>
          </w:p>
        </w:tc>
        <w:tc>
          <w:tcPr>
            <w:tcW w:w="6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106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334"/>
      <w:r>
        <w:rPr>
          <w:rFonts w:hint="eastAsia" w:ascii="微软雅黑" w:hAnsi="微软雅黑" w:eastAsia="微软雅黑" w:cs="微软雅黑"/>
          <w:sz w:val="24"/>
        </w:rPr>
        <w:t>二、</w:t>
      </w:r>
      <w:bookmarkEnd w:id="12"/>
      <w:bookmarkEnd w:id="13"/>
      <w:bookmarkEnd w:id="16"/>
      <w:bookmarkStart w:id="18" w:name="_Toc106030873"/>
      <w:bookmarkStart w:id="19" w:name="_Toc4480"/>
      <w:bookmarkStart w:id="20" w:name="_Toc76462319"/>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（二）本项目的特定资格要求：</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投标人营业执照经营范围须含有LED显示屏或电子产品销售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1" w:name="_Toc76462320"/>
      <w:bookmarkStart w:id="22" w:name="_Toc12821"/>
      <w:bookmarkStart w:id="23" w:name="_Toc27954"/>
      <w:bookmarkStart w:id="24" w:name="_Toc106030874"/>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bookmarkStart w:id="205" w:name="_GoBack"/>
      <w:bookmarkEnd w:id="20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65660334"/>
      <w:bookmarkStart w:id="26" w:name="_Toc106034625"/>
      <w:bookmarkStart w:id="27" w:name="_Toc12841"/>
      <w:bookmarkStart w:id="28" w:name="_Toc29385"/>
      <w:bookmarkStart w:id="29" w:name="_Toc11956"/>
      <w:bookmarkStart w:id="30" w:name="_Toc521053053"/>
      <w:bookmarkStart w:id="31" w:name="_Toc525047161"/>
      <w:bookmarkStart w:id="32" w:name="_Toc6178"/>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rPr>
        <w:t>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106034626"/>
      <w:bookmarkStart w:id="34" w:name="_Toc4355"/>
      <w:bookmarkStart w:id="35" w:name="_Toc2945"/>
      <w:bookmarkStart w:id="36" w:name="_Toc525047162"/>
      <w:bookmarkStart w:id="37" w:name="_Toc65660335"/>
      <w:bookmarkStart w:id="38" w:name="_Toc521053054"/>
      <w:bookmarkStart w:id="39" w:name="_Toc21937"/>
      <w:bookmarkStart w:id="40" w:name="_Toc1546"/>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41" w:name="_Toc6563"/>
      <w:bookmarkStart w:id="42" w:name="_Toc106034627"/>
      <w:bookmarkStart w:id="43" w:name="_Toc521053055"/>
      <w:bookmarkStart w:id="44" w:name="_Toc525047163"/>
      <w:bookmarkStart w:id="45" w:name="_Toc16269"/>
      <w:bookmarkStart w:id="46" w:name="_Toc65660336"/>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65660337"/>
      <w:bookmarkStart w:id="48" w:name="_Toc10415"/>
      <w:bookmarkStart w:id="49" w:name="_Toc106034628"/>
      <w:bookmarkStart w:id="50" w:name="_Toc1733"/>
      <w:bookmarkStart w:id="51" w:name="_Toc521053056"/>
      <w:bookmarkStart w:id="52" w:name="_Toc525047164"/>
      <w:bookmarkStart w:id="53" w:name="_Toc24901"/>
      <w:bookmarkStart w:id="54" w:name="_Toc32668"/>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3"/>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5" w:name="_Toc725"/>
      <w:bookmarkStart w:id="56" w:name="_Toc32686"/>
      <w:bookmarkStart w:id="57" w:name="_Toc1492"/>
      <w:bookmarkStart w:id="58" w:name="_Toc23143"/>
      <w:bookmarkStart w:id="59" w:name="_Toc26176"/>
      <w:bookmarkStart w:id="60" w:name="_Toc11017"/>
      <w:bookmarkStart w:id="61" w:name="_Toc25639"/>
      <w:bookmarkStart w:id="62" w:name="_Toc19886"/>
      <w:bookmarkStart w:id="63" w:name="_Toc8649"/>
      <w:bookmarkStart w:id="64" w:name="_Toc12959"/>
      <w:bookmarkStart w:id="65" w:name="_Toc2070"/>
      <w:bookmarkStart w:id="66" w:name="_Toc2422"/>
      <w:bookmarkStart w:id="67" w:name="_Toc75793504"/>
      <w:bookmarkStart w:id="68" w:name="_Toc5461"/>
      <w:bookmarkStart w:id="69" w:name="_Toc1625"/>
      <w:bookmarkStart w:id="70" w:name="_Toc1255"/>
      <w:bookmarkStart w:id="71" w:name="_Toc106030380"/>
      <w:bookmarkStart w:id="72" w:name="_Toc12789058"/>
      <w:r>
        <w:rPr>
          <w:rFonts w:hint="eastAsia" w:ascii="微软雅黑" w:hAnsi="微软雅黑" w:eastAsia="微软雅黑" w:cs="微软雅黑"/>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kern w:val="2"/>
          <w:sz w:val="44"/>
          <w:szCs w:val="20"/>
          <w:lang w:val="en-US" w:eastAsia="zh-CN" w:bidi="ar-SA"/>
        </w:rPr>
        <w:t>项目技术（质量）需求</w:t>
      </w:r>
      <w:bookmarkEnd w:id="70"/>
      <w:bookmarkEnd w:id="7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76462325"/>
      <w:bookmarkStart w:id="74" w:name="_Toc18470"/>
      <w:bookmarkStart w:id="75" w:name="_Toc3196"/>
      <w:bookmarkStart w:id="76" w:name="_Toc106030879"/>
      <w:bookmarkStart w:id="77" w:name="_Toc15127"/>
      <w:bookmarkStart w:id="78" w:name="_Toc1866"/>
      <w:bookmarkStart w:id="79" w:name="_Toc3117"/>
      <w:bookmarkStart w:id="80" w:name="_Toc32516"/>
      <w:bookmarkStart w:id="81" w:name="_Toc7791"/>
      <w:bookmarkStart w:id="82" w:name="_Toc76462327"/>
      <w:bookmarkStart w:id="83" w:name="_Toc106030882"/>
      <w:r>
        <w:rPr>
          <w:rFonts w:hint="eastAsia" w:ascii="微软雅黑" w:hAnsi="微软雅黑" w:eastAsia="微软雅黑" w:cs="微软雅黑"/>
          <w:sz w:val="24"/>
        </w:rPr>
        <w:t>一、项目基本概况介绍</w:t>
      </w:r>
      <w:bookmarkEnd w:id="73"/>
      <w:bookmarkEnd w:id="74"/>
      <w:bookmarkEnd w:id="75"/>
      <w:bookmarkEnd w:id="76"/>
      <w:bookmarkEnd w:id="77"/>
      <w:bookmarkEnd w:id="78"/>
      <w:bookmarkEnd w:id="79"/>
      <w:bookmarkEnd w:id="80"/>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8"/>
        <w:gridCol w:w="2051"/>
        <w:gridCol w:w="27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481"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项目名称</w:t>
            </w:r>
          </w:p>
        </w:tc>
        <w:tc>
          <w:tcPr>
            <w:tcW w:w="1065"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采购数量/单位</w:t>
            </w:r>
          </w:p>
        </w:tc>
        <w:tc>
          <w:tcPr>
            <w:tcW w:w="1453"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1"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Cs/>
                <w:color w:val="333333"/>
                <w:kern w:val="0"/>
                <w:sz w:val="21"/>
                <w:szCs w:val="21"/>
              </w:rPr>
              <w:t>LED显示屏维保</w:t>
            </w:r>
          </w:p>
        </w:tc>
        <w:tc>
          <w:tcPr>
            <w:tcW w:w="1065"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kern w:val="2"/>
                <w:sz w:val="21"/>
                <w:szCs w:val="21"/>
                <w:lang w:val="en-US" w:eastAsia="zh-CN" w:bidi="ar-SA"/>
              </w:rPr>
              <w:t>3年</w:t>
            </w:r>
          </w:p>
        </w:tc>
        <w:tc>
          <w:tcPr>
            <w:tcW w:w="1453"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合同有效期</w:t>
            </w:r>
          </w:p>
          <w:p>
            <w:pPr>
              <w:pStyle w:val="2"/>
              <w:keepNext w:val="0"/>
              <w:keepLines w:val="0"/>
              <w:suppressLineNumbers w:val="0"/>
              <w:spacing w:before="0" w:beforeAutospacing="0" w:after="0" w:afterAutospacing="0"/>
              <w:ind w:left="0" w:right="0" w:firstLine="210" w:firstLineChars="100"/>
              <w:rPr>
                <w:rFonts w:hint="eastAsia" w:ascii="微软雅黑" w:hAnsi="微软雅黑" w:eastAsia="微软雅黑" w:cs="微软雅黑"/>
                <w:sz w:val="21"/>
                <w:szCs w:val="21"/>
                <w:lang w:val="en-US" w:eastAsia="zh-CN"/>
              </w:rPr>
            </w:pPr>
            <w:r>
              <w:rPr>
                <w:rFonts w:hint="eastAsia" w:ascii="微软雅黑" w:hAnsi="微软雅黑" w:eastAsia="微软雅黑" w:cs="微软雅黑"/>
                <w:color w:val="000000"/>
                <w:kern w:val="0"/>
                <w:sz w:val="21"/>
                <w:szCs w:val="21"/>
              </w:rPr>
              <w:t>2026.6.20-2029.6.19</w:t>
            </w:r>
          </w:p>
        </w:tc>
      </w:tr>
    </w:tbl>
    <w:p>
      <w:pPr>
        <w:ind w:firstLine="240" w:firstLineChars="100"/>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二、项目内容及要求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（一）</w:t>
      </w:r>
      <w:r>
        <w:rPr>
          <w:rFonts w:hint="eastAsia" w:ascii="微软雅黑" w:hAnsi="微软雅黑" w:eastAsia="微软雅黑" w:cs="微软雅黑"/>
          <w:sz w:val="24"/>
          <w:szCs w:val="24"/>
        </w:rPr>
        <w:t>维保范围</w:t>
      </w:r>
    </w:p>
    <w:tbl>
      <w:tblPr>
        <w:tblStyle w:val="57"/>
        <w:tblW w:w="917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1210"/>
        <w:gridCol w:w="116"/>
        <w:gridCol w:w="1192"/>
        <w:gridCol w:w="234"/>
        <w:gridCol w:w="2539"/>
        <w:gridCol w:w="325"/>
        <w:gridCol w:w="1084"/>
        <w:gridCol w:w="112"/>
        <w:gridCol w:w="15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77" w:type="dxa"/>
            <w:gridSpan w:val="10"/>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渝中院区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326" w:type="dxa"/>
            <w:gridSpan w:val="2"/>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楼层</w:t>
            </w:r>
          </w:p>
        </w:tc>
        <w:tc>
          <w:tcPr>
            <w:tcW w:w="14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规格型号</w:t>
            </w:r>
          </w:p>
        </w:tc>
        <w:tc>
          <w:tcPr>
            <w:tcW w:w="2539"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尺寸</w:t>
            </w:r>
          </w:p>
        </w:tc>
        <w:tc>
          <w:tcPr>
            <w:tcW w:w="1409"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面积</w:t>
            </w:r>
          </w:p>
        </w:tc>
        <w:tc>
          <w:tcPr>
            <w:tcW w:w="1678"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科室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3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3号楼4楼</w:t>
            </w:r>
          </w:p>
        </w:tc>
        <w:tc>
          <w:tcPr>
            <w:tcW w:w="14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2539"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0.55m*3.5m</w:t>
            </w:r>
          </w:p>
        </w:tc>
        <w:tc>
          <w:tcPr>
            <w:tcW w:w="1409"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1.93㎡</w:t>
            </w:r>
          </w:p>
        </w:tc>
        <w:tc>
          <w:tcPr>
            <w:tcW w:w="1678"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放射科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3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1号楼2楼</w:t>
            </w:r>
          </w:p>
        </w:tc>
        <w:tc>
          <w:tcPr>
            <w:tcW w:w="14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2539"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0.7m*13.86m</w:t>
            </w:r>
          </w:p>
        </w:tc>
        <w:tc>
          <w:tcPr>
            <w:tcW w:w="1409"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9.7㎡</w:t>
            </w:r>
          </w:p>
        </w:tc>
        <w:tc>
          <w:tcPr>
            <w:tcW w:w="1678"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检验科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13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1号楼2楼</w:t>
            </w:r>
          </w:p>
        </w:tc>
        <w:tc>
          <w:tcPr>
            <w:tcW w:w="14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2539"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0.7m*6m</w:t>
            </w:r>
          </w:p>
        </w:tc>
        <w:tc>
          <w:tcPr>
            <w:tcW w:w="1409"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4.2㎡</w:t>
            </w:r>
          </w:p>
        </w:tc>
        <w:tc>
          <w:tcPr>
            <w:tcW w:w="1678"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抽血室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99" w:type="dxa"/>
            <w:vMerge w:val="restart"/>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4</w:t>
            </w:r>
          </w:p>
        </w:tc>
        <w:tc>
          <w:tcPr>
            <w:tcW w:w="1326" w:type="dxa"/>
            <w:gridSpan w:val="2"/>
            <w:vMerge w:val="restart"/>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1号楼5楼</w:t>
            </w:r>
          </w:p>
        </w:tc>
        <w:tc>
          <w:tcPr>
            <w:tcW w:w="1426" w:type="dxa"/>
            <w:gridSpan w:val="2"/>
            <w:vMerge w:val="restart"/>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2539"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0.55m*2.8m</w:t>
            </w:r>
          </w:p>
        </w:tc>
        <w:tc>
          <w:tcPr>
            <w:tcW w:w="1409"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1.54㎡</w:t>
            </w:r>
          </w:p>
        </w:tc>
        <w:tc>
          <w:tcPr>
            <w:tcW w:w="1678" w:type="dxa"/>
            <w:gridSpan w:val="2"/>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特需药房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799" w:type="dxa"/>
            <w:vMerge w:val="continue"/>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p>
        </w:tc>
        <w:tc>
          <w:tcPr>
            <w:tcW w:w="1326" w:type="dxa"/>
            <w:gridSpan w:val="2"/>
            <w:vMerge w:val="continue"/>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p>
        </w:tc>
        <w:tc>
          <w:tcPr>
            <w:tcW w:w="1426" w:type="dxa"/>
            <w:gridSpan w:val="2"/>
            <w:vMerge w:val="continue"/>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p>
        </w:tc>
        <w:tc>
          <w:tcPr>
            <w:tcW w:w="2539"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0.55m*6.1m</w:t>
            </w:r>
          </w:p>
        </w:tc>
        <w:tc>
          <w:tcPr>
            <w:tcW w:w="1409"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3.36㎡</w:t>
            </w:r>
          </w:p>
        </w:tc>
        <w:tc>
          <w:tcPr>
            <w:tcW w:w="1678" w:type="dxa"/>
            <w:gridSpan w:val="2"/>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挂号收费室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5</w:t>
            </w:r>
          </w:p>
        </w:tc>
        <w:tc>
          <w:tcPr>
            <w:tcW w:w="13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1号楼4楼</w:t>
            </w:r>
          </w:p>
        </w:tc>
        <w:tc>
          <w:tcPr>
            <w:tcW w:w="14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2539"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0.55m*9.5m</w:t>
            </w:r>
          </w:p>
        </w:tc>
        <w:tc>
          <w:tcPr>
            <w:tcW w:w="1409"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5.23㎡</w:t>
            </w:r>
          </w:p>
        </w:tc>
        <w:tc>
          <w:tcPr>
            <w:tcW w:w="1678" w:type="dxa"/>
            <w:gridSpan w:val="2"/>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挂号收费室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6</w:t>
            </w:r>
          </w:p>
        </w:tc>
        <w:tc>
          <w:tcPr>
            <w:tcW w:w="13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1号楼3楼</w:t>
            </w:r>
          </w:p>
        </w:tc>
        <w:tc>
          <w:tcPr>
            <w:tcW w:w="14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2539"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0.55m*5m</w:t>
            </w:r>
          </w:p>
        </w:tc>
        <w:tc>
          <w:tcPr>
            <w:tcW w:w="1409"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2.75㎡</w:t>
            </w:r>
          </w:p>
        </w:tc>
        <w:tc>
          <w:tcPr>
            <w:tcW w:w="1678" w:type="dxa"/>
            <w:gridSpan w:val="2"/>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挂号收费室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7</w:t>
            </w:r>
          </w:p>
        </w:tc>
        <w:tc>
          <w:tcPr>
            <w:tcW w:w="13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1号楼2楼</w:t>
            </w:r>
          </w:p>
        </w:tc>
        <w:tc>
          <w:tcPr>
            <w:tcW w:w="14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2539"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0.55m*10m</w:t>
            </w:r>
          </w:p>
        </w:tc>
        <w:tc>
          <w:tcPr>
            <w:tcW w:w="1409"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5.5㎡</w:t>
            </w:r>
          </w:p>
        </w:tc>
        <w:tc>
          <w:tcPr>
            <w:tcW w:w="1678" w:type="dxa"/>
            <w:gridSpan w:val="2"/>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挂号收费室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8</w:t>
            </w:r>
          </w:p>
        </w:tc>
        <w:tc>
          <w:tcPr>
            <w:tcW w:w="13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1号楼1楼</w:t>
            </w:r>
          </w:p>
        </w:tc>
        <w:tc>
          <w:tcPr>
            <w:tcW w:w="14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2539"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0.55m*10m</w:t>
            </w:r>
          </w:p>
        </w:tc>
        <w:tc>
          <w:tcPr>
            <w:tcW w:w="1409"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5.5㎡</w:t>
            </w:r>
          </w:p>
        </w:tc>
        <w:tc>
          <w:tcPr>
            <w:tcW w:w="1678" w:type="dxa"/>
            <w:gridSpan w:val="2"/>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挂号收费室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9</w:t>
            </w:r>
          </w:p>
        </w:tc>
        <w:tc>
          <w:tcPr>
            <w:tcW w:w="13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1号楼1楼</w:t>
            </w:r>
          </w:p>
        </w:tc>
        <w:tc>
          <w:tcPr>
            <w:tcW w:w="14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2539"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0.55m*5.9m</w:t>
            </w:r>
          </w:p>
        </w:tc>
        <w:tc>
          <w:tcPr>
            <w:tcW w:w="1409"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3.25㎡</w:t>
            </w:r>
          </w:p>
        </w:tc>
        <w:tc>
          <w:tcPr>
            <w:tcW w:w="1678" w:type="dxa"/>
            <w:gridSpan w:val="2"/>
            <w:vAlign w:val="center"/>
          </w:tcPr>
          <w:p>
            <w:pPr>
              <w:keepNext w:val="0"/>
              <w:keepLines w:val="0"/>
              <w:suppressLineNumbers w:val="0"/>
              <w:snapToGrid w:val="0"/>
              <w:spacing w:before="0" w:beforeAutospacing="0" w:after="0" w:afterAutospacing="0" w:line="400" w:lineRule="exact"/>
              <w:ind w:left="420" w:right="0" w:hanging="420" w:hangingChars="2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中药房、西药房1/2窗口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10</w:t>
            </w:r>
          </w:p>
        </w:tc>
        <w:tc>
          <w:tcPr>
            <w:tcW w:w="13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1号楼1楼</w:t>
            </w:r>
          </w:p>
        </w:tc>
        <w:tc>
          <w:tcPr>
            <w:tcW w:w="14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2539"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0.55m*4.8m</w:t>
            </w:r>
          </w:p>
        </w:tc>
        <w:tc>
          <w:tcPr>
            <w:tcW w:w="1409"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2.64㎡</w:t>
            </w:r>
          </w:p>
        </w:tc>
        <w:tc>
          <w:tcPr>
            <w:tcW w:w="1678"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西药房</w:t>
            </w:r>
          </w:p>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3/4/5/6窗口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11</w:t>
            </w:r>
          </w:p>
        </w:tc>
        <w:tc>
          <w:tcPr>
            <w:tcW w:w="13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1号楼1楼</w:t>
            </w:r>
          </w:p>
        </w:tc>
        <w:tc>
          <w:tcPr>
            <w:tcW w:w="14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2539"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0.55m*7m</w:t>
            </w:r>
          </w:p>
        </w:tc>
        <w:tc>
          <w:tcPr>
            <w:tcW w:w="1409"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3.85㎡</w:t>
            </w:r>
          </w:p>
        </w:tc>
        <w:tc>
          <w:tcPr>
            <w:tcW w:w="1678"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西药房</w:t>
            </w:r>
          </w:p>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7/8/9/10窗口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12</w:t>
            </w:r>
          </w:p>
        </w:tc>
        <w:tc>
          <w:tcPr>
            <w:tcW w:w="13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1号楼1楼</w:t>
            </w:r>
          </w:p>
        </w:tc>
        <w:tc>
          <w:tcPr>
            <w:tcW w:w="1426"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2539"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0.55m*7.4m</w:t>
            </w:r>
          </w:p>
        </w:tc>
        <w:tc>
          <w:tcPr>
            <w:tcW w:w="1409"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4.07㎡</w:t>
            </w:r>
          </w:p>
        </w:tc>
        <w:tc>
          <w:tcPr>
            <w:tcW w:w="1678" w:type="dxa"/>
            <w:gridSpan w:val="2"/>
            <w:vAlign w:val="center"/>
          </w:tcPr>
          <w:p>
            <w:pPr>
              <w:keepNext w:val="0"/>
              <w:keepLines w:val="0"/>
              <w:suppressLineNumbers w:val="0"/>
              <w:snapToGrid w:val="0"/>
              <w:spacing w:before="0" w:beforeAutospacing="0" w:after="0" w:afterAutospacing="0" w:line="400" w:lineRule="exact"/>
              <w:ind w:left="0" w:right="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病员服务中心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77" w:type="dxa"/>
            <w:gridSpan w:val="10"/>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总面积：53.52㎡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77" w:type="dxa"/>
            <w:gridSpan w:val="10"/>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两江院区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210"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楼层</w:t>
            </w:r>
          </w:p>
        </w:tc>
        <w:tc>
          <w:tcPr>
            <w:tcW w:w="1308"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规格型号</w:t>
            </w:r>
          </w:p>
        </w:tc>
        <w:tc>
          <w:tcPr>
            <w:tcW w:w="3098" w:type="dxa"/>
            <w:gridSpan w:val="3"/>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尺寸</w:t>
            </w:r>
          </w:p>
        </w:tc>
        <w:tc>
          <w:tcPr>
            <w:tcW w:w="1196" w:type="dxa"/>
            <w:gridSpan w:val="2"/>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面积</w:t>
            </w:r>
          </w:p>
        </w:tc>
        <w:tc>
          <w:tcPr>
            <w:tcW w:w="1566" w:type="dxa"/>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科室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210"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1号楼2楼</w:t>
            </w:r>
          </w:p>
        </w:tc>
        <w:tc>
          <w:tcPr>
            <w:tcW w:w="1308"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3098" w:type="dxa"/>
            <w:gridSpan w:val="3"/>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0.4m*2.6m+0.4m*1.0m</w:t>
            </w:r>
          </w:p>
        </w:tc>
        <w:tc>
          <w:tcPr>
            <w:tcW w:w="1196"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1.44㎡</w:t>
            </w:r>
          </w:p>
        </w:tc>
        <w:tc>
          <w:tcPr>
            <w:tcW w:w="1566"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挂号收费室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210"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1号楼3楼</w:t>
            </w:r>
          </w:p>
        </w:tc>
        <w:tc>
          <w:tcPr>
            <w:tcW w:w="1308"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3098" w:type="dxa"/>
            <w:gridSpan w:val="3"/>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0.4m*2.6m+0.4m*1.0m</w:t>
            </w:r>
          </w:p>
        </w:tc>
        <w:tc>
          <w:tcPr>
            <w:tcW w:w="1196"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1.44㎡</w:t>
            </w:r>
          </w:p>
        </w:tc>
        <w:tc>
          <w:tcPr>
            <w:tcW w:w="1566"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挂号收费室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1210"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1号楼4楼</w:t>
            </w:r>
          </w:p>
        </w:tc>
        <w:tc>
          <w:tcPr>
            <w:tcW w:w="1308"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3098" w:type="dxa"/>
            <w:gridSpan w:val="3"/>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0.4m*2.6m+0.4m*1.0m</w:t>
            </w:r>
          </w:p>
        </w:tc>
        <w:tc>
          <w:tcPr>
            <w:tcW w:w="1196"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1.44㎡</w:t>
            </w:r>
          </w:p>
        </w:tc>
        <w:tc>
          <w:tcPr>
            <w:tcW w:w="1566"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挂号收费室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4</w:t>
            </w:r>
          </w:p>
        </w:tc>
        <w:tc>
          <w:tcPr>
            <w:tcW w:w="1210"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1号楼5楼</w:t>
            </w:r>
          </w:p>
        </w:tc>
        <w:tc>
          <w:tcPr>
            <w:tcW w:w="1308"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3098" w:type="dxa"/>
            <w:gridSpan w:val="3"/>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0.4m*2.6m+0.4m*1.0m</w:t>
            </w:r>
          </w:p>
        </w:tc>
        <w:tc>
          <w:tcPr>
            <w:tcW w:w="1196"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1.44㎡</w:t>
            </w:r>
          </w:p>
        </w:tc>
        <w:tc>
          <w:tcPr>
            <w:tcW w:w="1566"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挂号收费室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5</w:t>
            </w:r>
          </w:p>
        </w:tc>
        <w:tc>
          <w:tcPr>
            <w:tcW w:w="1210"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1号楼1楼</w:t>
            </w:r>
          </w:p>
        </w:tc>
        <w:tc>
          <w:tcPr>
            <w:tcW w:w="1308"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3098" w:type="dxa"/>
            <w:gridSpan w:val="3"/>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0.56m*5.6m</w:t>
            </w:r>
          </w:p>
        </w:tc>
        <w:tc>
          <w:tcPr>
            <w:tcW w:w="1196"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3.14㎡</w:t>
            </w:r>
          </w:p>
        </w:tc>
        <w:tc>
          <w:tcPr>
            <w:tcW w:w="1566" w:type="dxa"/>
            <w:vAlign w:val="center"/>
          </w:tcPr>
          <w:p>
            <w:pPr>
              <w:keepNext w:val="0"/>
              <w:keepLines w:val="0"/>
              <w:suppressLineNumbers w:val="0"/>
              <w:snapToGrid w:val="0"/>
              <w:spacing w:before="0" w:beforeAutospacing="0" w:after="0" w:afterAutospacing="0" w:line="400" w:lineRule="exact"/>
              <w:ind w:left="0" w:right="0" w:firstLine="420" w:firstLineChars="2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药房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6</w:t>
            </w:r>
          </w:p>
        </w:tc>
        <w:tc>
          <w:tcPr>
            <w:tcW w:w="1210"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1号楼1楼</w:t>
            </w:r>
          </w:p>
        </w:tc>
        <w:tc>
          <w:tcPr>
            <w:tcW w:w="1308"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3098" w:type="dxa"/>
            <w:gridSpan w:val="3"/>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0.56m*5.6m</w:t>
            </w:r>
          </w:p>
        </w:tc>
        <w:tc>
          <w:tcPr>
            <w:tcW w:w="1196"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3.14㎡</w:t>
            </w:r>
          </w:p>
        </w:tc>
        <w:tc>
          <w:tcPr>
            <w:tcW w:w="1566" w:type="dxa"/>
            <w:vAlign w:val="center"/>
          </w:tcPr>
          <w:p>
            <w:pPr>
              <w:keepNext w:val="0"/>
              <w:keepLines w:val="0"/>
              <w:suppressLineNumbers w:val="0"/>
              <w:snapToGrid w:val="0"/>
              <w:spacing w:before="0" w:beforeAutospacing="0" w:after="0" w:afterAutospacing="0" w:line="400" w:lineRule="exact"/>
              <w:ind w:left="0" w:right="0" w:firstLine="420" w:firstLineChars="2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药房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7</w:t>
            </w:r>
          </w:p>
        </w:tc>
        <w:tc>
          <w:tcPr>
            <w:tcW w:w="1210"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1号楼1楼</w:t>
            </w:r>
          </w:p>
        </w:tc>
        <w:tc>
          <w:tcPr>
            <w:tcW w:w="1308"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3098" w:type="dxa"/>
            <w:gridSpan w:val="3"/>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0.56m*4.8m</w:t>
            </w:r>
          </w:p>
        </w:tc>
        <w:tc>
          <w:tcPr>
            <w:tcW w:w="1196" w:type="dxa"/>
            <w:gridSpan w:val="2"/>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2.7㎡</w:t>
            </w:r>
          </w:p>
        </w:tc>
        <w:tc>
          <w:tcPr>
            <w:tcW w:w="1566" w:type="dxa"/>
            <w:vAlign w:val="center"/>
          </w:tcPr>
          <w:p>
            <w:pPr>
              <w:keepNext w:val="0"/>
              <w:keepLines w:val="0"/>
              <w:suppressLineNumbers w:val="0"/>
              <w:snapToGrid w:val="0"/>
              <w:spacing w:before="0" w:beforeAutospacing="0" w:after="0" w:afterAutospacing="0" w:line="400" w:lineRule="exact"/>
              <w:ind w:left="0" w:right="0" w:firstLine="420" w:firstLineChars="2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药房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8</w:t>
            </w:r>
          </w:p>
        </w:tc>
        <w:tc>
          <w:tcPr>
            <w:tcW w:w="1210"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1号楼1楼</w:t>
            </w:r>
          </w:p>
        </w:tc>
        <w:tc>
          <w:tcPr>
            <w:tcW w:w="1308"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3098" w:type="dxa"/>
            <w:gridSpan w:val="3"/>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1m*5.6m</w:t>
            </w:r>
          </w:p>
        </w:tc>
        <w:tc>
          <w:tcPr>
            <w:tcW w:w="1196" w:type="dxa"/>
            <w:gridSpan w:val="2"/>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5.6㎡</w:t>
            </w:r>
          </w:p>
        </w:tc>
        <w:tc>
          <w:tcPr>
            <w:tcW w:w="1566"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便民服务中心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9</w:t>
            </w:r>
          </w:p>
        </w:tc>
        <w:tc>
          <w:tcPr>
            <w:tcW w:w="1210"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1号楼1楼</w:t>
            </w:r>
          </w:p>
        </w:tc>
        <w:tc>
          <w:tcPr>
            <w:tcW w:w="1308"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3098" w:type="dxa"/>
            <w:gridSpan w:val="3"/>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0.56m*3.26m</w:t>
            </w:r>
          </w:p>
        </w:tc>
        <w:tc>
          <w:tcPr>
            <w:tcW w:w="1196" w:type="dxa"/>
            <w:gridSpan w:val="2"/>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1.8㎡</w:t>
            </w:r>
          </w:p>
        </w:tc>
        <w:tc>
          <w:tcPr>
            <w:tcW w:w="1566" w:type="dxa"/>
            <w:vMerge w:val="restart"/>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挂号收费室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10</w:t>
            </w:r>
          </w:p>
        </w:tc>
        <w:tc>
          <w:tcPr>
            <w:tcW w:w="1210" w:type="dxa"/>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1号楼1楼</w:t>
            </w:r>
          </w:p>
        </w:tc>
        <w:tc>
          <w:tcPr>
            <w:tcW w:w="1308" w:type="dxa"/>
            <w:gridSpan w:val="2"/>
            <w:vAlign w:val="center"/>
          </w:tcPr>
          <w:p>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F3.75双色</w:t>
            </w:r>
          </w:p>
        </w:tc>
        <w:tc>
          <w:tcPr>
            <w:tcW w:w="3098" w:type="dxa"/>
            <w:gridSpan w:val="3"/>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0.56m*3.26m</w:t>
            </w:r>
          </w:p>
        </w:tc>
        <w:tc>
          <w:tcPr>
            <w:tcW w:w="1196" w:type="dxa"/>
            <w:gridSpan w:val="2"/>
            <w:vAlign w:val="center"/>
          </w:tcPr>
          <w:p>
            <w:pPr>
              <w:keepNext w:val="0"/>
              <w:keepLines w:val="0"/>
              <w:suppressLineNumbers w:val="0"/>
              <w:snapToGrid w:val="0"/>
              <w:spacing w:before="0" w:beforeAutospacing="0" w:after="0" w:afterAutospacing="0" w:line="400" w:lineRule="exact"/>
              <w:ind w:left="0" w:right="0" w:firstLine="210" w:firstLineChars="100"/>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1.8㎡</w:t>
            </w:r>
          </w:p>
        </w:tc>
        <w:tc>
          <w:tcPr>
            <w:tcW w:w="1566" w:type="dxa"/>
            <w:vMerge w:val="continue"/>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77" w:type="dxa"/>
            <w:gridSpan w:val="10"/>
            <w:vAlign w:val="center"/>
          </w:tcPr>
          <w:p>
            <w:pPr>
              <w:keepNext w:val="0"/>
              <w:keepLines w:val="0"/>
              <w:suppressLineNumbers w:val="0"/>
              <w:snapToGrid w:val="0"/>
              <w:spacing w:before="0" w:beforeAutospacing="0" w:after="0" w:afterAutospacing="0" w:line="400" w:lineRule="exact"/>
              <w:ind w:left="0" w:right="0" w:firstLine="420" w:firstLineChars="20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总面积：23.94㎡</w:t>
            </w:r>
          </w:p>
        </w:tc>
      </w:tr>
    </w:tbl>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二、维保内容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1．对维保范围内的LED显示屏所有软件（包括但不限于：控制系统、显示/编辑专用软件）、硬件（包括但不限于：单元板、驱动数据芯片、行芯片、接收/发送卡、边框）进行日常维护。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2．对LED显示屏在运行过程中出现故障的部件、元件或零件进行免费修理或更换。以下情况产生的维修不收取人工费用，但维修材料费用需另外结算：</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2.1非正常使用情况下（含人为破坏、火灾、雷击、自然灾害等）的损坏。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2.2非维保公司授权专业维修人员维修造成的硬件损坏。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维修人员在约定时间内不能排除故障时，为不影响医院正常工作，维保公司应向医院提供备品、备件。若不能提供备品、备件，维保公司免费提供同等档次备用设备替代使用直至原设备维修完成。若原设备无法维修，投标人所提供替代设备将供医院永久使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4．在实际使用过程中对相关软件的设置进行指导，并根据各科室的实际情况进行优化和调整。</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5．涉及使用科室搬迁或调整，维保公司应按医院要求对相应软、硬件进行调整（硬件搬迁或调整产生的施工费和材料费需另外结算）。</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6．如使用科室有培训需求，需要对医院各使用科室的操作人员进行免费培训。</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三、响应时间</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1．投标人须有属于本公司可随时上门维修及检测的工程师，能及时解决故障。</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2．医院以电话的方式通知维保公司，维保公司接到电话后要及时做出响应。遇到设备故障1小时内到达现场，到达现场后一般故障2小时内排除，较大故障24小时内排除。</w:t>
      </w:r>
      <w:r>
        <w:rPr>
          <w:rFonts w:hint="eastAsia" w:ascii="微软雅黑" w:hAnsi="微软雅黑" w:eastAsia="微软雅黑" w:cs="微软雅黑"/>
          <w:sz w:val="24"/>
          <w:szCs w:val="24"/>
          <w:lang w:val="en-US" w:eastAsia="zh-CN"/>
        </w:rPr>
        <w:br w:type="page"/>
      </w:r>
    </w:p>
    <w:p>
      <w:pPr>
        <w:pStyle w:val="2"/>
        <w:rPr>
          <w:rFonts w:hint="eastAsia"/>
        </w:rPr>
      </w:pPr>
    </w:p>
    <w:p>
      <w:pPr>
        <w:pStyle w:val="4"/>
        <w:spacing w:before="200" w:after="200" w:line="240" w:lineRule="auto"/>
        <w:ind w:firstLine="2641" w:firstLineChars="600"/>
        <w:jc w:val="both"/>
        <w:rPr>
          <w:rFonts w:hint="eastAsia" w:ascii="微软雅黑" w:hAnsi="微软雅黑" w:eastAsia="微软雅黑" w:cs="微软雅黑"/>
          <w:b/>
          <w:sz w:val="44"/>
          <w:szCs w:val="20"/>
        </w:rPr>
      </w:pPr>
      <w:bookmarkStart w:id="84" w:name="_Toc6337"/>
      <w:r>
        <w:rPr>
          <w:rFonts w:hint="eastAsia" w:ascii="微软雅黑" w:hAnsi="微软雅黑" w:eastAsia="微软雅黑" w:cs="微软雅黑"/>
          <w:b/>
          <w:sz w:val="44"/>
          <w:szCs w:val="20"/>
        </w:rPr>
        <w:t xml:space="preserve">第三篇  </w:t>
      </w:r>
      <w:bookmarkEnd w:id="72"/>
      <w:r>
        <w:rPr>
          <w:rFonts w:hint="eastAsia" w:ascii="微软雅黑" w:hAnsi="微软雅黑" w:eastAsia="微软雅黑" w:cs="微软雅黑"/>
          <w:b/>
          <w:sz w:val="44"/>
          <w:szCs w:val="20"/>
        </w:rPr>
        <w:t>项目商务需求</w:t>
      </w:r>
      <w:bookmarkEnd w:id="81"/>
      <w:bookmarkEnd w:id="82"/>
      <w:bookmarkEnd w:id="83"/>
      <w:bookmarkEnd w:id="84"/>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85" w:name="_Toc76462332"/>
            <w:bookmarkStart w:id="86" w:name="_Toc6692"/>
            <w:bookmarkStart w:id="87" w:name="_Toc106030887"/>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9"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服务期限、服务地点及验收方式</w:t>
            </w:r>
          </w:p>
        </w:tc>
        <w:tc>
          <w:tcPr>
            <w:tcW w:w="4271" w:type="pc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维保起止时间:2026年6月20日至2029年6月19日。</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按合同约定的内容进行验收。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报价方式及要求</w:t>
            </w:r>
          </w:p>
        </w:tc>
        <w:tc>
          <w:tcPr>
            <w:tcW w:w="4271" w:type="pc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1.该项目为一次性报价，最终报价以响应文件上的报价为准，现场不再议价。</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2.该项目需按每年报单价，并合计报总价，包括完成本项目所需的所有费用及各种应纳的税费。因中标人自身原因造成漏报、少报皆由其自行承担责任，采购人不再补偿。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1" w:type="pc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提供为期3年LED显示屏维保服务，全天24小时电话技术服务支撑。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结算与付款方式</w:t>
            </w:r>
          </w:p>
        </w:tc>
        <w:tc>
          <w:tcPr>
            <w:tcW w:w="4271" w:type="pc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1.以年为单位结算，结算金额以签订合同金额为准。</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2.每年支付一次，每一维保年度到期时开具当年维保费的全额发票，采购人收到发票后2个月内全额支付。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1" w:type="pc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采购人在中华人民共和国境内使用成交供应商提供的货物及服务时免受第三方提出的侵犯其专利权或其它知识产权的起诉。如果第三方提出侵权指控，成交供应商应承担由此而引起的一切法律责任和经济责任。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其他商务要求</w:t>
            </w:r>
          </w:p>
        </w:tc>
        <w:tc>
          <w:tcPr>
            <w:tcW w:w="4271" w:type="pc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1.投标人必须在响应文件中对以上条款和服务承诺明确列出，承诺内容必须达到本篇及协商文件其他条款的要求。</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2.其他未尽事宜由供需双方在采购合同中详细约定。</w:t>
            </w:r>
          </w:p>
        </w:tc>
      </w:tr>
    </w:tbl>
    <w:p>
      <w:pP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br w:type="page"/>
      </w:r>
    </w:p>
    <w:bookmarkEnd w:id="85"/>
    <w:bookmarkEnd w:id="86"/>
    <w:bookmarkEnd w:id="87"/>
    <w:p>
      <w:pPr>
        <w:pStyle w:val="4"/>
        <w:pageBreakBefore w:val="0"/>
        <w:spacing w:before="200" w:after="200" w:line="240" w:lineRule="auto"/>
        <w:jc w:val="center"/>
        <w:rPr>
          <w:rFonts w:hint="eastAsia" w:ascii="微软雅黑" w:hAnsi="微软雅黑" w:eastAsia="微软雅黑" w:cs="微软雅黑"/>
          <w:b/>
          <w:sz w:val="44"/>
          <w:szCs w:val="20"/>
        </w:rPr>
      </w:pPr>
      <w:bookmarkStart w:id="88" w:name="_Toc18371"/>
      <w:bookmarkStart w:id="89" w:name="_Toc12791"/>
      <w:bookmarkStart w:id="90" w:name="_Toc641"/>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88"/>
      <w:bookmarkEnd w:id="89"/>
      <w:bookmarkEnd w:id="9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1" w:name="_Toc14958"/>
      <w:bookmarkStart w:id="92" w:name="_Toc5379"/>
      <w:bookmarkStart w:id="93" w:name="_Toc106030888"/>
      <w:bookmarkStart w:id="94" w:name="_Toc18603"/>
      <w:bookmarkStart w:id="95" w:name="_Toc76462333"/>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1"/>
      <w:bookmarkEnd w:id="92"/>
      <w:bookmarkEnd w:id="93"/>
      <w:bookmarkEnd w:id="94"/>
      <w:bookmarkEnd w:id="9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96" w:name="_Toc10843"/>
      <w:bookmarkStart w:id="97" w:name="_Toc4495"/>
      <w:bookmarkStart w:id="98" w:name="_Toc25824"/>
      <w:bookmarkStart w:id="99" w:name="_Toc106030890"/>
      <w:bookmarkStart w:id="100" w:name="_Toc31497"/>
      <w:bookmarkStart w:id="101" w:name="_Toc76462335"/>
      <w:bookmarkStart w:id="102" w:name="_Toc342913394"/>
      <w:bookmarkStart w:id="103" w:name="_Toc102227320"/>
      <w:r>
        <w:rPr>
          <w:rFonts w:hint="eastAsia" w:ascii="微软雅黑" w:hAnsi="微软雅黑" w:eastAsia="微软雅黑" w:cs="微软雅黑"/>
          <w:color w:val="auto"/>
          <w:sz w:val="24"/>
          <w:lang w:val="en-US" w:eastAsia="zh-CN"/>
        </w:rPr>
        <w:t>二、报价方式</w:t>
      </w:r>
      <w:bookmarkEnd w:id="96"/>
      <w:bookmarkEnd w:id="97"/>
    </w:p>
    <w:p>
      <w:pPr>
        <w:pStyle w:val="144"/>
        <w:keepNext w:val="0"/>
        <w:keepLines w:val="0"/>
        <w:suppressLineNumbers w:val="0"/>
        <w:spacing w:before="0" w:beforeAutospacing="0" w:after="0" w:afterAutospacing="0" w:line="400" w:lineRule="exact"/>
        <w:ind w:left="0" w:right="0" w:firstLine="480" w:firstLineChars="200"/>
        <w:rPr>
          <w:rFonts w:hint="eastAsia" w:ascii="微软雅黑" w:hAnsi="微软雅黑" w:eastAsia="微软雅黑" w:cs="微软雅黑"/>
          <w:color w:val="auto"/>
          <w:kern w:val="0"/>
          <w:sz w:val="24"/>
          <w:szCs w:val="24"/>
          <w:lang w:val="en-US" w:eastAsia="zh-CN" w:bidi="ar-SA"/>
        </w:rPr>
      </w:pPr>
      <w:bookmarkStart w:id="104" w:name="_Toc27607"/>
      <w:bookmarkStart w:id="105" w:name="_Toc27394"/>
      <w:r>
        <w:rPr>
          <w:rFonts w:hint="eastAsia" w:ascii="微软雅黑" w:hAnsi="微软雅黑" w:eastAsia="微软雅黑" w:cs="微软雅黑"/>
          <w:color w:val="auto"/>
          <w:kern w:val="0"/>
          <w:sz w:val="24"/>
          <w:szCs w:val="24"/>
          <w:lang w:val="en-US" w:eastAsia="zh-CN" w:bidi="ar-SA"/>
        </w:rPr>
        <w:t>该项目为一次性报价，最终报价以响应文件上的报价为准，现场不再议价。</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lang w:val="en-US" w:eastAsia="zh-CN"/>
        </w:rPr>
        <w:t>三、评标方法</w:t>
      </w:r>
      <w:bookmarkEnd w:id="98"/>
      <w:bookmarkEnd w:id="104"/>
      <w:bookmarkEnd w:id="105"/>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w:t>
      </w:r>
      <w:r>
        <w:rPr>
          <w:rFonts w:hint="eastAsia" w:ascii="微软雅黑" w:hAnsi="微软雅黑" w:eastAsia="微软雅黑" w:cs="微软雅黑"/>
          <w:color w:val="auto"/>
          <w:kern w:val="0"/>
          <w:sz w:val="24"/>
          <w:szCs w:val="24"/>
          <w:lang w:eastAsia="zh-CN"/>
        </w:rPr>
        <w:t>响应文件</w:t>
      </w:r>
      <w:r>
        <w:rPr>
          <w:rFonts w:hint="eastAsia" w:ascii="微软雅黑" w:hAnsi="微软雅黑" w:eastAsia="微软雅黑" w:cs="微软雅黑"/>
          <w:color w:val="auto"/>
          <w:kern w:val="0"/>
          <w:sz w:val="24"/>
          <w:szCs w:val="24"/>
        </w:rPr>
        <w:t>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推荐资格，招标文件未规定的采取随机抽取方式确定，其他同品牌投标人不作为中标候选人。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进行评价、打分，然后由评标委员会对各成员打分情况进行核查及复核，个别成员对同一投标人同一评分项的打分偏离较大的，应对投标人的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4"/>
        <w:numPr>
          <w:ilvl w:val="0"/>
          <w:numId w:val="0"/>
        </w:numPr>
        <w:adjustRightInd w:val="0"/>
        <w:snapToGrid w:val="0"/>
        <w:spacing w:before="0" w:after="0" w:line="400" w:lineRule="exact"/>
        <w:rPr>
          <w:rFonts w:hint="eastAsia" w:ascii="微软雅黑" w:hAnsi="微软雅黑" w:eastAsia="微软雅黑" w:cs="微软雅黑"/>
          <w:color w:val="auto"/>
          <w:sz w:val="24"/>
          <w:lang w:val="en-US" w:eastAsia="zh-CN"/>
        </w:rPr>
      </w:pPr>
      <w:bookmarkStart w:id="106" w:name="_Toc76462334"/>
      <w:bookmarkStart w:id="107" w:name="_Toc106030889"/>
      <w:bookmarkStart w:id="108" w:name="_Toc5973"/>
      <w:bookmarkStart w:id="109" w:name="_Toc24201"/>
      <w:bookmarkStart w:id="110" w:name="_Toc18577"/>
      <w:bookmarkStart w:id="111" w:name="_Toc30944"/>
    </w:p>
    <w:p>
      <w:pPr>
        <w:pStyle w:val="4"/>
        <w:numPr>
          <w:ilvl w:val="0"/>
          <w:numId w:val="0"/>
        </w:numPr>
        <w:adjustRightInd w:val="0"/>
        <w:snapToGrid w:val="0"/>
        <w:spacing w:before="0" w:after="0" w:line="400" w:lineRule="exact"/>
        <w:rPr>
          <w:rFonts w:hint="eastAsia" w:ascii="微软雅黑" w:hAnsi="微软雅黑" w:eastAsia="微软雅黑" w:cs="微软雅黑"/>
          <w:color w:val="auto"/>
          <w:sz w:val="24"/>
          <w:lang w:val="en-US" w:eastAsia="zh-CN"/>
        </w:rPr>
      </w:pPr>
    </w:p>
    <w:p>
      <w:pPr>
        <w:pStyle w:val="4"/>
        <w:numPr>
          <w:ilvl w:val="0"/>
          <w:numId w:val="0"/>
        </w:numPr>
        <w:adjustRightInd w:val="0"/>
        <w:snapToGrid w:val="0"/>
        <w:spacing w:before="0" w:after="0" w:line="400" w:lineRule="exact"/>
        <w:rPr>
          <w:rFonts w:hint="eastAsia" w:ascii="微软雅黑" w:hAnsi="微软雅黑" w:eastAsia="微软雅黑" w:cs="微软雅黑"/>
          <w:color w:val="auto"/>
          <w:sz w:val="24"/>
          <w:lang w:val="en-US" w:eastAsia="zh-CN"/>
        </w:rPr>
      </w:pPr>
    </w:p>
    <w:p>
      <w:pPr>
        <w:rPr>
          <w:rFonts w:hint="eastAsia" w:ascii="微软雅黑" w:hAnsi="微软雅黑" w:eastAsia="微软雅黑" w:cs="微软雅黑"/>
          <w:color w:val="auto"/>
          <w:sz w:val="24"/>
          <w:lang w:val="en-US" w:eastAsia="zh-CN"/>
        </w:rPr>
      </w:pPr>
      <w:r>
        <w:rPr>
          <w:rFonts w:hint="eastAsia" w:ascii="微软雅黑" w:hAnsi="微软雅黑" w:eastAsia="微软雅黑" w:cs="微软雅黑"/>
          <w:color w:val="auto"/>
          <w:sz w:val="24"/>
          <w:lang w:val="en-US" w:eastAsia="zh-CN"/>
        </w:rPr>
        <w:br w:type="page"/>
      </w:r>
    </w:p>
    <w:p>
      <w:pPr>
        <w:pStyle w:val="4"/>
        <w:numPr>
          <w:ilvl w:val="0"/>
          <w:numId w:val="0"/>
        </w:numPr>
        <w:adjustRightInd w:val="0"/>
        <w:snapToGrid w:val="0"/>
        <w:spacing w:before="0" w:after="0" w:line="400" w:lineRule="exact"/>
        <w:rPr>
          <w:rFonts w:hint="eastAsia" w:ascii="微软雅黑" w:hAnsi="微软雅黑" w:eastAsia="微软雅黑" w:cs="微软雅黑"/>
          <w:color w:val="auto"/>
          <w:sz w:val="24"/>
          <w:lang w:val="en-US" w:eastAsia="zh-CN"/>
        </w:rPr>
      </w:pPr>
      <w:r>
        <w:rPr>
          <w:rFonts w:hint="eastAsia" w:ascii="微软雅黑" w:hAnsi="微软雅黑" w:eastAsia="微软雅黑" w:cs="微软雅黑"/>
          <w:color w:val="auto"/>
          <w:sz w:val="24"/>
          <w:lang w:val="en-US" w:eastAsia="zh-CN"/>
        </w:rPr>
        <w:t>四、评审标准</w:t>
      </w:r>
      <w:bookmarkEnd w:id="106"/>
      <w:bookmarkEnd w:id="107"/>
      <w:bookmarkEnd w:id="108"/>
      <w:bookmarkEnd w:id="109"/>
      <w:bookmarkEnd w:id="110"/>
      <w:bookmarkEnd w:id="111"/>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3986"/>
        <w:gridCol w:w="24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b/>
                <w:szCs w:val="20"/>
              </w:rPr>
            </w:pPr>
            <w:r>
              <w:rPr>
                <w:rFonts w:hint="eastAsia"/>
                <w:b/>
                <w:szCs w:val="20"/>
              </w:rPr>
              <w:t>序号</w:t>
            </w:r>
          </w:p>
        </w:tc>
        <w:tc>
          <w:tcPr>
            <w:tcW w:w="14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b/>
                <w:szCs w:val="20"/>
              </w:rPr>
            </w:pPr>
            <w:r>
              <w:rPr>
                <w:rFonts w:hint="eastAsia"/>
                <w:b/>
                <w:szCs w:val="20"/>
              </w:rPr>
              <w:t>评分因素</w:t>
            </w:r>
          </w:p>
          <w:p>
            <w:pPr>
              <w:keepNext w:val="0"/>
              <w:keepLines w:val="0"/>
              <w:suppressLineNumbers w:val="0"/>
              <w:spacing w:before="0" w:beforeAutospacing="0" w:after="0" w:afterAutospacing="0"/>
              <w:ind w:left="0" w:right="0"/>
              <w:rPr>
                <w:rFonts w:hint="default"/>
                <w:b/>
                <w:szCs w:val="20"/>
              </w:rPr>
            </w:pPr>
            <w:r>
              <w:rPr>
                <w:rFonts w:hint="eastAsia"/>
                <w:b/>
                <w:szCs w:val="20"/>
              </w:rPr>
              <w:t>及权重</w:t>
            </w:r>
          </w:p>
        </w:tc>
        <w:tc>
          <w:tcPr>
            <w:tcW w:w="91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b/>
                <w:szCs w:val="20"/>
              </w:rPr>
            </w:pPr>
            <w:r>
              <w:rPr>
                <w:rFonts w:hint="eastAsia"/>
                <w:b/>
                <w:szCs w:val="20"/>
              </w:rPr>
              <w:t>分值</w:t>
            </w:r>
          </w:p>
        </w:tc>
        <w:tc>
          <w:tcPr>
            <w:tcW w:w="398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b/>
                <w:szCs w:val="20"/>
              </w:rPr>
            </w:pPr>
            <w:r>
              <w:rPr>
                <w:rFonts w:hint="eastAsia"/>
                <w:b/>
                <w:szCs w:val="20"/>
              </w:rPr>
              <w:t>评分标准</w:t>
            </w:r>
          </w:p>
        </w:tc>
        <w:tc>
          <w:tcPr>
            <w:tcW w:w="243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b/>
                <w:szCs w:val="20"/>
              </w:rPr>
            </w:pPr>
            <w:r>
              <w:rPr>
                <w:rFonts w:hint="eastAsia"/>
                <w:b/>
                <w:szCs w:val="20"/>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280" w:firstLineChars="100"/>
              <w:rPr>
                <w:rFonts w:hint="default"/>
                <w:szCs w:val="20"/>
              </w:rPr>
            </w:pPr>
            <w:r>
              <w:rPr>
                <w:rFonts w:hint="eastAsia"/>
                <w:szCs w:val="20"/>
              </w:rPr>
              <w:t>1</w:t>
            </w:r>
          </w:p>
        </w:tc>
        <w:tc>
          <w:tcPr>
            <w:tcW w:w="14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szCs w:val="20"/>
              </w:rPr>
            </w:pPr>
            <w:r>
              <w:rPr>
                <w:rFonts w:hint="eastAsia" w:ascii="宋体" w:hAnsi="宋体" w:cs="宋体" w:eastAsiaTheme="minorEastAsia"/>
                <w:sz w:val="24"/>
                <w:szCs w:val="20"/>
              </w:rPr>
              <w:t>投标</w:t>
            </w:r>
            <w:r>
              <w:rPr>
                <w:rFonts w:hint="default" w:ascii="宋体" w:hAnsi="宋体" w:cs="宋体" w:eastAsiaTheme="minorEastAsia"/>
                <w:sz w:val="24"/>
                <w:szCs w:val="20"/>
              </w:rPr>
              <w:t>报价</w:t>
            </w:r>
            <w:r>
              <w:rPr>
                <w:rFonts w:hint="eastAsia"/>
                <w:szCs w:val="20"/>
              </w:rPr>
              <w:t>（</w:t>
            </w:r>
            <w:r>
              <w:rPr>
                <w:rFonts w:hint="eastAsia"/>
                <w:szCs w:val="20"/>
                <w:lang w:val="en-US" w:eastAsia="zh-CN"/>
              </w:rPr>
              <w:t>3</w:t>
            </w:r>
            <w:r>
              <w:rPr>
                <w:rFonts w:hint="eastAsia"/>
                <w:szCs w:val="20"/>
              </w:rPr>
              <w:t>0%）</w:t>
            </w:r>
          </w:p>
        </w:tc>
        <w:tc>
          <w:tcPr>
            <w:tcW w:w="91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eastAsia="宋体"/>
                <w:szCs w:val="20"/>
                <w:lang w:val="en-US" w:eastAsia="zh-CN"/>
              </w:rPr>
            </w:pPr>
            <w:r>
              <w:rPr>
                <w:rFonts w:hint="eastAsia" w:ascii="宋体" w:hAnsi="宋体" w:cs="宋体" w:eastAsiaTheme="minorEastAsia"/>
                <w:sz w:val="24"/>
                <w:szCs w:val="20"/>
              </w:rPr>
              <w:t>30分</w:t>
            </w:r>
          </w:p>
        </w:tc>
        <w:tc>
          <w:tcPr>
            <w:tcW w:w="398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kern w:val="0"/>
                <w:sz w:val="24"/>
                <w:szCs w:val="20"/>
              </w:rPr>
            </w:pPr>
            <w:r>
              <w:rPr>
                <w:rFonts w:hint="eastAsia" w:ascii="宋体" w:hAnsi="宋体" w:eastAsia="宋体" w:cs="宋体"/>
                <w:kern w:val="0"/>
                <w:sz w:val="24"/>
                <w:szCs w:val="20"/>
              </w:rPr>
              <w:t>有效的投标报价中的最低价为评标基准价，其价格分为满分。其他投标人的价格分统一按照下列公式计算：</w:t>
            </w:r>
          </w:p>
          <w:p>
            <w:pPr>
              <w:keepNext w:val="0"/>
              <w:keepLines w:val="0"/>
              <w:suppressLineNumbers w:val="0"/>
              <w:spacing w:before="0" w:beforeAutospacing="0" w:after="0" w:afterAutospacing="0"/>
              <w:ind w:left="0" w:right="0"/>
              <w:rPr>
                <w:rFonts w:hint="default"/>
                <w:szCs w:val="20"/>
              </w:rPr>
            </w:pPr>
            <w:r>
              <w:rPr>
                <w:rFonts w:hint="eastAsia" w:ascii="宋体" w:hAnsi="宋体" w:eastAsia="宋体" w:cs="宋体"/>
                <w:kern w:val="0"/>
                <w:sz w:val="24"/>
                <w:szCs w:val="20"/>
              </w:rPr>
              <w:t>投标报价得分＝（评标基准价/投标报价）×价格权重×100。</w:t>
            </w:r>
          </w:p>
        </w:tc>
        <w:tc>
          <w:tcPr>
            <w:tcW w:w="243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szCs w:val="20"/>
              </w:rPr>
            </w:pPr>
            <w:r>
              <w:rPr>
                <w:rFonts w:hint="eastAsia"/>
                <w:szCs w:val="2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Merge w:val="restart"/>
            <w:tcBorders>
              <w:top w:val="nil"/>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280" w:firstLineChars="100"/>
              <w:rPr>
                <w:rFonts w:hint="default"/>
                <w:szCs w:val="20"/>
              </w:rPr>
            </w:pPr>
            <w:r>
              <w:rPr>
                <w:rFonts w:hint="eastAsia"/>
                <w:szCs w:val="20"/>
              </w:rPr>
              <w:t>2</w:t>
            </w:r>
          </w:p>
        </w:tc>
        <w:tc>
          <w:tcPr>
            <w:tcW w:w="1462" w:type="dxa"/>
            <w:vMerge w:val="restart"/>
            <w:tcBorders>
              <w:top w:val="nil"/>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szCs w:val="20"/>
              </w:rPr>
            </w:pPr>
            <w:r>
              <w:rPr>
                <w:rFonts w:hint="eastAsia"/>
                <w:szCs w:val="20"/>
              </w:rPr>
              <w:t>技术（质量）部分</w:t>
            </w:r>
          </w:p>
          <w:p>
            <w:pPr>
              <w:keepNext w:val="0"/>
              <w:keepLines w:val="0"/>
              <w:suppressLineNumbers w:val="0"/>
              <w:spacing w:before="0" w:beforeAutospacing="0" w:after="0" w:afterAutospacing="0"/>
              <w:ind w:left="0" w:right="0"/>
              <w:rPr>
                <w:rFonts w:hint="default"/>
                <w:szCs w:val="20"/>
              </w:rPr>
            </w:pPr>
            <w:r>
              <w:rPr>
                <w:rFonts w:hint="eastAsia"/>
                <w:szCs w:val="20"/>
              </w:rPr>
              <w:t>（</w:t>
            </w:r>
            <w:r>
              <w:rPr>
                <w:rFonts w:hint="eastAsia"/>
                <w:szCs w:val="20"/>
                <w:lang w:val="en-US" w:eastAsia="zh-CN"/>
              </w:rPr>
              <w:t>4</w:t>
            </w:r>
            <w:r>
              <w:rPr>
                <w:rFonts w:hint="eastAsia"/>
                <w:szCs w:val="20"/>
              </w:rPr>
              <w:t>0%）</w:t>
            </w:r>
          </w:p>
        </w:tc>
        <w:tc>
          <w:tcPr>
            <w:tcW w:w="91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szCs w:val="20"/>
              </w:rPr>
            </w:pPr>
            <w:r>
              <w:rPr>
                <w:rFonts w:hint="eastAsia" w:ascii="宋体" w:hAnsi="宋体" w:cs="宋体" w:eastAsiaTheme="minorEastAsia"/>
                <w:sz w:val="24"/>
                <w:szCs w:val="20"/>
              </w:rPr>
              <w:t>技术部</w:t>
            </w:r>
            <w:r>
              <w:rPr>
                <w:rFonts w:hint="default" w:ascii="宋体" w:hAnsi="宋体" w:cs="宋体" w:eastAsiaTheme="minorEastAsia"/>
                <w:sz w:val="24"/>
                <w:szCs w:val="20"/>
              </w:rPr>
              <w:t>分30</w:t>
            </w:r>
            <w:r>
              <w:rPr>
                <w:rFonts w:hint="eastAsia" w:ascii="宋体" w:hAnsi="宋体" w:cs="宋体" w:eastAsiaTheme="minorEastAsia"/>
                <w:sz w:val="24"/>
                <w:szCs w:val="20"/>
              </w:rPr>
              <w:t>分</w:t>
            </w:r>
          </w:p>
        </w:tc>
        <w:tc>
          <w:tcPr>
            <w:tcW w:w="398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宋体" w:hAnsi="宋体" w:eastAsia="宋体" w:cs="宋体"/>
                <w:kern w:val="0"/>
                <w:sz w:val="24"/>
                <w:szCs w:val="20"/>
              </w:rPr>
            </w:pPr>
            <w:r>
              <w:rPr>
                <w:rFonts w:hint="eastAsia" w:ascii="宋体" w:hAnsi="宋体" w:eastAsia="宋体" w:cs="宋体"/>
                <w:kern w:val="0"/>
                <w:sz w:val="24"/>
                <w:szCs w:val="20"/>
              </w:rPr>
              <w:t>1.起评分：</w:t>
            </w:r>
          </w:p>
          <w:p>
            <w:pPr>
              <w:keepNext w:val="0"/>
              <w:keepLines w:val="0"/>
              <w:suppressLineNumbers w:val="0"/>
              <w:spacing w:before="0" w:beforeAutospacing="0" w:after="0" w:afterAutospacing="0"/>
              <w:ind w:left="0" w:right="0"/>
              <w:rPr>
                <w:rFonts w:hint="eastAsia" w:ascii="宋体" w:hAnsi="宋体" w:eastAsia="宋体" w:cs="宋体"/>
                <w:kern w:val="0"/>
                <w:sz w:val="24"/>
                <w:szCs w:val="20"/>
              </w:rPr>
            </w:pPr>
            <w:r>
              <w:rPr>
                <w:rFonts w:hint="eastAsia" w:ascii="宋体" w:hAnsi="宋体" w:eastAsia="宋体" w:cs="宋体"/>
                <w:kern w:val="0"/>
                <w:sz w:val="24"/>
                <w:szCs w:val="20"/>
              </w:rPr>
              <w:t>有效投标人的起评分为</w:t>
            </w:r>
            <w:r>
              <w:rPr>
                <w:rFonts w:hint="default" w:ascii="宋体" w:hAnsi="宋体" w:eastAsia="宋体" w:cs="宋体"/>
                <w:kern w:val="0"/>
                <w:sz w:val="24"/>
                <w:szCs w:val="20"/>
              </w:rPr>
              <w:t>30</w:t>
            </w:r>
            <w:r>
              <w:rPr>
                <w:rFonts w:hint="eastAsia" w:ascii="宋体" w:hAnsi="宋体" w:eastAsia="宋体" w:cs="宋体"/>
                <w:kern w:val="0"/>
                <w:sz w:val="24"/>
                <w:szCs w:val="20"/>
              </w:rPr>
              <w:t>分。</w:t>
            </w:r>
          </w:p>
          <w:p>
            <w:pPr>
              <w:keepNext w:val="0"/>
              <w:keepLines w:val="0"/>
              <w:suppressLineNumbers w:val="0"/>
              <w:spacing w:before="0" w:beforeAutospacing="0" w:after="0" w:afterAutospacing="0"/>
              <w:ind w:left="0" w:right="0"/>
              <w:rPr>
                <w:rFonts w:hint="eastAsia" w:ascii="宋体" w:hAnsi="宋体" w:eastAsia="宋体" w:cs="宋体"/>
                <w:kern w:val="0"/>
                <w:sz w:val="24"/>
                <w:szCs w:val="20"/>
              </w:rPr>
            </w:pPr>
            <w:r>
              <w:rPr>
                <w:rFonts w:hint="eastAsia" w:ascii="宋体" w:hAnsi="宋体" w:eastAsia="宋体" w:cs="宋体"/>
                <w:kern w:val="0"/>
                <w:sz w:val="24"/>
                <w:szCs w:val="20"/>
              </w:rPr>
              <w:t>2.扣分条款：</w:t>
            </w:r>
          </w:p>
          <w:p>
            <w:pPr>
              <w:keepNext w:val="0"/>
              <w:keepLines w:val="0"/>
              <w:suppressLineNumbers w:val="0"/>
              <w:spacing w:before="0" w:beforeAutospacing="0" w:after="0" w:afterAutospacing="0"/>
              <w:ind w:left="0" w:right="0"/>
              <w:rPr>
                <w:rFonts w:hint="default"/>
                <w:szCs w:val="20"/>
              </w:rPr>
            </w:pPr>
            <w:r>
              <w:rPr>
                <w:rFonts w:hint="eastAsia" w:ascii="宋体" w:hAnsi="宋体" w:eastAsia="宋体" w:cs="宋体"/>
                <w:kern w:val="0"/>
                <w:sz w:val="24"/>
                <w:szCs w:val="20"/>
              </w:rPr>
              <w:t>投标文件投标应答有一条不满足招标文件服务参数，从起评分中扣除5分，扣完为止。</w:t>
            </w:r>
          </w:p>
        </w:tc>
        <w:tc>
          <w:tcPr>
            <w:tcW w:w="243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835" w:type="dxa"/>
            <w:vMerge w:val="continue"/>
            <w:tcBorders>
              <w:top w:val="nil"/>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szCs w:val="20"/>
              </w:rPr>
            </w:pPr>
          </w:p>
        </w:tc>
        <w:tc>
          <w:tcPr>
            <w:tcW w:w="1462" w:type="dxa"/>
            <w:vMerge w:val="continue"/>
            <w:tcBorders>
              <w:top w:val="nil"/>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szCs w:val="20"/>
              </w:rPr>
            </w:pPr>
          </w:p>
        </w:tc>
        <w:tc>
          <w:tcPr>
            <w:tcW w:w="91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eastAsia="宋体"/>
                <w:szCs w:val="20"/>
                <w:lang w:val="en-US" w:eastAsia="zh-CN"/>
              </w:rPr>
            </w:pPr>
            <w:r>
              <w:rPr>
                <w:rFonts w:hint="eastAsia" w:ascii="宋体" w:hAnsi="宋体" w:cs="宋体" w:eastAsiaTheme="minorEastAsia"/>
                <w:sz w:val="24"/>
                <w:szCs w:val="20"/>
              </w:rPr>
              <w:t>技术服务方案</w:t>
            </w:r>
            <w:r>
              <w:rPr>
                <w:rFonts w:hint="eastAsia" w:ascii="宋体" w:hAnsi="宋体" w:cs="宋体" w:eastAsiaTheme="minorEastAsia"/>
                <w:sz w:val="24"/>
                <w:szCs w:val="20"/>
                <w:lang w:val="en-US" w:eastAsia="zh-CN"/>
              </w:rPr>
              <w:t>10</w:t>
            </w:r>
            <w:r>
              <w:rPr>
                <w:rFonts w:hint="eastAsia" w:ascii="宋体" w:hAnsi="宋体" w:cs="宋体" w:eastAsiaTheme="minorEastAsia"/>
                <w:sz w:val="24"/>
                <w:szCs w:val="20"/>
              </w:rPr>
              <w:t>分</w:t>
            </w:r>
          </w:p>
        </w:tc>
        <w:tc>
          <w:tcPr>
            <w:tcW w:w="398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szCs w:val="20"/>
              </w:rPr>
            </w:pPr>
            <w:r>
              <w:rPr>
                <w:rFonts w:hint="eastAsia" w:ascii="宋体" w:hAnsi="宋体" w:eastAsia="宋体" w:cs="宋体"/>
                <w:kern w:val="0"/>
                <w:sz w:val="24"/>
                <w:szCs w:val="20"/>
              </w:rPr>
              <w:t>投标人提供适合本项目完善的维保服务方案。方案内容设计合理、全面得10分；方案内容设计缺乏一定合理性得6分；方案内容设计基本合理合得2分；未提供方案不得分。</w:t>
            </w:r>
          </w:p>
        </w:tc>
        <w:tc>
          <w:tcPr>
            <w:tcW w:w="243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szCs w:val="20"/>
              </w:rPr>
            </w:pPr>
            <w:r>
              <w:rPr>
                <w:rFonts w:hint="eastAsia" w:ascii="宋体" w:hAnsi="宋体" w:eastAsia="宋体" w:cs="宋体"/>
                <w:kern w:val="0"/>
                <w:sz w:val="24"/>
                <w:szCs w:val="20"/>
              </w:rPr>
              <w:t>提供方案，格式自拟。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trPr>
        <w:tc>
          <w:tcPr>
            <w:tcW w:w="835" w:type="dxa"/>
            <w:vMerge w:val="restart"/>
            <w:tcBorders>
              <w:top w:val="nil"/>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280" w:firstLineChars="100"/>
              <w:rPr>
                <w:rFonts w:hint="default"/>
                <w:szCs w:val="20"/>
              </w:rPr>
            </w:pPr>
            <w:r>
              <w:rPr>
                <w:rFonts w:hint="eastAsia"/>
                <w:szCs w:val="20"/>
              </w:rPr>
              <w:t>3</w:t>
            </w:r>
          </w:p>
        </w:tc>
        <w:tc>
          <w:tcPr>
            <w:tcW w:w="1462"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szCs w:val="20"/>
              </w:rPr>
            </w:pPr>
            <w:r>
              <w:rPr>
                <w:rFonts w:hint="eastAsia"/>
                <w:szCs w:val="20"/>
              </w:rPr>
              <w:t>商务部分</w:t>
            </w:r>
          </w:p>
          <w:p>
            <w:pPr>
              <w:keepNext w:val="0"/>
              <w:keepLines w:val="0"/>
              <w:suppressLineNumbers w:val="0"/>
              <w:spacing w:before="0" w:beforeAutospacing="0" w:after="0" w:afterAutospacing="0"/>
              <w:ind w:left="0" w:right="0"/>
              <w:rPr>
                <w:rFonts w:hint="default"/>
                <w:szCs w:val="20"/>
              </w:rPr>
            </w:pPr>
            <w:r>
              <w:rPr>
                <w:rFonts w:hint="eastAsia"/>
                <w:szCs w:val="20"/>
              </w:rPr>
              <w:t>（</w:t>
            </w:r>
            <w:r>
              <w:rPr>
                <w:rFonts w:hint="eastAsia"/>
                <w:szCs w:val="20"/>
                <w:lang w:val="en-US" w:eastAsia="zh-CN"/>
              </w:rPr>
              <w:t>3</w:t>
            </w:r>
            <w:r>
              <w:rPr>
                <w:rFonts w:hint="eastAsia"/>
                <w:szCs w:val="20"/>
              </w:rPr>
              <w:t>0%）</w:t>
            </w:r>
          </w:p>
        </w:tc>
        <w:tc>
          <w:tcPr>
            <w:tcW w:w="91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eastAsia="宋体"/>
                <w:szCs w:val="20"/>
                <w:lang w:eastAsia="zh-CN"/>
              </w:rPr>
            </w:pPr>
            <w:r>
              <w:rPr>
                <w:rFonts w:hint="eastAsia"/>
                <w:szCs w:val="20"/>
                <w:lang w:eastAsia="zh-CN"/>
              </w:rPr>
              <w:t>服务业绩</w:t>
            </w:r>
            <w:r>
              <w:rPr>
                <w:rFonts w:hint="eastAsia" w:ascii="宋体" w:hAnsi="宋体" w:cs="宋体" w:eastAsiaTheme="minorEastAsia"/>
                <w:sz w:val="24"/>
                <w:szCs w:val="20"/>
              </w:rPr>
              <w:t>15分</w:t>
            </w:r>
          </w:p>
        </w:tc>
        <w:tc>
          <w:tcPr>
            <w:tcW w:w="398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szCs w:val="20"/>
              </w:rPr>
            </w:pPr>
            <w:r>
              <w:rPr>
                <w:rFonts w:hint="eastAsia" w:ascii="宋体" w:hAnsi="宋体" w:eastAsia="宋体" w:cs="宋体"/>
                <w:kern w:val="0"/>
                <w:sz w:val="24"/>
                <w:szCs w:val="20"/>
              </w:rPr>
              <w:t>20</w:t>
            </w:r>
            <w:r>
              <w:rPr>
                <w:rFonts w:hint="default" w:ascii="宋体" w:hAnsi="宋体" w:eastAsia="宋体" w:cs="宋体"/>
                <w:kern w:val="0"/>
                <w:sz w:val="24"/>
                <w:szCs w:val="20"/>
              </w:rPr>
              <w:t>21</w:t>
            </w:r>
            <w:r>
              <w:rPr>
                <w:rFonts w:hint="eastAsia" w:ascii="宋体" w:hAnsi="宋体" w:eastAsia="宋体" w:cs="宋体"/>
                <w:kern w:val="0"/>
                <w:sz w:val="24"/>
                <w:szCs w:val="20"/>
              </w:rPr>
              <w:t>年1月1日至今（以合同签订时间为准），投标人具有类似L</w:t>
            </w:r>
            <w:r>
              <w:rPr>
                <w:rFonts w:hint="default" w:ascii="宋体" w:hAnsi="宋体" w:eastAsia="宋体" w:cs="宋体"/>
                <w:kern w:val="0"/>
                <w:sz w:val="24"/>
                <w:szCs w:val="20"/>
              </w:rPr>
              <w:t>ED</w:t>
            </w:r>
            <w:r>
              <w:rPr>
                <w:rFonts w:hint="eastAsia" w:ascii="宋体" w:hAnsi="宋体" w:eastAsia="宋体" w:cs="宋体"/>
                <w:kern w:val="0"/>
                <w:sz w:val="24"/>
                <w:szCs w:val="20"/>
              </w:rPr>
              <w:t>显示</w:t>
            </w:r>
            <w:r>
              <w:rPr>
                <w:rFonts w:hint="default" w:ascii="宋体" w:hAnsi="宋体" w:eastAsia="宋体" w:cs="宋体"/>
                <w:kern w:val="0"/>
                <w:sz w:val="24"/>
                <w:szCs w:val="20"/>
              </w:rPr>
              <w:t>屏</w:t>
            </w:r>
            <w:r>
              <w:rPr>
                <w:rFonts w:hint="eastAsia" w:ascii="宋体" w:hAnsi="宋体" w:eastAsia="宋体" w:cs="宋体"/>
                <w:kern w:val="0"/>
                <w:sz w:val="24"/>
                <w:szCs w:val="20"/>
              </w:rPr>
              <w:t>服务业绩，每提供一份业绩得</w:t>
            </w:r>
            <w:r>
              <w:rPr>
                <w:rFonts w:hint="default" w:ascii="宋体" w:hAnsi="宋体" w:eastAsia="宋体" w:cs="宋体"/>
                <w:kern w:val="0"/>
                <w:sz w:val="24"/>
                <w:szCs w:val="20"/>
              </w:rPr>
              <w:t>3</w:t>
            </w:r>
            <w:r>
              <w:rPr>
                <w:rFonts w:hint="eastAsia" w:ascii="宋体" w:hAnsi="宋体" w:eastAsia="宋体" w:cs="宋体"/>
                <w:kern w:val="0"/>
                <w:sz w:val="24"/>
                <w:szCs w:val="20"/>
              </w:rPr>
              <w:t>分，本项最多得</w:t>
            </w:r>
            <w:r>
              <w:rPr>
                <w:rFonts w:hint="default" w:ascii="宋体" w:hAnsi="宋体" w:eastAsia="宋体" w:cs="宋体"/>
                <w:kern w:val="0"/>
                <w:sz w:val="24"/>
                <w:szCs w:val="20"/>
              </w:rPr>
              <w:t>15</w:t>
            </w:r>
            <w:r>
              <w:rPr>
                <w:rFonts w:hint="eastAsia" w:ascii="宋体" w:hAnsi="宋体" w:eastAsia="宋体" w:cs="宋体"/>
                <w:kern w:val="0"/>
                <w:sz w:val="24"/>
                <w:szCs w:val="20"/>
              </w:rPr>
              <w:t>分，不满足或未提供不得分。</w:t>
            </w:r>
          </w:p>
        </w:tc>
        <w:tc>
          <w:tcPr>
            <w:tcW w:w="243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kern w:val="0"/>
                <w:sz w:val="24"/>
                <w:szCs w:val="20"/>
              </w:rPr>
            </w:pPr>
            <w:r>
              <w:rPr>
                <w:rFonts w:hint="eastAsia" w:ascii="宋体" w:hAnsi="宋体" w:eastAsia="宋体" w:cs="宋体"/>
                <w:kern w:val="0"/>
                <w:sz w:val="24"/>
                <w:szCs w:val="20"/>
              </w:rPr>
              <w:t>提供服务合同（含合同首页、标的页、合同缔约双方签字盖章页）复印件。</w:t>
            </w:r>
          </w:p>
          <w:p>
            <w:pPr>
              <w:keepNext w:val="0"/>
              <w:keepLines w:val="0"/>
              <w:suppressLineNumbers w:val="0"/>
              <w:spacing w:before="0" w:beforeAutospacing="0" w:after="0" w:afterAutospacing="0"/>
              <w:ind w:left="0" w:right="0"/>
              <w:rPr>
                <w:rFonts w:hint="default"/>
                <w:szCs w:val="20"/>
              </w:rPr>
            </w:pPr>
            <w:r>
              <w:rPr>
                <w:rFonts w:hint="eastAsia" w:ascii="宋体" w:hAnsi="宋体" w:eastAsia="宋体" w:cs="宋体"/>
                <w:kern w:val="0"/>
                <w:sz w:val="24"/>
                <w:szCs w:val="20"/>
              </w:rPr>
              <w:t>注</w:t>
            </w:r>
            <w:r>
              <w:rPr>
                <w:rFonts w:hint="default" w:ascii="宋体" w:hAnsi="宋体" w:eastAsia="宋体" w:cs="宋体"/>
                <w:kern w:val="0"/>
                <w:sz w:val="24"/>
                <w:szCs w:val="20"/>
              </w:rPr>
              <w:t>：</w:t>
            </w:r>
            <w:r>
              <w:rPr>
                <w:rFonts w:hint="eastAsia" w:ascii="宋体" w:hAnsi="宋体" w:eastAsia="宋体" w:cs="宋体"/>
                <w:kern w:val="0"/>
                <w:sz w:val="24"/>
                <w:szCs w:val="20"/>
              </w:rPr>
              <w:t>合同原件备查。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Merge w:val="continue"/>
            <w:tcBorders>
              <w:top w:val="nil"/>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szCs w:val="20"/>
              </w:rPr>
            </w:pPr>
          </w:p>
        </w:tc>
        <w:tc>
          <w:tcPr>
            <w:tcW w:w="1462"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szCs w:val="20"/>
              </w:rPr>
            </w:pPr>
          </w:p>
        </w:tc>
        <w:tc>
          <w:tcPr>
            <w:tcW w:w="91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szCs w:val="20"/>
              </w:rPr>
            </w:pPr>
            <w:r>
              <w:rPr>
                <w:rFonts w:hint="eastAsia" w:ascii="宋体" w:hAnsi="宋体" w:cs="宋体" w:eastAsiaTheme="minorEastAsia"/>
                <w:sz w:val="24"/>
                <w:szCs w:val="20"/>
              </w:rPr>
              <w:t>综合实力</w:t>
            </w:r>
            <w:r>
              <w:rPr>
                <w:rFonts w:hint="default" w:ascii="宋体" w:hAnsi="宋体" w:cs="宋体" w:eastAsiaTheme="minorEastAsia"/>
                <w:sz w:val="24"/>
                <w:szCs w:val="20"/>
              </w:rPr>
              <w:t>15</w:t>
            </w:r>
            <w:r>
              <w:rPr>
                <w:rFonts w:hint="eastAsia" w:ascii="宋体" w:hAnsi="宋体" w:cs="宋体" w:eastAsiaTheme="minorEastAsia"/>
                <w:sz w:val="24"/>
                <w:szCs w:val="20"/>
              </w:rPr>
              <w:t>分</w:t>
            </w:r>
          </w:p>
        </w:tc>
        <w:tc>
          <w:tcPr>
            <w:tcW w:w="398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kern w:val="0"/>
                <w:sz w:val="24"/>
                <w:szCs w:val="20"/>
              </w:rPr>
            </w:pPr>
            <w:r>
              <w:rPr>
                <w:rFonts w:hint="eastAsia" w:ascii="宋体" w:hAnsi="宋体" w:eastAsia="宋体" w:cs="宋体"/>
                <w:kern w:val="0"/>
                <w:sz w:val="24"/>
                <w:szCs w:val="20"/>
              </w:rPr>
              <w:t>1.投标人具备质量、服务、诚信等级评审证书AAA级</w:t>
            </w:r>
            <w:r>
              <w:rPr>
                <w:rFonts w:hint="default" w:ascii="宋体" w:hAnsi="宋体" w:eastAsia="宋体" w:cs="宋体"/>
                <w:kern w:val="0"/>
                <w:sz w:val="24"/>
                <w:szCs w:val="20"/>
              </w:rPr>
              <w:t>，</w:t>
            </w:r>
            <w:r>
              <w:rPr>
                <w:rFonts w:hint="eastAsia" w:ascii="宋体" w:hAnsi="宋体" w:eastAsia="宋体" w:cs="宋体"/>
                <w:kern w:val="0"/>
                <w:sz w:val="24"/>
                <w:szCs w:val="20"/>
              </w:rPr>
              <w:t>得</w:t>
            </w:r>
            <w:r>
              <w:rPr>
                <w:rFonts w:hint="default" w:ascii="宋体" w:hAnsi="宋体" w:eastAsia="宋体" w:cs="宋体"/>
                <w:kern w:val="0"/>
                <w:sz w:val="24"/>
                <w:szCs w:val="20"/>
              </w:rPr>
              <w:t>5</w:t>
            </w:r>
            <w:r>
              <w:rPr>
                <w:rFonts w:hint="eastAsia" w:ascii="宋体" w:hAnsi="宋体" w:eastAsia="宋体" w:cs="宋体"/>
                <w:kern w:val="0"/>
                <w:sz w:val="24"/>
                <w:szCs w:val="20"/>
              </w:rPr>
              <w:t>分，本项最多得</w:t>
            </w:r>
            <w:r>
              <w:rPr>
                <w:rFonts w:hint="default" w:ascii="宋体" w:hAnsi="宋体" w:eastAsia="宋体" w:cs="宋体"/>
                <w:kern w:val="0"/>
                <w:sz w:val="24"/>
                <w:szCs w:val="20"/>
              </w:rPr>
              <w:t>5</w:t>
            </w:r>
            <w:r>
              <w:rPr>
                <w:rFonts w:hint="eastAsia" w:ascii="宋体" w:hAnsi="宋体" w:eastAsia="宋体" w:cs="宋体"/>
                <w:kern w:val="0"/>
                <w:sz w:val="24"/>
                <w:szCs w:val="20"/>
              </w:rPr>
              <w:t>分，不满足或未提供不得分。</w:t>
            </w:r>
          </w:p>
          <w:p>
            <w:pPr>
              <w:keepNext w:val="0"/>
              <w:keepLines w:val="0"/>
              <w:suppressLineNumbers w:val="0"/>
              <w:spacing w:before="0" w:beforeAutospacing="0" w:after="0" w:afterAutospacing="0"/>
              <w:ind w:left="0" w:right="0"/>
              <w:rPr>
                <w:rFonts w:hint="default"/>
                <w:szCs w:val="20"/>
              </w:rPr>
            </w:pPr>
            <w:r>
              <w:rPr>
                <w:rFonts w:hint="default" w:ascii="宋体" w:hAnsi="宋体" w:eastAsia="宋体" w:cs="宋体"/>
                <w:kern w:val="0"/>
                <w:sz w:val="24"/>
                <w:szCs w:val="20"/>
              </w:rPr>
              <w:t>2.</w:t>
            </w:r>
            <w:r>
              <w:rPr>
                <w:rFonts w:hint="eastAsia" w:ascii="宋体" w:hAnsi="宋体" w:eastAsia="宋体" w:cs="宋体"/>
                <w:kern w:val="0"/>
                <w:sz w:val="24"/>
                <w:szCs w:val="20"/>
              </w:rPr>
              <w:t>投标人所派技术维护人员中具有登高架设作业证、机械设备安装工（中级）证</w:t>
            </w:r>
            <w:r>
              <w:rPr>
                <w:rFonts w:hint="default" w:ascii="宋体" w:hAnsi="宋体" w:eastAsia="宋体" w:cs="宋体"/>
                <w:kern w:val="0"/>
                <w:sz w:val="24"/>
                <w:szCs w:val="20"/>
              </w:rPr>
              <w:t>、</w:t>
            </w:r>
            <w:r>
              <w:rPr>
                <w:rFonts w:hint="eastAsia" w:ascii="宋体" w:hAnsi="宋体" w:eastAsia="宋体" w:cs="宋体"/>
                <w:kern w:val="0"/>
                <w:sz w:val="24"/>
                <w:szCs w:val="20"/>
              </w:rPr>
              <w:t>低压电工作业证、高压电工作业证等，每提供1个证书得</w:t>
            </w:r>
            <w:r>
              <w:rPr>
                <w:rFonts w:hint="default" w:ascii="宋体" w:hAnsi="宋体" w:eastAsia="宋体" w:cs="宋体"/>
                <w:kern w:val="0"/>
                <w:sz w:val="24"/>
                <w:szCs w:val="20"/>
              </w:rPr>
              <w:t>2.5</w:t>
            </w:r>
            <w:r>
              <w:rPr>
                <w:rFonts w:hint="eastAsia" w:ascii="宋体" w:hAnsi="宋体" w:eastAsia="宋体" w:cs="宋体"/>
                <w:kern w:val="0"/>
                <w:sz w:val="24"/>
                <w:szCs w:val="20"/>
              </w:rPr>
              <w:t>分，本项最多得</w:t>
            </w:r>
            <w:r>
              <w:rPr>
                <w:rFonts w:hint="default" w:ascii="宋体" w:hAnsi="宋体" w:eastAsia="宋体" w:cs="宋体"/>
                <w:kern w:val="0"/>
                <w:sz w:val="24"/>
                <w:szCs w:val="20"/>
              </w:rPr>
              <w:t>10</w:t>
            </w:r>
            <w:r>
              <w:rPr>
                <w:rFonts w:hint="eastAsia" w:ascii="宋体" w:hAnsi="宋体" w:eastAsia="宋体" w:cs="宋体"/>
                <w:kern w:val="0"/>
                <w:sz w:val="24"/>
                <w:szCs w:val="20"/>
              </w:rPr>
              <w:t>分，不满足或未提供不得分。</w:t>
            </w:r>
          </w:p>
        </w:tc>
        <w:tc>
          <w:tcPr>
            <w:tcW w:w="243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kern w:val="0"/>
                <w:sz w:val="24"/>
                <w:szCs w:val="20"/>
              </w:rPr>
            </w:pPr>
            <w:r>
              <w:rPr>
                <w:rFonts w:hint="eastAsia" w:ascii="宋体" w:hAnsi="宋体" w:eastAsia="宋体" w:cs="宋体"/>
                <w:kern w:val="0"/>
                <w:sz w:val="24"/>
                <w:szCs w:val="20"/>
              </w:rPr>
              <w:t>提供证书复印件，以及投标人为持证人员自202</w:t>
            </w:r>
            <w:r>
              <w:rPr>
                <w:rFonts w:hint="default" w:ascii="宋体" w:hAnsi="宋体" w:eastAsia="宋体" w:cs="宋体"/>
                <w:kern w:val="0"/>
                <w:sz w:val="24"/>
                <w:szCs w:val="20"/>
              </w:rPr>
              <w:t>6</w:t>
            </w:r>
            <w:r>
              <w:rPr>
                <w:rFonts w:hint="eastAsia" w:ascii="宋体" w:hAnsi="宋体" w:eastAsia="宋体" w:cs="宋体"/>
                <w:kern w:val="0"/>
                <w:sz w:val="24"/>
                <w:szCs w:val="20"/>
              </w:rPr>
              <w:t>年以来任意一月的社保证明材料复印件（或与其签订的劳动合同复印件）。</w:t>
            </w:r>
          </w:p>
          <w:p>
            <w:pPr>
              <w:keepNext w:val="0"/>
              <w:keepLines w:val="0"/>
              <w:suppressLineNumbers w:val="0"/>
              <w:spacing w:before="0" w:beforeAutospacing="0" w:after="0" w:afterAutospacing="0"/>
              <w:ind w:left="0" w:right="0"/>
              <w:rPr>
                <w:rFonts w:hint="default"/>
                <w:szCs w:val="20"/>
              </w:rPr>
            </w:pPr>
            <w:r>
              <w:rPr>
                <w:rFonts w:hint="eastAsia" w:ascii="宋体" w:hAnsi="宋体" w:eastAsia="宋体" w:cs="宋体"/>
                <w:kern w:val="0"/>
                <w:sz w:val="24"/>
                <w:szCs w:val="20"/>
              </w:rPr>
              <w:t>注：一人持有多项不同证书仅计分一次。</w:t>
            </w:r>
          </w:p>
        </w:tc>
      </w:tr>
    </w:tbl>
    <w:p>
      <w:pPr>
        <w:numPr>
          <w:ilvl w:val="0"/>
          <w:numId w:val="0"/>
        </w:numPr>
        <w:ind w:leftChars="200"/>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20" w:lineRule="exac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ascii="微软雅黑" w:hAnsi="微软雅黑" w:eastAsia="微软雅黑" w:cs="微软雅黑"/>
          <w:sz w:val="24"/>
          <w:lang w:val="en-US" w:eastAsia="zh-CN"/>
        </w:rPr>
      </w:pPr>
      <w:bookmarkStart w:id="112" w:name="_Toc15660"/>
      <w:bookmarkStart w:id="113" w:name="_Toc29489"/>
      <w:r>
        <w:rPr>
          <w:rFonts w:hint="eastAsia" w:ascii="微软雅黑" w:hAnsi="微软雅黑" w:eastAsia="微软雅黑" w:cs="微软雅黑"/>
          <w:sz w:val="24"/>
          <w:lang w:val="en-US" w:eastAsia="zh-CN"/>
        </w:rPr>
        <w:br w:type="page"/>
      </w:r>
    </w:p>
    <w:p>
      <w:pPr>
        <w:pStyle w:val="4"/>
        <w:adjustRightInd w:val="0"/>
        <w:snapToGrid w:val="0"/>
        <w:spacing w:before="0" w:after="0" w:line="400" w:lineRule="exact"/>
        <w:ind w:firstLine="240" w:firstLineChars="1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99"/>
      <w:bookmarkEnd w:id="100"/>
      <w:bookmarkEnd w:id="101"/>
      <w:bookmarkEnd w:id="112"/>
      <w:bookmarkEnd w:id="113"/>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投标</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u w:val="none"/>
          <w:lang w:eastAsia="zh-CN"/>
        </w:rPr>
        <w:t>（十）</w:t>
      </w:r>
      <w:r>
        <w:rPr>
          <w:rFonts w:hint="eastAsia" w:ascii="微软雅黑" w:hAnsi="微软雅黑" w:eastAsia="微软雅黑" w:cs="微软雅黑"/>
          <w:sz w:val="24"/>
          <w:szCs w:val="24"/>
          <w:lang w:eastAsia="zh-CN"/>
        </w:rPr>
        <w:t>法律、法规和</w:t>
      </w:r>
      <w:r>
        <w:rPr>
          <w:rFonts w:hint="eastAsia" w:ascii="微软雅黑" w:hAnsi="微软雅黑" w:eastAsia="微软雅黑" w:cs="微软雅黑"/>
          <w:sz w:val="24"/>
          <w:szCs w:val="24"/>
          <w:lang w:val="en-US" w:eastAsia="zh-CN"/>
        </w:rPr>
        <w:t>采购</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bookmarkStart w:id="114" w:name="_Toc106030891"/>
      <w:bookmarkStart w:id="115" w:name="_Toc10687"/>
      <w:bookmarkStart w:id="116" w:name="_Toc76462336"/>
      <w:bookmarkStart w:id="117" w:name="_Toc29702"/>
      <w:bookmarkStart w:id="118" w:name="_Toc15885"/>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102"/>
      <w:bookmarkEnd w:id="103"/>
      <w:bookmarkEnd w:id="114"/>
      <w:bookmarkEnd w:id="115"/>
      <w:bookmarkEnd w:id="116"/>
      <w:r>
        <w:rPr>
          <w:rFonts w:hint="eastAsia" w:ascii="微软雅黑" w:hAnsi="微软雅黑" w:eastAsia="微软雅黑" w:cs="微软雅黑"/>
          <w:sz w:val="24"/>
          <w:lang w:val="en-US" w:eastAsia="zh-CN"/>
        </w:rPr>
        <w:t>废标条款</w:t>
      </w:r>
      <w:bookmarkEnd w:id="117"/>
      <w:bookmarkEnd w:id="11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（三）在采购过程中符合要求的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或者报价未超过采购预算的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不足3家的</w:t>
      </w:r>
      <w:r>
        <w:rPr>
          <w:rFonts w:hint="eastAsia" w:ascii="微软雅黑" w:hAnsi="微软雅黑" w:eastAsia="微软雅黑" w:cs="微软雅黑"/>
          <w:sz w:val="24"/>
          <w:szCs w:val="24"/>
          <w:lang w:eastAsia="zh-CN"/>
        </w:rPr>
        <w:t>；</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微软雅黑" w:hAnsi="微软雅黑" w:eastAsia="微软雅黑" w:cs="微软雅黑"/>
          <w:b/>
          <w:bCs w:val="0"/>
          <w:sz w:val="44"/>
          <w:szCs w:val="20"/>
        </w:rPr>
      </w:pPr>
      <w:bookmarkStart w:id="119" w:name="_Toc102227313"/>
      <w:bookmarkStart w:id="120" w:name="_Toc106030892"/>
      <w:bookmarkStart w:id="121" w:name="_Toc76462337"/>
      <w:bookmarkStart w:id="122" w:name="_Toc19388"/>
      <w:bookmarkStart w:id="123" w:name="_Toc29948"/>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19"/>
      <w:bookmarkEnd w:id="120"/>
      <w:bookmarkEnd w:id="121"/>
      <w:bookmarkEnd w:id="122"/>
      <w:bookmarkEnd w:id="12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4" w:name="_Toc342913389"/>
      <w:bookmarkStart w:id="125" w:name="_Toc76462338"/>
      <w:bookmarkStart w:id="126" w:name="_Toc106030893"/>
      <w:bookmarkStart w:id="127" w:name="_Toc26717"/>
      <w:bookmarkStart w:id="128" w:name="_Toc32169"/>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24"/>
      <w:bookmarkEnd w:id="125"/>
      <w:bookmarkEnd w:id="126"/>
      <w:bookmarkEnd w:id="127"/>
      <w:bookmarkEnd w:id="128"/>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29479"/>
      <w:bookmarkStart w:id="130" w:name="_Toc76462339"/>
      <w:bookmarkStart w:id="131" w:name="_Toc15712"/>
      <w:bookmarkStart w:id="132" w:name="_Toc106030894"/>
      <w:bookmarkStart w:id="133" w:name="_Toc342913391"/>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29"/>
      <w:bookmarkEnd w:id="130"/>
      <w:bookmarkEnd w:id="131"/>
      <w:bookmarkEnd w:id="132"/>
      <w:bookmarkEnd w:id="133"/>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34" w:name="_Toc318159780"/>
      <w:bookmarkStart w:id="135" w:name="_Toc318159349"/>
      <w:bookmarkStart w:id="136" w:name="_Toc318159160"/>
      <w:bookmarkStart w:id="137" w:name="_Toc318166429"/>
    </w:p>
    <w:bookmarkEnd w:id="134"/>
    <w:bookmarkEnd w:id="135"/>
    <w:bookmarkEnd w:id="136"/>
    <w:bookmarkEnd w:id="137"/>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8" w:name="_Toc106030895"/>
      <w:bookmarkStart w:id="139" w:name="_Toc76462340"/>
      <w:bookmarkStart w:id="140" w:name="_Toc179714297"/>
      <w:bookmarkStart w:id="141" w:name="_Toc102227318"/>
      <w:bookmarkStart w:id="142" w:name="_Toc342913392"/>
      <w:bookmarkStart w:id="143" w:name="_Toc23630"/>
      <w:bookmarkStart w:id="144" w:name="_Toc26007"/>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38"/>
      <w:bookmarkEnd w:id="139"/>
      <w:bookmarkEnd w:id="140"/>
      <w:bookmarkEnd w:id="141"/>
      <w:bookmarkEnd w:id="142"/>
      <w:bookmarkEnd w:id="143"/>
      <w:bookmarkEnd w:id="14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5" w:name="_Toc6435"/>
      <w:bookmarkStart w:id="146" w:name="_Toc76462341"/>
      <w:bookmarkStart w:id="147" w:name="_Toc106030896"/>
      <w:bookmarkStart w:id="148" w:name="_Toc16798"/>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5"/>
      <w:bookmarkEnd w:id="146"/>
      <w:bookmarkEnd w:id="147"/>
      <w:bookmarkEnd w:id="148"/>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9" w:name="_Toc342913395"/>
      <w:bookmarkStart w:id="150" w:name="_Toc106030897"/>
      <w:bookmarkStart w:id="151" w:name="_Toc102227321"/>
      <w:bookmarkStart w:id="152" w:name="_Toc76462342"/>
      <w:bookmarkStart w:id="153" w:name="_Toc30288"/>
      <w:bookmarkStart w:id="154" w:name="_Toc21532"/>
      <w:r>
        <w:rPr>
          <w:rFonts w:hint="eastAsia" w:ascii="微软雅黑" w:hAnsi="微软雅黑" w:eastAsia="微软雅黑" w:cs="微软雅黑"/>
          <w:sz w:val="24"/>
        </w:rPr>
        <w:t>五、成交通知</w:t>
      </w:r>
      <w:bookmarkEnd w:id="149"/>
      <w:bookmarkEnd w:id="150"/>
      <w:bookmarkEnd w:id="151"/>
      <w:bookmarkEnd w:id="152"/>
      <w:bookmarkEnd w:id="153"/>
      <w:bookmarkEnd w:id="15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val="en-US" w:eastAsia="zh-CN"/>
        </w:rPr>
        <w:t>采购管理处公室</w:t>
      </w:r>
      <w:r>
        <w:rPr>
          <w:rFonts w:hint="eastAsia" w:ascii="微软雅黑" w:hAnsi="微软雅黑" w:eastAsia="微软雅黑" w:cs="微软雅黑"/>
          <w:sz w:val="24"/>
          <w:szCs w:val="24"/>
        </w:rPr>
        <w:t>将平台内发出《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5" w:name="_Toc5511"/>
      <w:bookmarkStart w:id="156" w:name="_Toc106030898"/>
      <w:bookmarkStart w:id="157" w:name="_Toc21448"/>
      <w:bookmarkStart w:id="158" w:name="_Toc76462343"/>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55"/>
      <w:bookmarkEnd w:id="156"/>
      <w:bookmarkEnd w:id="157"/>
      <w:bookmarkEnd w:id="15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59" w:name="_Toc106030899"/>
      <w:bookmarkStart w:id="160" w:name="_Toc76462344"/>
      <w:bookmarkStart w:id="161" w:name="_Toc28334"/>
    </w:p>
    <w:p>
      <w:pPr>
        <w:pStyle w:val="4"/>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2" w:name="_Toc32363"/>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59"/>
      <w:bookmarkEnd w:id="160"/>
      <w:bookmarkEnd w:id="161"/>
      <w:bookmarkStart w:id="163" w:name="_Toc102227322"/>
      <w:bookmarkStart w:id="164" w:name="_Toc76462346"/>
      <w:bookmarkStart w:id="165" w:name="_Toc342913396"/>
      <w:bookmarkStart w:id="166" w:name="_Toc3372"/>
      <w:bookmarkStart w:id="167" w:name="_Toc106030901"/>
      <w:bookmarkStart w:id="168" w:name="_Toc11641055"/>
      <w:bookmarkStart w:id="169" w:name="_Toc12789059"/>
      <w:r>
        <w:rPr>
          <w:rFonts w:hint="eastAsia" w:ascii="微软雅黑" w:hAnsi="微软雅黑" w:eastAsia="微软雅黑" w:cs="微软雅黑"/>
          <w:color w:val="auto"/>
          <w:sz w:val="24"/>
        </w:rPr>
        <w:t>签订</w:t>
      </w:r>
      <w:bookmarkEnd w:id="163"/>
      <w:r>
        <w:rPr>
          <w:rFonts w:hint="eastAsia" w:ascii="微软雅黑" w:hAnsi="微软雅黑" w:eastAsia="微软雅黑" w:cs="微软雅黑"/>
          <w:color w:val="auto"/>
          <w:sz w:val="24"/>
        </w:rPr>
        <w:t>合同</w:t>
      </w:r>
      <w:bookmarkEnd w:id="162"/>
      <w:bookmarkEnd w:id="164"/>
      <w:bookmarkEnd w:id="165"/>
      <w:bookmarkEnd w:id="166"/>
      <w:bookmarkEnd w:id="167"/>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68"/>
      <w:bookmarkEnd w:id="169"/>
    </w:p>
    <w:p>
      <w:pPr>
        <w:pStyle w:val="4"/>
        <w:spacing w:before="200" w:after="200" w:line="240" w:lineRule="auto"/>
        <w:jc w:val="center"/>
        <w:rPr>
          <w:rFonts w:hint="eastAsia" w:ascii="微软雅黑" w:hAnsi="微软雅黑" w:eastAsia="微软雅黑" w:cs="微软雅黑"/>
          <w:b/>
          <w:sz w:val="44"/>
          <w:szCs w:val="20"/>
        </w:rPr>
      </w:pPr>
      <w:bookmarkStart w:id="170" w:name="_Hlt41879464"/>
      <w:bookmarkEnd w:id="170"/>
      <w:bookmarkStart w:id="171" w:name="_Toc27984"/>
      <w:bookmarkStart w:id="172" w:name="_Toc13524"/>
      <w:bookmarkStart w:id="173" w:name="_Toc76462349"/>
      <w:bookmarkStart w:id="174" w:name="_Toc106030905"/>
      <w:r>
        <w:rPr>
          <w:rFonts w:hint="eastAsia" w:ascii="微软雅黑" w:hAnsi="微软雅黑" w:eastAsia="微软雅黑" w:cs="微软雅黑"/>
          <w:b/>
          <w:sz w:val="44"/>
          <w:szCs w:val="20"/>
        </w:rPr>
        <w:t>第六篇  响应文件编制要求</w:t>
      </w:r>
      <w:bookmarkEnd w:id="171"/>
      <w:bookmarkEnd w:id="172"/>
      <w:bookmarkEnd w:id="173"/>
      <w:bookmarkEnd w:id="17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综合评标服务部分应答材料（格式内容自拟）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default" w:ascii="微软雅黑" w:hAnsi="微软雅黑" w:eastAsia="微软雅黑" w:cs="微软雅黑"/>
          <w:sz w:val="24"/>
          <w:szCs w:val="24"/>
          <w:lang w:val="en-US" w:eastAsia="zh-CN"/>
        </w:rPr>
      </w:pP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微软雅黑" w:hAnsi="微软雅黑" w:eastAsia="微软雅黑" w:cs="微软雅黑"/>
          <w:sz w:val="24"/>
          <w:szCs w:val="24"/>
          <w:lang w:val="en-US" w:eastAsia="zh-CN"/>
        </w:rPr>
      </w:pPr>
      <w:bookmarkStart w:id="175" w:name="_Toc313008356"/>
      <w:bookmarkStart w:id="176" w:name="_Toc106030906"/>
      <w:bookmarkStart w:id="177" w:name="_Toc15994"/>
      <w:bookmarkStart w:id="178" w:name="_Toc313888360"/>
      <w:bookmarkStart w:id="179" w:name="_Toc342913419"/>
      <w:bookmarkStart w:id="180" w:name="_Toc76462350"/>
      <w:bookmarkStart w:id="181" w:name="_Toc283382454"/>
      <w:bookmarkStart w:id="182" w:name="_Toc12789073"/>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公开比选采购</w:t>
      </w: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响应文件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 xml:space="preserve">投标人法定代表人（或授权代理人）： </w:t>
      </w:r>
      <w:r>
        <w:rPr>
          <w:rFonts w:hint="eastAsia" w:ascii="微软雅黑" w:hAnsi="微软雅黑" w:eastAsia="微软雅黑" w:cs="微软雅黑"/>
          <w:sz w:val="28"/>
          <w:szCs w:val="28"/>
          <w:u w:val="single"/>
          <w:lang w:val="en-US" w:eastAsia="zh-CN"/>
        </w:rPr>
        <w:t xml:space="preserve">         </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hint="eastAsia" w:ascii="微软雅黑" w:hAnsi="微软雅黑" w:eastAsia="微软雅黑" w:cs="微软雅黑"/>
          <w:sz w:val="36"/>
          <w:szCs w:val="36"/>
        </w:rPr>
        <w:t>二〇二X年X月</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83" w:name="_Toc12364"/>
      <w:r>
        <w:rPr>
          <w:rFonts w:hint="eastAsia" w:ascii="微软雅黑" w:hAnsi="微软雅黑" w:eastAsia="微软雅黑" w:cs="微软雅黑"/>
          <w:sz w:val="24"/>
        </w:rPr>
        <w:t>一、经济部分</w:t>
      </w:r>
      <w:bookmarkEnd w:id="175"/>
      <w:bookmarkEnd w:id="176"/>
      <w:bookmarkEnd w:id="177"/>
      <w:bookmarkEnd w:id="178"/>
      <w:bookmarkEnd w:id="179"/>
      <w:bookmarkEnd w:id="180"/>
      <w:bookmarkEnd w:id="183"/>
    </w:p>
    <w:bookmarkEnd w:id="181"/>
    <w:bookmarkEnd w:id="182"/>
    <w:p>
      <w:pPr>
        <w:ind w:firstLine="240" w:firstLineChars="100"/>
        <w:jc w:val="left"/>
        <w:rPr>
          <w:rFonts w:hint="default" w:ascii="微软雅黑" w:hAnsi="微软雅黑" w:eastAsia="微软雅黑" w:cs="微软雅黑"/>
          <w:b/>
          <w:szCs w:val="28"/>
          <w:lang w:val="en-US" w:eastAsia="zh-CN"/>
        </w:rPr>
      </w:pPr>
      <w:r>
        <w:rPr>
          <w:rFonts w:hint="eastAsia" w:ascii="微软雅黑" w:hAnsi="微软雅黑" w:eastAsia="微软雅黑" w:cs="微软雅黑"/>
          <w:b w:val="0"/>
          <w:bCs/>
          <w:sz w:val="24"/>
          <w:szCs w:val="24"/>
          <w:lang w:val="en-US" w:eastAsia="zh-CN"/>
        </w:rPr>
        <w:t>（一）开标一览表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pPr>
        <w:tabs>
          <w:tab w:val="left" w:pos="6300"/>
        </w:tabs>
        <w:snapToGrid w:val="0"/>
        <w:spacing w:line="312" w:lineRule="auto"/>
        <w:ind w:firstLine="480" w:firstLineChars="200"/>
        <w:jc w:val="left"/>
        <w:rPr>
          <w:rFonts w:hint="eastAsia" w:ascii="微软雅黑" w:hAnsi="微软雅黑" w:eastAsia="微软雅黑" w:cs="微软雅黑"/>
          <w:b w:val="0"/>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合同期限</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rPr>
          <w:rFonts w:hint="eastAsia" w:ascii="微软雅黑" w:hAnsi="微软雅黑" w:eastAsia="微软雅黑" w:cs="微软雅黑"/>
          <w:sz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sz w:val="24"/>
        </w:rPr>
        <w:br w:type="page"/>
      </w:r>
    </w:p>
    <w:p>
      <w:pPr>
        <w:pStyle w:val="4"/>
        <w:adjustRightInd w:val="0"/>
        <w:snapToGrid w:val="0"/>
        <w:spacing w:before="0" w:after="0" w:line="400" w:lineRule="exact"/>
        <w:ind w:firstLine="240" w:firstLineChars="100"/>
        <w:rPr>
          <w:rFonts w:hint="eastAsia" w:ascii="微软雅黑" w:hAnsi="微软雅黑" w:eastAsia="微软雅黑" w:cs="微软雅黑"/>
          <w:sz w:val="24"/>
        </w:rPr>
      </w:pPr>
      <w:bookmarkStart w:id="184" w:name="_Toc19447"/>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技术</w:t>
      </w:r>
      <w:r>
        <w:rPr>
          <w:rFonts w:hint="eastAsia" w:ascii="微软雅黑" w:hAnsi="微软雅黑" w:eastAsia="微软雅黑" w:cs="微软雅黑"/>
          <w:sz w:val="24"/>
        </w:rPr>
        <w:t>部分</w:t>
      </w:r>
      <w:bookmarkEnd w:id="184"/>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技术要求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default" w:ascii="微软雅黑" w:hAnsi="微软雅黑" w:eastAsia="微软雅黑" w:cs="微软雅黑"/>
          <w:szCs w:val="24"/>
          <w:lang w:val="en-US" w:eastAsia="zh-CN"/>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综合评标技术部分应答材料（格式内容自拟）</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185" w:name="_Toc342913421"/>
      <w:bookmarkStart w:id="186" w:name="_Toc20531"/>
      <w:bookmarkStart w:id="187" w:name="_Toc30639"/>
      <w:bookmarkStart w:id="188" w:name="_Toc313008358"/>
      <w:bookmarkStart w:id="189" w:name="_Toc76462352"/>
      <w:bookmarkStart w:id="190" w:name="_Toc313888362"/>
      <w:bookmarkStart w:id="191" w:name="_Toc106030908"/>
      <w:r>
        <w:rPr>
          <w:rFonts w:hint="eastAsia" w:ascii="微软雅黑" w:hAnsi="微软雅黑" w:eastAsia="微软雅黑" w:cs="微软雅黑"/>
          <w:sz w:val="24"/>
        </w:rPr>
        <w:t>三、商务部分</w:t>
      </w:r>
      <w:bookmarkEnd w:id="185"/>
      <w:bookmarkEnd w:id="186"/>
      <w:bookmarkEnd w:id="187"/>
      <w:bookmarkEnd w:id="188"/>
      <w:bookmarkEnd w:id="189"/>
      <w:bookmarkEnd w:id="190"/>
      <w:bookmarkEnd w:id="191"/>
    </w:p>
    <w:p>
      <w:pPr>
        <w:tabs>
          <w:tab w:val="left" w:pos="6300"/>
        </w:tabs>
        <w:snapToGrid w:val="0"/>
        <w:spacing w:line="400" w:lineRule="exact"/>
        <w:ind w:firstLine="480" w:firstLineChars="200"/>
        <w:rPr>
          <w:rFonts w:hint="eastAsia" w:ascii="微软雅黑" w:hAnsi="微软雅黑" w:eastAsia="微软雅黑" w:cs="微软雅黑"/>
          <w:szCs w:val="24"/>
        </w:rPr>
      </w:pPr>
      <w:bookmarkStart w:id="192" w:name="_Toc283382459"/>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商务要求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篇  项目</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192"/>
      <w:bookmarkStart w:id="193" w:name="_Toc342913422"/>
      <w:bookmarkStart w:id="194" w:name="_Toc76462353"/>
      <w:bookmarkStart w:id="195" w:name="_Toc313008359"/>
      <w:bookmarkStart w:id="196" w:name="_Toc313888363"/>
      <w:bookmarkStart w:id="197" w:name="_Toc106030909"/>
      <w:bookmarkStart w:id="198" w:name="_Toc26948"/>
      <w:bookmarkStart w:id="199" w:name="_Toc31101"/>
      <w:r>
        <w:rPr>
          <w:rFonts w:hint="eastAsia" w:ascii="微软雅黑" w:hAnsi="微软雅黑" w:eastAsia="微软雅黑" w:cs="微软雅黑"/>
          <w:sz w:val="24"/>
        </w:rPr>
        <w:t>四、资格条件</w:t>
      </w:r>
      <w:bookmarkEnd w:id="193"/>
      <w:bookmarkEnd w:id="194"/>
      <w:bookmarkEnd w:id="195"/>
      <w:bookmarkEnd w:id="196"/>
      <w:bookmarkEnd w:id="197"/>
      <w:bookmarkEnd w:id="198"/>
      <w:bookmarkEnd w:id="199"/>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w:t>
      </w:r>
      <w:r>
        <w:rPr>
          <w:rFonts w:hint="eastAsia" w:ascii="微软雅黑" w:hAnsi="微软雅黑" w:eastAsia="微软雅黑" w:cs="微软雅黑"/>
          <w:sz w:val="24"/>
          <w:lang w:val="en-US" w:eastAsia="zh-CN"/>
        </w:rPr>
        <w:t>投标</w:t>
      </w:r>
      <w:r>
        <w:rPr>
          <w:rFonts w:hint="eastAsia" w:ascii="微软雅黑" w:hAnsi="微软雅黑" w:eastAsia="微软雅黑" w:cs="微软雅黑"/>
          <w:sz w:val="24"/>
        </w:rPr>
        <w:t>、签约等具体工作，并签署全部有关文件、协议及合同。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被授权人：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none"/>
        </w:rPr>
        <w:t xml:space="preserve">  重庆医科大学附属儿童医院  </w:t>
      </w:r>
      <w:r>
        <w:rPr>
          <w:rFonts w:hint="eastAsia" w:ascii="微软雅黑" w:hAnsi="微软雅黑" w:eastAsia="微软雅黑" w:cs="微软雅黑"/>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w:t>
      </w:r>
      <w:r>
        <w:rPr>
          <w:rFonts w:hint="eastAsia" w:ascii="微软雅黑" w:hAnsi="微软雅黑" w:eastAsia="微软雅黑" w:cs="微软雅黑"/>
          <w:sz w:val="24"/>
          <w:szCs w:val="24"/>
          <w:u w:val="single"/>
          <w:lang w:eastAsia="zh-CN"/>
        </w:rPr>
        <w:t>投标单位</w:t>
      </w:r>
      <w:r>
        <w:rPr>
          <w:rFonts w:hint="eastAsia" w:ascii="微软雅黑" w:hAnsi="微软雅黑" w:eastAsia="微软雅黑" w:cs="微软雅黑"/>
          <w:sz w:val="24"/>
          <w:szCs w:val="24"/>
          <w:u w:val="single"/>
        </w:rPr>
        <w:t>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所有要求。</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w:t>
      </w:r>
      <w:r>
        <w:rPr>
          <w:rFonts w:hint="eastAsia" w:ascii="微软雅黑" w:hAnsi="微软雅黑" w:eastAsia="微软雅黑" w:cs="微软雅黑"/>
          <w:sz w:val="24"/>
          <w:szCs w:val="24"/>
          <w:lang w:eastAsia="zh-CN"/>
        </w:rPr>
        <w:t>投标单位</w:t>
      </w:r>
      <w:r>
        <w:rPr>
          <w:rFonts w:hint="eastAsia" w:ascii="微软雅黑" w:hAnsi="微软雅黑" w:eastAsia="微软雅黑" w:cs="微软雅黑"/>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要求提交的</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中规定的各项要求以及我方</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的各项承诺，按《政府采购法》、《</w:t>
      </w:r>
      <w:r>
        <w:rPr>
          <w:rFonts w:hint="eastAsia" w:ascii="微软雅黑" w:hAnsi="微软雅黑" w:eastAsia="微软雅黑" w:cs="微软雅黑"/>
          <w:sz w:val="24"/>
          <w:szCs w:val="24"/>
          <w:lang w:val="en-US" w:eastAsia="zh-CN"/>
        </w:rPr>
        <w:t>民法典</w:t>
      </w:r>
      <w:r>
        <w:rPr>
          <w:rFonts w:hint="eastAsia" w:ascii="微软雅黑" w:hAnsi="微软雅黑" w:eastAsia="微软雅黑" w:cs="微软雅黑"/>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00" w:name="_Toc14422"/>
      <w:r>
        <w:rPr>
          <w:rFonts w:hint="eastAsia" w:ascii="微软雅黑" w:hAnsi="微软雅黑" w:eastAsia="微软雅黑" w:cs="微软雅黑"/>
          <w:b w:val="0"/>
          <w:sz w:val="28"/>
        </w:rPr>
        <w:br w:type="page"/>
      </w:r>
      <w:bookmarkStart w:id="201" w:name="_Toc106030910"/>
      <w:bookmarkStart w:id="202" w:name="_Toc26771"/>
      <w:bookmarkStart w:id="203" w:name="_Toc76462354"/>
      <w:bookmarkStart w:id="204" w:name="_Toc8805"/>
      <w:r>
        <w:rPr>
          <w:rFonts w:hint="eastAsia" w:ascii="微软雅黑" w:hAnsi="微软雅黑" w:eastAsia="微软雅黑" w:cs="微软雅黑"/>
          <w:sz w:val="24"/>
        </w:rPr>
        <w:t>五、</w:t>
      </w:r>
      <w:r>
        <w:rPr>
          <w:rFonts w:hint="eastAsia" w:ascii="微软雅黑" w:hAnsi="微软雅黑" w:eastAsia="微软雅黑" w:cs="微软雅黑"/>
          <w:sz w:val="24"/>
          <w:lang w:val="en-US" w:eastAsia="zh-CN"/>
        </w:rPr>
        <w:t>综合评标应答</w:t>
      </w:r>
      <w:r>
        <w:rPr>
          <w:rFonts w:hint="eastAsia" w:ascii="微软雅黑" w:hAnsi="微软雅黑" w:eastAsia="微软雅黑" w:cs="微软雅黑"/>
          <w:sz w:val="24"/>
        </w:rPr>
        <w:t>资料</w:t>
      </w:r>
      <w:bookmarkEnd w:id="200"/>
      <w:bookmarkEnd w:id="201"/>
      <w:bookmarkEnd w:id="202"/>
      <w:bookmarkEnd w:id="203"/>
      <w:bookmarkEnd w:id="204"/>
    </w:p>
    <w:tbl>
      <w:tblPr>
        <w:tblStyle w:val="57"/>
        <w:tblW w:w="10028"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5735"/>
        <w:gridCol w:w="2446"/>
        <w:gridCol w:w="1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序号</w:t>
            </w:r>
          </w:p>
        </w:tc>
        <w:tc>
          <w:tcPr>
            <w:tcW w:w="573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评分标准</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备注</w:t>
            </w: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应答材料</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default"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7"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c>
          <w:tcPr>
            <w:tcW w:w="5735"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kern w:val="0"/>
                <w:sz w:val="21"/>
                <w:szCs w:val="21"/>
              </w:rPr>
            </w:pPr>
            <w:r>
              <w:rPr>
                <w:rFonts w:hint="eastAsia" w:ascii="微软雅黑" w:hAnsi="微软雅黑" w:eastAsia="微软雅黑" w:cs="微软雅黑"/>
                <w:kern w:val="0"/>
                <w:sz w:val="21"/>
                <w:szCs w:val="21"/>
              </w:rPr>
              <w:t>有效的投标报价中的最低价为评标基准价，其价格分为满分。其他投标人的价格分统一按照下列公式计算：</w:t>
            </w:r>
          </w:p>
          <w:p>
            <w:pPr>
              <w:keepNext w:val="0"/>
              <w:keepLines w:val="0"/>
              <w:suppressLineNumbers w:val="0"/>
              <w:spacing w:before="0" w:beforeAutospacing="0" w:after="0" w:afterAutospacing="0" w:line="400" w:lineRule="exact"/>
              <w:ind w:left="0" w:leftChars="0" w:right="0" w:rightChars="0"/>
              <w:textAlignment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0"/>
                <w:sz w:val="21"/>
                <w:szCs w:val="21"/>
              </w:rPr>
              <w:t>投标报价得分＝（评标基准价/投标报价）×价格权重×100。</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sz w:val="21"/>
                <w:szCs w:val="21"/>
              </w:rPr>
              <w:t>提醒：请注明具体内容以及响应文件中具体内容的位置（页码</w:t>
            </w:r>
            <w:r>
              <w:rPr>
                <w:rFonts w:hint="eastAsia" w:ascii="微软雅黑" w:hAnsi="微软雅黑" w:eastAsia="微软雅黑" w:cs="微软雅黑"/>
                <w:sz w:val="21"/>
                <w:szCs w:val="21"/>
                <w:lang w:eastAsia="zh-CN"/>
              </w:rPr>
              <w:t>）</w:t>
            </w: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0"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w:t>
            </w:r>
          </w:p>
        </w:tc>
        <w:tc>
          <w:tcPr>
            <w:tcW w:w="5735"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kern w:val="0"/>
                <w:sz w:val="21"/>
                <w:szCs w:val="21"/>
              </w:rPr>
            </w:pPr>
            <w:r>
              <w:rPr>
                <w:rFonts w:hint="eastAsia" w:ascii="微软雅黑" w:hAnsi="微软雅黑" w:eastAsia="微软雅黑" w:cs="微软雅黑"/>
                <w:kern w:val="0"/>
                <w:sz w:val="21"/>
                <w:szCs w:val="21"/>
              </w:rPr>
              <w:t>1.起评分：</w:t>
            </w:r>
          </w:p>
          <w:p>
            <w:pPr>
              <w:keepNext w:val="0"/>
              <w:keepLines w:val="0"/>
              <w:suppressLineNumbers w:val="0"/>
              <w:spacing w:before="0" w:beforeAutospacing="0" w:after="0" w:afterAutospacing="0"/>
              <w:ind w:left="0" w:right="0"/>
              <w:rPr>
                <w:rFonts w:hint="eastAsia" w:ascii="微软雅黑" w:hAnsi="微软雅黑" w:eastAsia="微软雅黑" w:cs="微软雅黑"/>
                <w:kern w:val="0"/>
                <w:sz w:val="21"/>
                <w:szCs w:val="21"/>
              </w:rPr>
            </w:pPr>
            <w:r>
              <w:rPr>
                <w:rFonts w:hint="eastAsia" w:ascii="微软雅黑" w:hAnsi="微软雅黑" w:eastAsia="微软雅黑" w:cs="微软雅黑"/>
                <w:kern w:val="0"/>
                <w:sz w:val="21"/>
                <w:szCs w:val="21"/>
              </w:rPr>
              <w:t>有效投标人的起评分为30分。</w:t>
            </w:r>
          </w:p>
          <w:p>
            <w:pPr>
              <w:keepNext w:val="0"/>
              <w:keepLines w:val="0"/>
              <w:suppressLineNumbers w:val="0"/>
              <w:spacing w:before="0" w:beforeAutospacing="0" w:after="0" w:afterAutospacing="0"/>
              <w:ind w:left="0" w:right="0"/>
              <w:rPr>
                <w:rFonts w:hint="eastAsia" w:ascii="微软雅黑" w:hAnsi="微软雅黑" w:eastAsia="微软雅黑" w:cs="微软雅黑"/>
                <w:kern w:val="0"/>
                <w:sz w:val="21"/>
                <w:szCs w:val="21"/>
              </w:rPr>
            </w:pPr>
            <w:r>
              <w:rPr>
                <w:rFonts w:hint="eastAsia" w:ascii="微软雅黑" w:hAnsi="微软雅黑" w:eastAsia="微软雅黑" w:cs="微软雅黑"/>
                <w:kern w:val="0"/>
                <w:sz w:val="21"/>
                <w:szCs w:val="21"/>
              </w:rPr>
              <w:t>2.扣分条款：</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0"/>
                <w:sz w:val="21"/>
                <w:szCs w:val="21"/>
              </w:rPr>
              <w:t>投标文件投标应答有一条不满足招标文件服务参数，从起评分中扣除5分，扣完为止。</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c>
          <w:tcPr>
            <w:tcW w:w="573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0"/>
                <w:sz w:val="21"/>
                <w:szCs w:val="21"/>
              </w:rPr>
              <w:t>投标人提供适合本项目完善的维保服务方案。方案内容设计合理、全面得10分；方案内容设计缺乏一定合理性得6分；方案内容设计基本合理合得2分；未提供方案不得分。</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c>
          <w:tcPr>
            <w:tcW w:w="573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0"/>
                <w:sz w:val="21"/>
                <w:szCs w:val="21"/>
              </w:rPr>
              <w:t>2021年1月1日至今（以合同签订时间为准），投标人具有类似LED显示屏服务业绩，每提供一份业绩得3分，本项最多得15分，不满足或未提供不得分。</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both"/>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both"/>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rightChars="0" w:firstLine="210" w:firstLineChars="1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w:t>
            </w:r>
          </w:p>
        </w:tc>
        <w:tc>
          <w:tcPr>
            <w:tcW w:w="0" w:type="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kern w:val="0"/>
                <w:sz w:val="21"/>
                <w:szCs w:val="21"/>
              </w:rPr>
            </w:pPr>
            <w:r>
              <w:rPr>
                <w:rFonts w:hint="eastAsia" w:ascii="微软雅黑" w:hAnsi="微软雅黑" w:eastAsia="微软雅黑" w:cs="微软雅黑"/>
                <w:kern w:val="0"/>
                <w:sz w:val="21"/>
                <w:szCs w:val="21"/>
              </w:rPr>
              <w:t>1.投标人具备质量、服务、诚信等级评审证书AAA级，得5分，本项最多得5分，不满足或未提供不得分。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0"/>
                <w:sz w:val="21"/>
                <w:szCs w:val="21"/>
              </w:rPr>
              <w:t>2.投标人所派技术维护人员中具有登高架设作业证、机械设备安装工（中级）证、低压电工作业证、高压电工作业证等，每提供1个证书得2.5分，本项最多得10分，不满足或未提供不得分。</w:t>
            </w: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bl>
    <w:p>
      <w:pPr>
        <w:spacing w:line="360" w:lineRule="auto"/>
        <w:jc w:val="both"/>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3600" w:firstLineChars="1500"/>
        <w:jc w:val="both"/>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sectPr>
      <w:headerReference r:id="rId16"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28BBD96F"/>
    <w:multiLevelType w:val="singleLevel"/>
    <w:tmpl w:val="28BBD96F"/>
    <w:lvl w:ilvl="0" w:tentative="0">
      <w:start w:val="1"/>
      <w:numFmt w:val="chineseCounting"/>
      <w:suff w:val="space"/>
      <w:lvlText w:val="第%1篇"/>
      <w:lvlJc w:val="left"/>
      <w:rPr>
        <w:rFonts w:hint="eastAsia"/>
      </w:r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3"/>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43206CC"/>
    <w:rsid w:val="079B568B"/>
    <w:rsid w:val="07A30BF9"/>
    <w:rsid w:val="07F103E0"/>
    <w:rsid w:val="08183809"/>
    <w:rsid w:val="092E6FC0"/>
    <w:rsid w:val="09A746B3"/>
    <w:rsid w:val="0A2136BF"/>
    <w:rsid w:val="0A823A37"/>
    <w:rsid w:val="0B4077B6"/>
    <w:rsid w:val="0BB87E47"/>
    <w:rsid w:val="0BC54681"/>
    <w:rsid w:val="0BE364E6"/>
    <w:rsid w:val="0CB4432A"/>
    <w:rsid w:val="0D1F249B"/>
    <w:rsid w:val="0D6266C4"/>
    <w:rsid w:val="0DF26CD2"/>
    <w:rsid w:val="0E691BE1"/>
    <w:rsid w:val="0E727B5D"/>
    <w:rsid w:val="104363AE"/>
    <w:rsid w:val="11C02D44"/>
    <w:rsid w:val="12AE7CDF"/>
    <w:rsid w:val="12CC2996"/>
    <w:rsid w:val="147A5E14"/>
    <w:rsid w:val="15935DB5"/>
    <w:rsid w:val="15BB3449"/>
    <w:rsid w:val="17351C20"/>
    <w:rsid w:val="178B1D79"/>
    <w:rsid w:val="17A1211B"/>
    <w:rsid w:val="17E85236"/>
    <w:rsid w:val="18ED7A84"/>
    <w:rsid w:val="19255AF5"/>
    <w:rsid w:val="193B151F"/>
    <w:rsid w:val="1A7E6296"/>
    <w:rsid w:val="1AAE78A1"/>
    <w:rsid w:val="1AC5734F"/>
    <w:rsid w:val="1BE31904"/>
    <w:rsid w:val="1C5F6A76"/>
    <w:rsid w:val="1C7D217A"/>
    <w:rsid w:val="1C8D0319"/>
    <w:rsid w:val="1F0D01CA"/>
    <w:rsid w:val="1F9008B2"/>
    <w:rsid w:val="21864056"/>
    <w:rsid w:val="232C1F2F"/>
    <w:rsid w:val="23C71C0F"/>
    <w:rsid w:val="24381196"/>
    <w:rsid w:val="2486441F"/>
    <w:rsid w:val="254C6FC4"/>
    <w:rsid w:val="25B736EC"/>
    <w:rsid w:val="25E7798B"/>
    <w:rsid w:val="265B1B40"/>
    <w:rsid w:val="290F208E"/>
    <w:rsid w:val="2AA01F44"/>
    <w:rsid w:val="2B3A38E0"/>
    <w:rsid w:val="2CD7370E"/>
    <w:rsid w:val="2D5141FA"/>
    <w:rsid w:val="2E2D3EDF"/>
    <w:rsid w:val="2F8E2B89"/>
    <w:rsid w:val="300C58E0"/>
    <w:rsid w:val="30895BF5"/>
    <w:rsid w:val="32C66882"/>
    <w:rsid w:val="332D1E43"/>
    <w:rsid w:val="33564527"/>
    <w:rsid w:val="35397720"/>
    <w:rsid w:val="378E072C"/>
    <w:rsid w:val="37A85EFC"/>
    <w:rsid w:val="38141CAD"/>
    <w:rsid w:val="38FE6730"/>
    <w:rsid w:val="39AA75C6"/>
    <w:rsid w:val="39C353F8"/>
    <w:rsid w:val="3ACE5D4F"/>
    <w:rsid w:val="3BD30462"/>
    <w:rsid w:val="3C55524B"/>
    <w:rsid w:val="3CD2331B"/>
    <w:rsid w:val="3DF6488D"/>
    <w:rsid w:val="3E15285A"/>
    <w:rsid w:val="3EA70758"/>
    <w:rsid w:val="3EEC6CD3"/>
    <w:rsid w:val="3F1C71CA"/>
    <w:rsid w:val="3FFA0903"/>
    <w:rsid w:val="406334F2"/>
    <w:rsid w:val="409F14A1"/>
    <w:rsid w:val="415F6EA3"/>
    <w:rsid w:val="416163D3"/>
    <w:rsid w:val="41B20BF4"/>
    <w:rsid w:val="42395B6E"/>
    <w:rsid w:val="423A7D1B"/>
    <w:rsid w:val="43107A5D"/>
    <w:rsid w:val="44D57484"/>
    <w:rsid w:val="45236DFE"/>
    <w:rsid w:val="452C7897"/>
    <w:rsid w:val="45AB16BA"/>
    <w:rsid w:val="467C59FB"/>
    <w:rsid w:val="479F10AA"/>
    <w:rsid w:val="48362352"/>
    <w:rsid w:val="48794403"/>
    <w:rsid w:val="487A6880"/>
    <w:rsid w:val="494C6B8D"/>
    <w:rsid w:val="495312E8"/>
    <w:rsid w:val="497B7CB3"/>
    <w:rsid w:val="4AEC1DD8"/>
    <w:rsid w:val="4B2D12E0"/>
    <w:rsid w:val="4BDA7CB1"/>
    <w:rsid w:val="4BEB6B31"/>
    <w:rsid w:val="4D4E307F"/>
    <w:rsid w:val="4DD36371"/>
    <w:rsid w:val="4E1E28EC"/>
    <w:rsid w:val="4E7E3BEB"/>
    <w:rsid w:val="4F070047"/>
    <w:rsid w:val="4F3C244F"/>
    <w:rsid w:val="4FF705C0"/>
    <w:rsid w:val="5115115D"/>
    <w:rsid w:val="51A31C40"/>
    <w:rsid w:val="521E4A24"/>
    <w:rsid w:val="52D92ACB"/>
    <w:rsid w:val="52D93D20"/>
    <w:rsid w:val="5331413B"/>
    <w:rsid w:val="53B4776F"/>
    <w:rsid w:val="53DF1E3A"/>
    <w:rsid w:val="55051FF5"/>
    <w:rsid w:val="558E730F"/>
    <w:rsid w:val="55D12ED5"/>
    <w:rsid w:val="569B202A"/>
    <w:rsid w:val="57857077"/>
    <w:rsid w:val="57EF5962"/>
    <w:rsid w:val="5875792F"/>
    <w:rsid w:val="59592E2D"/>
    <w:rsid w:val="595C3103"/>
    <w:rsid w:val="5AA16971"/>
    <w:rsid w:val="5B9C3E91"/>
    <w:rsid w:val="5BF33B96"/>
    <w:rsid w:val="5C8E6409"/>
    <w:rsid w:val="5CA67F0E"/>
    <w:rsid w:val="5D8B7FF5"/>
    <w:rsid w:val="5DB83C1E"/>
    <w:rsid w:val="5E0A62C7"/>
    <w:rsid w:val="60405A91"/>
    <w:rsid w:val="607A6D16"/>
    <w:rsid w:val="60862722"/>
    <w:rsid w:val="60C15D40"/>
    <w:rsid w:val="60E05AE3"/>
    <w:rsid w:val="61625D90"/>
    <w:rsid w:val="65820777"/>
    <w:rsid w:val="65C328F3"/>
    <w:rsid w:val="66246E50"/>
    <w:rsid w:val="688373D0"/>
    <w:rsid w:val="68BD663A"/>
    <w:rsid w:val="692F74C0"/>
    <w:rsid w:val="69482C1A"/>
    <w:rsid w:val="696405DD"/>
    <w:rsid w:val="6AC17039"/>
    <w:rsid w:val="6B2E5407"/>
    <w:rsid w:val="6D2615BB"/>
    <w:rsid w:val="6F4859CD"/>
    <w:rsid w:val="6FE969BF"/>
    <w:rsid w:val="70003319"/>
    <w:rsid w:val="701245F9"/>
    <w:rsid w:val="71175C34"/>
    <w:rsid w:val="744B2CC4"/>
    <w:rsid w:val="747D277F"/>
    <w:rsid w:val="74AE1A72"/>
    <w:rsid w:val="74D70DF7"/>
    <w:rsid w:val="750950F5"/>
    <w:rsid w:val="750D16CF"/>
    <w:rsid w:val="76D6519D"/>
    <w:rsid w:val="771F5130"/>
    <w:rsid w:val="789F3DA6"/>
    <w:rsid w:val="78A52377"/>
    <w:rsid w:val="78EF15F1"/>
    <w:rsid w:val="79082185"/>
    <w:rsid w:val="7A6F77AB"/>
    <w:rsid w:val="7AAC4823"/>
    <w:rsid w:val="7B5B7497"/>
    <w:rsid w:val="7BEF5F10"/>
    <w:rsid w:val="7C943EFA"/>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1"/>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5"/>
    <w:qFormat/>
    <w:uiPriority w:val="0"/>
  </w:style>
  <w:style w:type="paragraph" w:styleId="33">
    <w:name w:val="Body Text Indent 2"/>
    <w:basedOn w:val="1"/>
    <w:link w:val="76"/>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7"/>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8"/>
    <w:qFormat/>
    <w:uiPriority w:val="0"/>
    <w:pPr>
      <w:adjustRightInd/>
      <w:spacing w:line="240" w:lineRule="auto"/>
      <w:textAlignment w:val="auto"/>
    </w:pPr>
  </w:style>
  <w:style w:type="paragraph" w:styleId="55">
    <w:name w:val="Body Text First Indent"/>
    <w:basedOn w:val="2"/>
    <w:next w:val="1"/>
    <w:qFormat/>
    <w:uiPriority w:val="0"/>
    <w:pPr>
      <w:spacing w:line="360" w:lineRule="auto"/>
      <w:ind w:firstLine="420"/>
    </w:pPr>
    <w:rPr>
      <w:rFonts w:ascii="宋体" w:hAnsi="宋体"/>
      <w:sz w:val="24"/>
    </w:rPr>
  </w:style>
  <w:style w:type="paragraph" w:styleId="56">
    <w:name w:val="Body Text First Indent 2"/>
    <w:basedOn w:val="23"/>
    <w:link w:val="79"/>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basedOn w:val="59"/>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basedOn w:val="59"/>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引用1"/>
    <w:basedOn w:val="1"/>
    <w:next w:val="1"/>
    <w:qFormat/>
    <w:uiPriority w:val="99"/>
    <w:rPr>
      <w:rFonts w:ascii="Calibri" w:hAnsi="Calibri"/>
      <w:i/>
      <w:iCs/>
      <w:color w:val="000000"/>
      <w:kern w:val="0"/>
      <w:sz w:val="22"/>
      <w:szCs w:val="20"/>
    </w:rPr>
  </w:style>
  <w:style w:type="paragraph" w:customStyle="1" w:styleId="68">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Char"/>
    <w:link w:val="4"/>
    <w:qFormat/>
    <w:uiPriority w:val="0"/>
    <w:rPr>
      <w:rFonts w:ascii="Arial" w:hAnsi="Arial" w:eastAsia="黑体"/>
      <w:b/>
      <w:kern w:val="2"/>
      <w:sz w:val="32"/>
    </w:rPr>
  </w:style>
  <w:style w:type="character" w:customStyle="1" w:styleId="72">
    <w:name w:val="标题 3 Char"/>
    <w:link w:val="5"/>
    <w:qFormat/>
    <w:uiPriority w:val="0"/>
    <w:rPr>
      <w:rFonts w:eastAsia="宋体"/>
      <w:b/>
      <w:kern w:val="2"/>
      <w:sz w:val="32"/>
      <w:lang w:val="en-US" w:eastAsia="zh-CN"/>
    </w:rPr>
  </w:style>
  <w:style w:type="character" w:customStyle="1" w:styleId="73">
    <w:name w:val="批注文字 Char"/>
    <w:link w:val="20"/>
    <w:qFormat/>
    <w:uiPriority w:val="0"/>
    <w:rPr>
      <w:sz w:val="24"/>
    </w:rPr>
  </w:style>
  <w:style w:type="character" w:customStyle="1" w:styleId="74">
    <w:name w:val="正文文本缩进 Char"/>
    <w:link w:val="23"/>
    <w:qFormat/>
    <w:uiPriority w:val="0"/>
    <w:rPr>
      <w:kern w:val="2"/>
      <w:sz w:val="44"/>
    </w:rPr>
  </w:style>
  <w:style w:type="character" w:customStyle="1" w:styleId="75">
    <w:name w:val="日期 Char"/>
    <w:link w:val="32"/>
    <w:qFormat/>
    <w:uiPriority w:val="0"/>
    <w:rPr>
      <w:kern w:val="2"/>
      <w:sz w:val="28"/>
    </w:rPr>
  </w:style>
  <w:style w:type="character" w:customStyle="1" w:styleId="76">
    <w:name w:val="正文文本缩进 2 Char"/>
    <w:link w:val="33"/>
    <w:qFormat/>
    <w:uiPriority w:val="0"/>
    <w:rPr>
      <w:kern w:val="2"/>
      <w:sz w:val="28"/>
    </w:rPr>
  </w:style>
  <w:style w:type="character" w:customStyle="1" w:styleId="77">
    <w:name w:val="脚注文本 Char"/>
    <w:link w:val="40"/>
    <w:qFormat/>
    <w:uiPriority w:val="0"/>
    <w:rPr>
      <w:kern w:val="2"/>
      <w:sz w:val="18"/>
    </w:rPr>
  </w:style>
  <w:style w:type="character" w:customStyle="1" w:styleId="78">
    <w:name w:val="批注主题 Char"/>
    <w:link w:val="54"/>
    <w:qFormat/>
    <w:uiPriority w:val="0"/>
  </w:style>
  <w:style w:type="character" w:customStyle="1" w:styleId="79">
    <w:name w:val="正文首行缩进 2 Char"/>
    <w:link w:val="56"/>
    <w:qFormat/>
    <w:uiPriority w:val="0"/>
  </w:style>
  <w:style w:type="character" w:customStyle="1" w:styleId="80">
    <w:name w:val="v151"/>
    <w:qFormat/>
    <w:uiPriority w:val="0"/>
    <w:rPr>
      <w:sz w:val="18"/>
    </w:rPr>
  </w:style>
  <w:style w:type="character" w:customStyle="1" w:styleId="81">
    <w:name w:val=" 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 Char Char3"/>
    <w:qFormat/>
    <w:uiPriority w:val="0"/>
    <w:rPr>
      <w:rFonts w:eastAsia="宋体"/>
      <w:kern w:val="2"/>
      <w:sz w:val="18"/>
      <w:lang w:val="en-US" w:eastAsia="zh-CN"/>
    </w:rPr>
  </w:style>
  <w:style w:type="character" w:customStyle="1" w:styleId="89">
    <w:name w:val=" 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 Char Char5"/>
    <w:qFormat/>
    <w:uiPriority w:val="0"/>
    <w:rPr>
      <w:rFonts w:ascii="Arial" w:hAnsi="Arial" w:eastAsia="宋体"/>
      <w:b/>
      <w:smallCaps/>
      <w:kern w:val="28"/>
      <w:sz w:val="36"/>
      <w:lang w:val="en-US" w:eastAsia="en-US"/>
    </w:rPr>
  </w:style>
  <w:style w:type="character" w:customStyle="1" w:styleId="92">
    <w:name w:val=" 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 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 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 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0">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3"/>
    <w:qFormat/>
    <w:uiPriority w:val="0"/>
    <w:pPr>
      <w:spacing w:before="720" w:beforeLines="0" w:beforeAutospacing="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ilvl w:val="1"/>
        <w:numId w:val="0"/>
      </w:numPr>
      <w:spacing w:before="0" w:beforeLines="0" w:beforeAutospacing="0" w:after="0" w:afterLines="0" w:afterAutospacing="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8">
    <w:name w:val=" Char Char14 Char Char"/>
    <w:basedOn w:val="1"/>
    <w:qFormat/>
    <w:uiPriority w:val="0"/>
    <w:rPr>
      <w:sz w:val="21"/>
      <w:szCs w:val="24"/>
    </w:rPr>
  </w:style>
  <w:style w:type="paragraph" w:customStyle="1" w:styleId="129">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30">
    <w:name w:val=" 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 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4">
    <w:name w:val="1"/>
    <w:basedOn w:val="1"/>
    <w:next w:val="30"/>
    <w:qFormat/>
    <w:uiPriority w:val="0"/>
    <w:rPr>
      <w:rFonts w:ascii="宋体" w:hAnsi="Courier New"/>
      <w:sz w:val="21"/>
    </w:rPr>
  </w:style>
  <w:style w:type="paragraph" w:customStyle="1" w:styleId="145">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7">
    <w:name w:val="Char Char Char Char Char Char Char"/>
    <w:basedOn w:val="18"/>
    <w:qFormat/>
    <w:uiPriority w:val="0"/>
    <w:rPr>
      <w:rFonts w:ascii="宋体" w:hAnsi="Tahoma"/>
    </w:rPr>
  </w:style>
  <w:style w:type="paragraph" w:customStyle="1" w:styleId="148">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6">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7">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8">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9">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60">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1">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3"/>
    <w:next w:val="1"/>
    <w:qFormat/>
    <w:uiPriority w:val="0"/>
    <w:pPr>
      <w:spacing w:before="240" w:beforeLines="0" w:beforeAutospacing="0" w:after="720" w:afterLines="0" w:afterAutospacing="0"/>
    </w:pPr>
    <w:rPr>
      <w:sz w:val="28"/>
    </w:rPr>
  </w:style>
  <w:style w:type="paragraph" w:customStyle="1" w:styleId="170">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6">
    <w:name w:val=" 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1">
    <w:name w:val=" 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 Char Char Char"/>
    <w:basedOn w:val="1"/>
    <w:qFormat/>
    <w:uiPriority w:val="0"/>
    <w:rPr>
      <w:rFonts w:ascii="Tahoma" w:hAnsi="Tahoma"/>
      <w:sz w:val="24"/>
    </w:rPr>
  </w:style>
  <w:style w:type="paragraph" w:customStyle="1" w:styleId="200">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8">
    <w:name w:val="正文表格"/>
    <w:basedOn w:val="1"/>
    <w:qFormat/>
    <w:uiPriority w:val="0"/>
    <w:pPr>
      <w:adjustRightInd w:val="0"/>
      <w:spacing w:before="40" w:beforeLines="0" w:beforeAutospacing="0" w:after="40" w:afterLines="0" w:afterAutospacing="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0"/>
    <w:qFormat/>
    <w:uiPriority w:val="0"/>
    <w:pPr>
      <w:adjustRightInd w:val="0"/>
    </w:pPr>
    <w:rPr>
      <w:color w:val="000000"/>
      <w:lang w:val="en-GB"/>
    </w:rPr>
  </w:style>
  <w:style w:type="paragraph" w:customStyle="1" w:styleId="211">
    <w:name w:val="Body Text Indent 2"/>
    <w:basedOn w:val="1"/>
    <w:qFormat/>
    <w:uiPriority w:val="0"/>
    <w:pPr>
      <w:adjustRightInd w:val="0"/>
      <w:spacing w:before="120" w:beforeLines="0" w:beforeAutospacing="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afterLines="0" w:afterAutospacing="0" w:line="360" w:lineRule="auto"/>
      <w:ind w:firstLine="200" w:firstLineChars="200"/>
    </w:pPr>
    <w:rPr>
      <w:sz w:val="24"/>
    </w:rPr>
  </w:style>
  <w:style w:type="paragraph" w:customStyle="1" w:styleId="226">
    <w:name w:val=" Char"/>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 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 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59"/>
    <w:link w:val="30"/>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4">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5">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6">
    <w:name w:val="无间隔1"/>
    <w:qFormat/>
    <w:uiPriority w:val="99"/>
    <w:pPr>
      <w:widowControl w:val="0"/>
      <w:jc w:val="both"/>
    </w:pPr>
    <w:rPr>
      <w:rFonts w:ascii="Times New Roman" w:hAnsi="Times New Roman" w:eastAsia="宋体" w:cs="Calibri"/>
      <w:kern w:val="2"/>
      <w:sz w:val="21"/>
      <w:szCs w:val="21"/>
      <w:lang w:val="en-US" w:eastAsia="zh-CN" w:bidi="ar-SA"/>
    </w:rPr>
  </w:style>
  <w:style w:type="character" w:customStyle="1" w:styleId="247">
    <w:name w:val="font31"/>
    <w:basedOn w:val="5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0</TotalTime>
  <ScaleCrop>false</ScaleCrop>
  <LinksUpToDate>false</LinksUpToDate>
  <CharactersWithSpaces>13743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李薛龙</cp:lastModifiedBy>
  <cp:lastPrinted>2015-03-25T02:14:00Z</cp:lastPrinted>
  <dcterms:modified xsi:type="dcterms:W3CDTF">2026-03-02T01:15:55Z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ED9646670728441EAB3837AD8D36C178</vt:lpwstr>
  </property>
</Properties>
</file>