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2"/>
        <w:rPr>
          <w:rFonts w:hint="eastAsia"/>
        </w:rPr>
      </w:pPr>
    </w:p>
    <w:p>
      <w:pPr>
        <w:pStyle w:val="2"/>
        <w:rPr>
          <w:rFonts w:hint="eastAsia"/>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w:t>
      </w:r>
      <w:r>
        <w:rPr>
          <w:rFonts w:hint="eastAsia" w:ascii="微软雅黑" w:hAnsi="微软雅黑" w:eastAsia="微软雅黑" w:cs="微软雅黑"/>
          <w:sz w:val="36"/>
          <w:szCs w:val="36"/>
          <w:u w:val="single"/>
          <w:lang w:val="en-US" w:eastAsia="zh-CN"/>
        </w:rPr>
        <w:t>XX260084</w:t>
      </w:r>
    </w:p>
    <w:p>
      <w:pPr>
        <w:spacing w:line="360" w:lineRule="auto"/>
        <w:ind w:firstLine="1800" w:firstLineChars="5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项目名称：</w:t>
      </w:r>
      <w:bookmarkStart w:id="134" w:name="_GoBack"/>
      <w:r>
        <w:rPr>
          <w:rFonts w:hint="eastAsia" w:ascii="微软雅黑" w:hAnsi="微软雅黑" w:eastAsia="微软雅黑" w:cs="微软雅黑"/>
          <w:sz w:val="36"/>
          <w:szCs w:val="36"/>
          <w:u w:val="single"/>
        </w:rPr>
        <w:t>机房环境监控维保</w:t>
      </w:r>
      <w:bookmarkEnd w:id="134"/>
    </w:p>
    <w:p>
      <w:pPr>
        <w:spacing w:line="500" w:lineRule="exact"/>
        <w:outlineLvl w:val="0"/>
        <w:rPr>
          <w:rFonts w:hint="eastAsia" w:ascii="微软雅黑" w:hAnsi="微软雅黑" w:eastAsia="微软雅黑" w:cs="微软雅黑"/>
          <w:sz w:val="36"/>
          <w:szCs w:val="36"/>
        </w:rPr>
      </w:pPr>
    </w:p>
    <w:p>
      <w:pPr>
        <w:pStyle w:val="2"/>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4</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_Toc21659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_Toc21659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_Toc21358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_Toc21358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_Toc5757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_Toc5757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_Toc25322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_Toc69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_Toc5632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_Toc5632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_Toc27230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_Toc27230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_Toc20423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_Toc20081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_Toc20081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_Toc621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_Toc24700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_Toc24700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_Toc31352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_Toc31352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_Toc27003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_Toc14503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_Toc8094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_Toc26449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_Toc26449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_Toc29986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_Toc29986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_Toc19678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_Toc29265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_Toc29265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_Toc11128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_Toc11128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_Toc13617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_Toc13617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_Toc9069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_Toc9069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_Toc30134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_Toc30134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_Toc10832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_Toc10832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_Toc17104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_Toc27736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_Toc27736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_Toc5332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_Toc5332 \h </w:instrText>
      </w:r>
      <w:r>
        <w:rPr>
          <w:sz w:val="24"/>
          <w:szCs w:val="24"/>
        </w:rPr>
        <w:fldChar w:fldCharType="separate"/>
      </w:r>
      <w:r>
        <w:rPr>
          <w:sz w:val="24"/>
          <w:szCs w:val="24"/>
        </w:rPr>
        <w:t>- 20 -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_Toc29080 \h </w:instrText>
      </w:r>
      <w:r>
        <w:rPr>
          <w:sz w:val="24"/>
          <w:szCs w:val="24"/>
        </w:rPr>
        <w:fldChar w:fldCharType="separate"/>
      </w:r>
      <w:r>
        <w:rPr>
          <w:sz w:val="24"/>
          <w:szCs w:val="24"/>
        </w:rPr>
        <w:t>- 22 -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_Toc18515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_Toc18515 \h </w:instrText>
      </w:r>
      <w:r>
        <w:rPr>
          <w:sz w:val="24"/>
          <w:szCs w:val="24"/>
        </w:rPr>
        <w:fldChar w:fldCharType="separate"/>
      </w:r>
      <w:r>
        <w:rPr>
          <w:sz w:val="24"/>
          <w:szCs w:val="24"/>
        </w:rPr>
        <w:t>- 24 -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_Toc28156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_Toc28156 \h </w:instrText>
      </w:r>
      <w:r>
        <w:rPr>
          <w:sz w:val="24"/>
          <w:szCs w:val="24"/>
        </w:rPr>
        <w:fldChar w:fldCharType="separate"/>
      </w:r>
      <w:r>
        <w:rPr>
          <w:sz w:val="24"/>
          <w:szCs w:val="24"/>
        </w:rPr>
        <w:t>- 30 -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2789052"/>
      <w:bookmarkStart w:id="1" w:name="_Toc76462316"/>
      <w:bookmarkStart w:id="2" w:name="_Toc24037"/>
      <w:bookmarkStart w:id="3" w:name="_Toc11641050"/>
      <w:bookmarkStart w:id="4" w:name="_Toc21659"/>
      <w:bookmarkStart w:id="5" w:name="_Toc106030870"/>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rPr>
        <w:t>机房环境监控维保</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val="en-US" w:eastAsia="zh-CN"/>
        </w:rPr>
        <w:t>单一来源</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856"/>
      <w:bookmarkStart w:id="7" w:name="_Toc21358"/>
      <w:bookmarkStart w:id="8" w:name="_Toc106030871"/>
      <w:bookmarkStart w:id="9" w:name="_Toc76462317"/>
      <w:bookmarkStart w:id="10" w:name="_Toc313893526"/>
      <w:bookmarkStart w:id="11" w:name="_Toc317775175"/>
      <w:r>
        <w:rPr>
          <w:rFonts w:hint="eastAsia" w:ascii="微软雅黑" w:hAnsi="微软雅黑" w:eastAsia="微软雅黑" w:cs="微软雅黑"/>
          <w:sz w:val="24"/>
          <w:lang w:eastAsia="zh-CN"/>
        </w:rPr>
        <w:t>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4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2"/>
        <w:gridCol w:w="3055"/>
        <w:gridCol w:w="2170"/>
        <w:gridCol w:w="2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0" w:hRule="atLeast"/>
          <w:jc w:val="center"/>
        </w:trPr>
        <w:tc>
          <w:tcPr>
            <w:tcW w:w="915"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17775178"/>
            <w:bookmarkStart w:id="15" w:name="_Toc373860293"/>
            <w:r>
              <w:rPr>
                <w:rFonts w:hint="eastAsia" w:ascii="微软雅黑" w:hAnsi="微软雅黑" w:eastAsia="微软雅黑" w:cs="微软雅黑"/>
                <w:b/>
                <w:bCs/>
                <w:kern w:val="0"/>
                <w:sz w:val="21"/>
                <w:szCs w:val="24"/>
              </w:rPr>
              <w:t>项目编号</w:t>
            </w:r>
          </w:p>
        </w:tc>
        <w:tc>
          <w:tcPr>
            <w:tcW w:w="1703"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20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w:t>
            </w:r>
          </w:p>
        </w:tc>
        <w:tc>
          <w:tcPr>
            <w:tcW w:w="1170"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15"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4"/>
                <w:lang w:val="en-US" w:eastAsia="zh-CN"/>
              </w:rPr>
            </w:pPr>
            <w:r>
              <w:rPr>
                <w:rFonts w:hint="eastAsia" w:ascii="微软雅黑" w:hAnsi="微软雅黑" w:eastAsia="微软雅黑" w:cs="微软雅黑"/>
                <w:kern w:val="0"/>
                <w:sz w:val="21"/>
                <w:szCs w:val="24"/>
              </w:rPr>
              <w:t>Y</w:t>
            </w:r>
            <w:r>
              <w:rPr>
                <w:rFonts w:hint="eastAsia" w:ascii="微软雅黑" w:hAnsi="微软雅黑" w:eastAsia="微软雅黑" w:cs="微软雅黑"/>
                <w:kern w:val="0"/>
                <w:sz w:val="21"/>
                <w:szCs w:val="24"/>
                <w:lang w:val="en-US" w:eastAsia="zh-CN"/>
              </w:rPr>
              <w:t>XX260084</w:t>
            </w:r>
          </w:p>
        </w:tc>
        <w:tc>
          <w:tcPr>
            <w:tcW w:w="1703"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机房环境监控维保</w:t>
            </w:r>
          </w:p>
        </w:tc>
        <w:tc>
          <w:tcPr>
            <w:tcW w:w="1209"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18万元/3年</w:t>
            </w:r>
          </w:p>
        </w:tc>
        <w:tc>
          <w:tcPr>
            <w:tcW w:w="1170"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sz w:val="21"/>
                <w:szCs w:val="21"/>
                <w:lang w:val="en-US" w:eastAsia="zh-CN"/>
              </w:rPr>
            </w:pPr>
          </w:p>
        </w:tc>
      </w:tr>
      <w:bookmarkEnd w:id="12"/>
      <w:bookmarkEnd w:id="13"/>
      <w:bookmarkEnd w:id="14"/>
      <w:bookmarkEnd w:id="15"/>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6" w:name="_Toc12789058"/>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p>
    <w:p>
      <w:pPr>
        <w:snapToGrid w:val="0"/>
        <w:spacing w:line="400" w:lineRule="exact"/>
        <w:ind w:firstLine="480" w:firstLineChars="200"/>
        <w:rPr>
          <w:rFonts w:hint="eastAsia" w:ascii="微软雅黑" w:hAnsi="微软雅黑" w:eastAsia="微软雅黑" w:cs="微软雅黑"/>
          <w:sz w:val="24"/>
          <w:szCs w:val="24"/>
        </w:rPr>
      </w:pPr>
      <w:bookmarkStart w:id="17" w:name="_Toc106030859"/>
      <w:bookmarkStart w:id="18" w:name="_Toc12789054"/>
      <w:bookmarkStart w:id="19" w:name="_Toc11641053"/>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.com</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0"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0"/>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1" w:name="_Toc11971"/>
      <w:bookmarkStart w:id="22" w:name="_Toc4254"/>
      <w:bookmarkStart w:id="23" w:name="_Toc10174"/>
      <w:r>
        <w:rPr>
          <w:rFonts w:hint="eastAsia" w:ascii="微软雅黑" w:hAnsi="微软雅黑" w:eastAsia="微软雅黑" w:cs="微软雅黑"/>
          <w:sz w:val="24"/>
          <w:szCs w:val="24"/>
        </w:rPr>
        <w:t>三、联系方式</w:t>
      </w:r>
      <w:bookmarkEnd w:id="17"/>
      <w:bookmarkEnd w:id="18"/>
      <w:bookmarkEnd w:id="19"/>
      <w:bookmarkEnd w:id="21"/>
      <w:bookmarkEnd w:id="22"/>
      <w:bookmarkEnd w:id="23"/>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邮  箱：zbb63632469@qq.com</w:t>
      </w: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4" w:name="_Toc14015"/>
      <w:bookmarkStart w:id="25" w:name="_Toc22691"/>
      <w:bookmarkStart w:id="26" w:name="_Toc17540"/>
      <w:bookmarkStart w:id="27" w:name="_Toc106030860"/>
      <w:r>
        <w:rPr>
          <w:rFonts w:hint="eastAsia" w:ascii="微软雅黑" w:hAnsi="微软雅黑" w:eastAsia="微软雅黑" w:cs="微软雅黑"/>
          <w:b/>
          <w:sz w:val="44"/>
        </w:rPr>
        <w:t>第二篇  单一来源采购须知</w:t>
      </w:r>
      <w:bookmarkEnd w:id="24"/>
      <w:bookmarkEnd w:id="25"/>
      <w:bookmarkEnd w:id="26"/>
      <w:bookmarkEnd w:id="27"/>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28" w:name="_Toc106030861"/>
      <w:bookmarkStart w:id="29" w:name="_Toc102227314"/>
      <w:bookmarkStart w:id="30" w:name="_Toc25259"/>
      <w:bookmarkStart w:id="31" w:name="_Toc12115"/>
      <w:bookmarkStart w:id="32" w:name="_Toc179714294"/>
      <w:bookmarkStart w:id="33" w:name="_Toc18291"/>
      <w:r>
        <w:rPr>
          <w:rFonts w:hint="eastAsia" w:ascii="微软雅黑" w:hAnsi="微软雅黑" w:eastAsia="微软雅黑" w:cs="微软雅黑"/>
          <w:sz w:val="24"/>
          <w:szCs w:val="24"/>
        </w:rPr>
        <w:t>一、采购相关费用</w:t>
      </w:r>
      <w:bookmarkEnd w:id="28"/>
      <w:bookmarkEnd w:id="29"/>
      <w:bookmarkEnd w:id="30"/>
      <w:bookmarkEnd w:id="31"/>
      <w:bookmarkEnd w:id="32"/>
      <w:bookmarkEnd w:id="33"/>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4" w:name="_Toc102227316"/>
      <w:bookmarkStart w:id="35" w:name="_Toc21627"/>
      <w:bookmarkStart w:id="36" w:name="_Toc1963"/>
      <w:bookmarkStart w:id="37" w:name="_Toc14416"/>
      <w:bookmarkStart w:id="38" w:name="_Toc179714295"/>
      <w:bookmarkStart w:id="39" w:name="_Toc106030862"/>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资质</w:t>
      </w:r>
      <w:bookmarkEnd w:id="34"/>
      <w:bookmarkEnd w:id="35"/>
      <w:bookmarkEnd w:id="36"/>
      <w:bookmarkEnd w:id="37"/>
      <w:bookmarkEnd w:id="38"/>
      <w:bookmarkEnd w:id="3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pStyle w:val="144"/>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（二）本项目的特定资格要求：</w:t>
      </w:r>
      <w:r>
        <w:rPr>
          <w:rFonts w:hint="eastAsia" w:ascii="微软雅黑" w:hAnsi="微软雅黑" w:eastAsia="微软雅黑" w:cs="微软雅黑"/>
          <w:sz w:val="24"/>
          <w:szCs w:val="24"/>
          <w:lang w:val="en-US" w:eastAsia="zh-CN"/>
        </w:rPr>
        <w:t>无。</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0" w:name="_Toc179714296"/>
      <w:bookmarkStart w:id="41" w:name="_Toc102227317"/>
      <w:bookmarkStart w:id="42" w:name="_Toc10350"/>
      <w:bookmarkStart w:id="43" w:name="_Toc106030863"/>
      <w:bookmarkStart w:id="44" w:name="_Toc7510"/>
      <w:bookmarkStart w:id="45" w:name="_Toc27842"/>
      <w:r>
        <w:rPr>
          <w:rFonts w:hint="eastAsia" w:ascii="微软雅黑" w:hAnsi="微软雅黑" w:eastAsia="微软雅黑" w:cs="微软雅黑"/>
          <w:sz w:val="24"/>
          <w:szCs w:val="24"/>
        </w:rPr>
        <w:t>三、</w:t>
      </w:r>
      <w:bookmarkEnd w:id="40"/>
      <w:bookmarkEnd w:id="41"/>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2"/>
      <w:bookmarkEnd w:id="43"/>
      <w:bookmarkEnd w:id="44"/>
      <w:bookmarkEnd w:id="4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w:t>
      </w:r>
      <w:r>
        <w:rPr>
          <w:rFonts w:hint="eastAsia" w:ascii="微软雅黑" w:hAnsi="微软雅黑" w:eastAsia="微软雅黑" w:cs="微软雅黑"/>
          <w:sz w:val="24"/>
          <w:szCs w:val="24"/>
          <w:lang w:val="en-US" w:eastAsia="zh-CN"/>
        </w:rPr>
        <w:t>技术（质量）</w:t>
      </w:r>
      <w:r>
        <w:rPr>
          <w:rFonts w:hint="eastAsia" w:ascii="微软雅黑" w:hAnsi="微软雅黑" w:eastAsia="微软雅黑" w:cs="微软雅黑"/>
          <w:sz w:val="24"/>
          <w:szCs w:val="24"/>
        </w:rPr>
        <w:t>需求、</w:t>
      </w:r>
      <w:r>
        <w:rPr>
          <w:rFonts w:hint="eastAsia" w:ascii="微软雅黑" w:hAnsi="微软雅黑" w:eastAsia="微软雅黑" w:cs="微软雅黑"/>
          <w:sz w:val="24"/>
          <w:szCs w:val="24"/>
          <w:lang w:val="en-US" w:eastAsia="zh-CN"/>
        </w:rPr>
        <w:t>项目</w:t>
      </w:r>
      <w:r>
        <w:rPr>
          <w:rFonts w:hint="eastAsia" w:ascii="微软雅黑" w:hAnsi="微软雅黑" w:eastAsia="微软雅黑" w:cs="微软雅黑"/>
          <w:sz w:val="24"/>
          <w:szCs w:val="24"/>
        </w:rPr>
        <w:t>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w:t>
      </w:r>
      <w:r>
        <w:rPr>
          <w:rFonts w:hint="eastAsia" w:ascii="微软雅黑" w:hAnsi="微软雅黑" w:eastAsia="微软雅黑" w:cs="微软雅黑"/>
          <w:sz w:val="24"/>
          <w:szCs w:val="24"/>
          <w:lang w:val="en-US" w:eastAsia="zh-CN"/>
        </w:rPr>
        <w:t>编制</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采购管理处</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6" w:name="_Toc16607"/>
      <w:bookmarkStart w:id="47" w:name="_Toc17019"/>
      <w:bookmarkStart w:id="48" w:name="_Toc106030864"/>
      <w:bookmarkStart w:id="49" w:name="_Toc4463"/>
      <w:r>
        <w:rPr>
          <w:rFonts w:hint="eastAsia" w:ascii="微软雅黑" w:hAnsi="微软雅黑" w:eastAsia="微软雅黑" w:cs="微软雅黑"/>
          <w:sz w:val="24"/>
          <w:szCs w:val="24"/>
        </w:rPr>
        <w:t>四、响应文件要求</w:t>
      </w:r>
      <w:bookmarkEnd w:id="46"/>
      <w:bookmarkEnd w:id="47"/>
      <w:bookmarkEnd w:id="48"/>
      <w:bookmarkEnd w:id="4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经济部分</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1.1开标一览表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1.2</w:t>
      </w:r>
      <w:r>
        <w:rPr>
          <w:rFonts w:hint="eastAsia" w:ascii="微软雅黑" w:hAnsi="微软雅黑" w:eastAsia="微软雅黑" w:cs="微软雅黑"/>
          <w:sz w:val="24"/>
          <w:szCs w:val="24"/>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2.1</w:t>
      </w:r>
      <w:r>
        <w:rPr>
          <w:rFonts w:hint="eastAsia" w:ascii="微软雅黑" w:hAnsi="微软雅黑" w:eastAsia="微软雅黑" w:cs="微软雅黑"/>
          <w:sz w:val="24"/>
          <w:szCs w:val="24"/>
        </w:rPr>
        <w:t>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2.1技术响应证明材料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3.1</w:t>
      </w:r>
      <w:r>
        <w:rPr>
          <w:rFonts w:hint="eastAsia" w:ascii="微软雅黑" w:hAnsi="微软雅黑" w:eastAsia="微软雅黑" w:cs="微软雅黑"/>
          <w:sz w:val="24"/>
          <w:szCs w:val="24"/>
        </w:rPr>
        <w:t>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3.2</w:t>
      </w:r>
      <w:r>
        <w:rPr>
          <w:rFonts w:hint="eastAsia" w:ascii="微软雅黑" w:hAnsi="微软雅黑" w:eastAsia="微软雅黑" w:cs="微软雅黑"/>
          <w:sz w:val="24"/>
          <w:szCs w:val="24"/>
        </w:rPr>
        <w:t>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4.1</w:t>
      </w:r>
      <w:r>
        <w:rPr>
          <w:rFonts w:hint="eastAsia" w:ascii="微软雅黑" w:hAnsi="微软雅黑" w:eastAsia="微软雅黑" w:cs="微软雅黑"/>
          <w:sz w:val="24"/>
          <w:szCs w:val="24"/>
        </w:rPr>
        <w:t>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4.2</w:t>
      </w:r>
      <w:r>
        <w:rPr>
          <w:rFonts w:hint="eastAsia" w:ascii="微软雅黑" w:hAnsi="微软雅黑" w:eastAsia="微软雅黑" w:cs="微软雅黑"/>
          <w:sz w:val="24"/>
          <w:szCs w:val="24"/>
        </w:rPr>
        <w:t>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4.3</w:t>
      </w:r>
      <w:r>
        <w:rPr>
          <w:rFonts w:hint="eastAsia" w:ascii="微软雅黑" w:hAnsi="微软雅黑" w:eastAsia="微软雅黑" w:cs="微软雅黑"/>
          <w:sz w:val="24"/>
          <w:szCs w:val="24"/>
        </w:rPr>
        <w:t>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4.4</w:t>
      </w:r>
      <w:r>
        <w:rPr>
          <w:rFonts w:hint="eastAsia" w:ascii="微软雅黑" w:hAnsi="微软雅黑" w:eastAsia="微软雅黑" w:cs="微软雅黑"/>
          <w:sz w:val="24"/>
          <w:szCs w:val="24"/>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4.5</w:t>
      </w:r>
      <w:r>
        <w:rPr>
          <w:rFonts w:hint="eastAsia" w:ascii="微软雅黑" w:hAnsi="微软雅黑" w:eastAsia="微软雅黑" w:cs="微软雅黑"/>
          <w:sz w:val="24"/>
          <w:szCs w:val="24"/>
        </w:rPr>
        <w:t>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4.6</w:t>
      </w:r>
      <w:r>
        <w:rPr>
          <w:rFonts w:hint="eastAsia" w:ascii="微软雅黑" w:hAnsi="微软雅黑" w:eastAsia="微软雅黑" w:cs="微软雅黑"/>
          <w:sz w:val="24"/>
          <w:szCs w:val="24"/>
        </w:rPr>
        <w:t>特定资格条件证书或证明文件</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其他资料</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pStyle w:val="144"/>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b/>
          <w:bCs/>
          <w:color w:val="auto"/>
          <w:sz w:val="24"/>
          <w:szCs w:val="24"/>
          <w:u w:val="single"/>
        </w:rPr>
        <w:t>1.响应文件一式</w:t>
      </w:r>
      <w:r>
        <w:rPr>
          <w:rFonts w:hint="eastAsia" w:ascii="微软雅黑" w:hAnsi="微软雅黑" w:eastAsia="微软雅黑" w:cs="微软雅黑"/>
          <w:b/>
          <w:bCs/>
          <w:color w:val="auto"/>
          <w:sz w:val="24"/>
          <w:szCs w:val="24"/>
          <w:u w:val="single"/>
          <w:lang w:val="en-US" w:eastAsia="zh-CN"/>
        </w:rPr>
        <w:t>七</w:t>
      </w:r>
      <w:r>
        <w:rPr>
          <w:rFonts w:hint="eastAsia" w:ascii="微软雅黑" w:hAnsi="微软雅黑" w:eastAsia="微软雅黑" w:cs="微软雅黑"/>
          <w:b/>
          <w:bCs/>
          <w:color w:val="auto"/>
          <w:sz w:val="24"/>
          <w:szCs w:val="24"/>
          <w:u w:val="single"/>
        </w:rPr>
        <w:t>份，其中正本一份，副本</w:t>
      </w:r>
      <w:r>
        <w:rPr>
          <w:rFonts w:hint="eastAsia" w:ascii="微软雅黑" w:hAnsi="微软雅黑" w:eastAsia="微软雅黑" w:cs="微软雅黑"/>
          <w:b/>
          <w:bCs/>
          <w:color w:val="auto"/>
          <w:sz w:val="24"/>
          <w:szCs w:val="24"/>
          <w:u w:val="single"/>
          <w:lang w:val="en-US" w:eastAsia="zh-CN"/>
        </w:rPr>
        <w:t>六</w:t>
      </w:r>
      <w:r>
        <w:rPr>
          <w:rFonts w:hint="eastAsia" w:ascii="微软雅黑" w:hAnsi="微软雅黑" w:eastAsia="微软雅黑" w:cs="微软雅黑"/>
          <w:b/>
          <w:bCs/>
          <w:color w:val="auto"/>
          <w:sz w:val="24"/>
          <w:szCs w:val="24"/>
          <w:u w:val="single"/>
        </w:rPr>
        <w:t>份，副本可为正本的复印件，应与正本一致，如出现不一致情况以正本为准</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rPr>
        <w:t>电子文档（电子文档须将完整的响应文件正本PDF版上传到电子招投标平台，如电子文档与纸质响应文件的实质性内容出现差异，则视为未报名成功）一份。</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参与人员</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0" w:name="_Toc8778"/>
      <w:bookmarkStart w:id="51" w:name="_Toc179714298"/>
      <w:bookmarkStart w:id="52" w:name="_Toc102227319"/>
      <w:bookmarkStart w:id="53" w:name="_Toc27232"/>
      <w:bookmarkStart w:id="54" w:name="_Toc106030865"/>
      <w:bookmarkStart w:id="55" w:name="_Toc28312"/>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0"/>
      <w:bookmarkEnd w:id="51"/>
      <w:bookmarkEnd w:id="52"/>
      <w:bookmarkEnd w:id="53"/>
      <w:bookmarkEnd w:id="54"/>
      <w:bookmarkEnd w:id="55"/>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须有法定代表人或法定代表人授权代表参加。</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（二）由采购小组与</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进行协商。</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有实质性变动的，采购小组须通知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法定代表人或授权代表签字。</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结束后，采购小组要求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在规定的时间内书面提出最优惠的报价及有关承诺，并据此确定是否成交。采购小组视情况要求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在规定时间进行报价，以</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的最后报价为准（填写《最后报价表》）。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6" w:name="_Toc19921"/>
      <w:bookmarkStart w:id="57" w:name="_Toc106030866"/>
      <w:bookmarkStart w:id="58" w:name="_Toc1945"/>
      <w:bookmarkStart w:id="59" w:name="_Toc17141"/>
      <w:r>
        <w:rPr>
          <w:rFonts w:hint="eastAsia" w:ascii="微软雅黑" w:hAnsi="微软雅黑" w:eastAsia="微软雅黑" w:cs="微软雅黑"/>
          <w:sz w:val="24"/>
          <w:szCs w:val="24"/>
        </w:rPr>
        <w:t>六、成交原则</w:t>
      </w:r>
      <w:bookmarkEnd w:id="56"/>
      <w:bookmarkEnd w:id="57"/>
      <w:bookmarkEnd w:id="58"/>
      <w:bookmarkEnd w:id="59"/>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（一）采购小组应通过协商保证采购项目质量，并商定合理的采购价格。</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0" w:name="_Toc22322"/>
      <w:bookmarkStart w:id="61" w:name="_Toc496088675"/>
      <w:bookmarkStart w:id="62" w:name="_Toc496542651"/>
      <w:bookmarkStart w:id="63" w:name="_Toc496028822"/>
      <w:bookmarkStart w:id="64" w:name="_Toc13562"/>
      <w:bookmarkStart w:id="65" w:name="_Toc6734"/>
      <w:bookmarkStart w:id="66" w:name="_Toc106030868"/>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0"/>
      <w:bookmarkEnd w:id="61"/>
      <w:bookmarkEnd w:id="62"/>
      <w:bookmarkEnd w:id="63"/>
      <w:bookmarkEnd w:id="64"/>
      <w:bookmarkEnd w:id="65"/>
      <w:bookmarkEnd w:id="6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.com</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7" w:name="_Toc496542652"/>
      <w:bookmarkStart w:id="68" w:name="_Toc496028823"/>
      <w:bookmarkStart w:id="69" w:name="_Toc4700"/>
      <w:bookmarkStart w:id="70" w:name="_Toc496088676"/>
      <w:bookmarkStart w:id="71" w:name="_Toc10223"/>
      <w:bookmarkStart w:id="72" w:name="_Toc106030869"/>
      <w:bookmarkStart w:id="73" w:name="_Toc19549"/>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bookmarkEnd w:id="67"/>
      <w:bookmarkEnd w:id="68"/>
      <w:bookmarkEnd w:id="69"/>
      <w:bookmarkEnd w:id="70"/>
      <w:bookmarkEnd w:id="71"/>
      <w:bookmarkEnd w:id="72"/>
      <w:bookmarkEnd w:id="73"/>
    </w:p>
    <w:p>
      <w:pPr>
        <w:spacing w:line="400" w:lineRule="exact"/>
        <w:ind w:firstLine="480" w:firstLineChars="200"/>
        <w:rPr>
          <w:rFonts w:hint="eastAsia" w:ascii="微软雅黑" w:hAnsi="微软雅黑" w:eastAsia="微软雅黑" w:cs="微软雅黑"/>
          <w:color w:val="0000FF"/>
          <w:sz w:val="24"/>
        </w:rPr>
      </w:pPr>
      <w:r>
        <w:rPr>
          <w:rFonts w:hint="eastAsia" w:ascii="微软雅黑" w:hAnsi="微软雅黑" w:eastAsia="微软雅黑" w:cs="微软雅黑"/>
          <w:color w:val="0000FF"/>
          <w:sz w:val="24"/>
        </w:rPr>
        <w:t>（一）</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color w:val="0000FF"/>
          <w:sz w:val="24"/>
        </w:rPr>
        <w:t>应于收到中标通知书之日起5个工作日内，按照中标项目的招标文件与投标文件递交采购合同。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sz w:val="24"/>
        </w:rPr>
        <w:t>未在规定时间内递交合同或放弃中标资格，则招标人将有充分的理由废除授标，将</w:t>
      </w:r>
      <w:r>
        <w:rPr>
          <w:rFonts w:hint="eastAsia" w:ascii="微软雅黑" w:hAnsi="微软雅黑" w:eastAsia="微软雅黑" w:cs="微软雅黑"/>
          <w:color w:val="0000FF"/>
          <w:sz w:val="24"/>
          <w:lang w:val="en-US" w:eastAsia="zh-CN"/>
        </w:rPr>
        <w:t>中标人</w:t>
      </w:r>
      <w:r>
        <w:rPr>
          <w:rFonts w:hint="eastAsia" w:ascii="微软雅黑" w:hAnsi="微软雅黑" w:eastAsia="微软雅黑" w:cs="微软雅黑"/>
          <w:sz w:val="24"/>
        </w:rPr>
        <w:t>纳入医院失信</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pStyle w:val="31"/>
        <w:rPr>
          <w:rFonts w:hint="eastAsia" w:ascii="微软雅黑" w:hAnsi="微软雅黑" w:eastAsia="微软雅黑" w:cs="微软雅黑"/>
          <w:sz w:val="24"/>
          <w:szCs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31"/>
        <w:rPr>
          <w:rFonts w:hint="eastAsia" w:ascii="微软雅黑" w:hAnsi="微软雅黑" w:eastAsia="微软雅黑" w:cs="微软雅黑"/>
        </w:rPr>
      </w:pPr>
    </w:p>
    <w:p>
      <w:pPr>
        <w:spacing w:line="400" w:lineRule="exact"/>
        <w:rPr>
          <w:rFonts w:hint="eastAsia" w:ascii="微软雅黑" w:hAnsi="微软雅黑" w:eastAsia="微软雅黑" w:cs="微软雅黑"/>
          <w:sz w:val="24"/>
          <w:szCs w:val="24"/>
        </w:rPr>
      </w:pPr>
      <w:r>
        <w:rPr>
          <w:rFonts w:hint="eastAsia" w:ascii="微软雅黑" w:hAnsi="微软雅黑" w:eastAsia="微软雅黑" w:cs="微软雅黑"/>
          <w:b/>
          <w:szCs w:val="28"/>
        </w:rPr>
        <w:br w:type="page"/>
      </w:r>
    </w:p>
    <w:p>
      <w:pPr>
        <w:pStyle w:val="3"/>
        <w:tabs>
          <w:tab w:val="left" w:pos="3360"/>
        </w:tabs>
        <w:spacing w:line="360" w:lineRule="auto"/>
        <w:jc w:val="center"/>
        <w:rPr>
          <w:rFonts w:hint="eastAsia" w:ascii="微软雅黑" w:hAnsi="微软雅黑" w:eastAsia="微软雅黑" w:cs="微软雅黑"/>
          <w:b/>
          <w:sz w:val="44"/>
        </w:rPr>
      </w:pPr>
      <w:bookmarkStart w:id="74" w:name="_Toc23143"/>
      <w:bookmarkStart w:id="75" w:name="_Toc8649"/>
      <w:bookmarkStart w:id="76" w:name="_Toc26176"/>
      <w:bookmarkStart w:id="77" w:name="_Toc1625"/>
      <w:bookmarkStart w:id="78" w:name="_Toc2070"/>
      <w:bookmarkStart w:id="79" w:name="_Toc12959"/>
      <w:bookmarkStart w:id="80" w:name="_Toc32686"/>
      <w:bookmarkStart w:id="81" w:name="_Toc2422"/>
      <w:bookmarkStart w:id="82" w:name="_Toc75793504"/>
      <w:bookmarkStart w:id="83" w:name="_Toc725"/>
      <w:bookmarkStart w:id="84" w:name="_Toc11017"/>
      <w:bookmarkStart w:id="85" w:name="_Toc1492"/>
      <w:bookmarkStart w:id="86" w:name="_Toc5461"/>
      <w:bookmarkStart w:id="87" w:name="_Toc19886"/>
      <w:bookmarkStart w:id="88" w:name="_Toc25639"/>
      <w:bookmarkStart w:id="89" w:name="_Toc106030380"/>
      <w:bookmarkStart w:id="90" w:name="_Toc20423"/>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三</w:t>
      </w:r>
      <w:r>
        <w:rPr>
          <w:rFonts w:hint="eastAsia" w:ascii="微软雅黑" w:hAnsi="微软雅黑" w:eastAsia="微软雅黑" w:cs="微软雅黑"/>
          <w:b/>
          <w:sz w:val="44"/>
        </w:rPr>
        <w:t xml:space="preserve">篇 </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Fonts w:hint="eastAsia" w:ascii="微软雅黑" w:hAnsi="微软雅黑" w:eastAsia="微软雅黑" w:cs="微软雅黑"/>
          <w:b/>
          <w:sz w:val="44"/>
        </w:rPr>
        <w:t>项目技术（质量）需求</w:t>
      </w:r>
      <w:bookmarkEnd w:id="89"/>
      <w:bookmarkEnd w:id="90"/>
    </w:p>
    <w:p>
      <w:pPr>
        <w:ind w:firstLine="480" w:firstLineChars="200"/>
        <w:rPr>
          <w:rFonts w:hint="eastAsia" w:ascii="微软雅黑" w:hAnsi="微软雅黑" w:eastAsia="微软雅黑" w:cs="微软雅黑"/>
          <w:b/>
          <w:bCs/>
          <w:sz w:val="24"/>
          <w:szCs w:val="24"/>
        </w:rPr>
      </w:pPr>
      <w:bookmarkStart w:id="91" w:name="_Toc9261"/>
      <w:bookmarkStart w:id="92" w:name="_Toc20979"/>
      <w:bookmarkStart w:id="93" w:name="_Toc7027"/>
      <w:bookmarkStart w:id="94" w:name="_Toc4519"/>
      <w:bookmarkStart w:id="95" w:name="_Toc22910"/>
      <w:bookmarkStart w:id="96" w:name="_Toc4913"/>
      <w:bookmarkStart w:id="97" w:name="_Toc19238"/>
      <w:bookmarkStart w:id="98" w:name="_Toc106030381"/>
      <w:bookmarkStart w:id="99" w:name="_Toc8370"/>
      <w:bookmarkStart w:id="100" w:name="_Toc75793505"/>
      <w:bookmarkStart w:id="101" w:name="_Toc29985"/>
      <w:bookmarkStart w:id="102" w:name="_Toc23504"/>
      <w:bookmarkStart w:id="103" w:name="_Toc4531"/>
      <w:bookmarkStart w:id="104" w:name="_Toc23656"/>
      <w:bookmarkStart w:id="105" w:name="_Toc11703"/>
      <w:r>
        <w:rPr>
          <w:rFonts w:hint="eastAsia" w:ascii="微软雅黑" w:hAnsi="微软雅黑" w:eastAsia="微软雅黑" w:cs="微软雅黑"/>
          <w:b/>
          <w:bCs/>
          <w:sz w:val="24"/>
          <w:szCs w:val="24"/>
        </w:rPr>
        <w:t>一、项目一览表</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5103"/>
        <w:gridCol w:w="1505"/>
        <w:gridCol w:w="15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5103"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50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服务期限</w:t>
            </w:r>
          </w:p>
        </w:tc>
        <w:tc>
          <w:tcPr>
            <w:tcW w:w="1557"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p>
        </w:tc>
        <w:tc>
          <w:tcPr>
            <w:tcW w:w="5103" w:type="dxa"/>
            <w:vAlign w:val="center"/>
          </w:tcPr>
          <w:p>
            <w:pPr>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机房环境监控维保</w:t>
            </w:r>
          </w:p>
        </w:tc>
        <w:tc>
          <w:tcPr>
            <w:tcW w:w="1505" w:type="dxa"/>
            <w:vAlign w:val="center"/>
          </w:tcPr>
          <w:p>
            <w:pPr>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3年</w:t>
            </w:r>
          </w:p>
        </w:tc>
        <w:tc>
          <w:tcPr>
            <w:tcW w:w="1557" w:type="dxa"/>
            <w:vAlign w:val="center"/>
          </w:tcPr>
          <w:p>
            <w:pPr>
              <w:jc w:val="center"/>
              <w:rPr>
                <w:rFonts w:hint="eastAsia" w:ascii="微软雅黑" w:hAnsi="微软雅黑" w:eastAsia="微软雅黑" w:cs="微软雅黑"/>
                <w:sz w:val="24"/>
                <w:szCs w:val="24"/>
                <w:lang w:val="en-US" w:eastAsia="zh-CN"/>
              </w:rPr>
            </w:pPr>
          </w:p>
        </w:tc>
      </w:tr>
    </w:tbl>
    <w:p>
      <w:pPr>
        <w:ind w:firstLine="480" w:firstLineChars="200"/>
        <w:rPr>
          <w:rFonts w:hint="eastAsia" w:ascii="微软雅黑" w:hAnsi="微软雅黑" w:eastAsia="微软雅黑" w:cs="微软雅黑"/>
          <w:sz w:val="24"/>
          <w:szCs w:val="24"/>
        </w:rPr>
      </w:pPr>
      <w:bookmarkStart w:id="106" w:name="_Toc18800"/>
      <w:bookmarkStart w:id="107" w:name="_Toc106030382"/>
      <w:bookmarkStart w:id="108" w:name="_Toc10143"/>
      <w:bookmarkStart w:id="109" w:name="_Toc5751"/>
      <w:bookmarkStart w:id="110" w:name="_Toc18903"/>
      <w:bookmarkStart w:id="111" w:name="_Toc15696"/>
      <w:bookmarkStart w:id="112" w:name="_Toc21817"/>
      <w:bookmarkStart w:id="113" w:name="_Toc75793506"/>
      <w:bookmarkStart w:id="114" w:name="_Toc7792"/>
      <w:bookmarkStart w:id="115" w:name="_Toc32262"/>
      <w:bookmarkStart w:id="116" w:name="_Toc26453"/>
      <w:bookmarkStart w:id="117" w:name="_Toc27067"/>
      <w:bookmarkStart w:id="118" w:name="_Toc23975"/>
      <w:bookmarkStart w:id="119" w:name="_Toc28205"/>
      <w:bookmarkStart w:id="120" w:name="_Toc695"/>
      <w:bookmarkStart w:id="121" w:name="_Toc12568"/>
      <w:r>
        <w:rPr>
          <w:rFonts w:hint="eastAsia" w:ascii="微软雅黑" w:hAnsi="微软雅黑" w:eastAsia="微软雅黑" w:cs="微软雅黑"/>
          <w:b/>
          <w:bCs/>
          <w:sz w:val="24"/>
          <w:szCs w:val="24"/>
        </w:rPr>
        <w:t>二、项目技术需求</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pPr>
        <w:pStyle w:val="31"/>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本项维护服务涵盖机房环境监控系统及其相关设备的定期检查、功能测试与基础保养，具体包括：</w:t>
      </w:r>
    </w:p>
    <w:p>
      <w:pPr>
        <w:pStyle w:val="31"/>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1.服务范围：渝中院区的1号楼汇聚机房、3号楼汇聚机房（新增）、5号楼中心机房、7号楼中心机房；两江院区的门诊楼中心机房、医技楼汇聚机房（新增）。</w:t>
      </w:r>
    </w:p>
    <w:p>
      <w:pPr>
        <w:pStyle w:val="31"/>
        <w:ind w:left="0" w:leftChars="0"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2.精密空调监控单元：检查精密空调与监控系统间的通讯链路状态，确保其正常。校验监控软件所显示的空调运行参数（如温度、湿度、设定值、告警状态等）与实际设备数据的准确性。</w:t>
      </w:r>
    </w:p>
    <w:p>
      <w:pPr>
        <w:pStyle w:val="31"/>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3.不间断电源(UPS)监控单元：检查UPS设备与监控系统间的通讯链路状态，确保其正常。校验监控软件所显示的UPS运行参数（如输入/输出电压电流、负载率、电池状态等）与实际设备数据的准确性。</w:t>
      </w:r>
    </w:p>
    <w:p>
      <w:pPr>
        <w:pStyle w:val="31"/>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4.温湿度监测单元：现场核对温湿度传感器所采集的实际数据，与监控软件显示值进行比对，确保数据准确。检查各温湿度传感器的通讯状态是否正常。</w:t>
      </w:r>
    </w:p>
    <w:p>
      <w:pPr>
        <w:pStyle w:val="31"/>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5.漏水检测单元：在确保安全的前提下，模拟漏水事件，触发漏水检测系统报警。全程检查从传感器报警、定位、到监控软件声光告警及日志记录的完整链路功能是否正常、及时、准确。</w:t>
      </w:r>
    </w:p>
    <w:p>
      <w:pPr>
        <w:pStyle w:val="31"/>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6.市电供电监测单元：比对监控软件显示的市电参数（如电压、电流、频率、功率等）与前端电量监测仪（如PUM）的显示值是否一致。使用专业仪表现场测量关键参数，与软件显示值进行抽查校验，确保监测精度。</w:t>
      </w:r>
    </w:p>
    <w:p>
      <w:pPr>
        <w:pStyle w:val="31"/>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7.配电开关状态监测单元：在客户许可及确保安全的前提下，对若干重要配电开关进行远程或现场分合闸操作（或模拟状态变化）。核实开关状态变化是否被准确、实时地采集并显示在监控软件中，确保状态监测的可靠性。</w:t>
      </w:r>
    </w:p>
    <w:p>
      <w:pPr>
        <w:pStyle w:val="31"/>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8.消防信号监测单元：检查消防主机（或火灾报警系统）与监控系统之间的信号采集接口通讯状态。确认消防告警信号（如火警、故障）能够被监控系统正确接收并即时产生声光报警及事件记录。</w:t>
      </w:r>
    </w:p>
    <w:p>
      <w:pPr>
        <w:pStyle w:val="31"/>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9.监控平台软件检查：对监控系统软件平台的运行状态进行评估，包括其稳定性、响应速度及界面操作流畅性。抽查历史数据记录、告警日志的完整性与准确性，确保其符合运行管理要求。</w:t>
      </w:r>
    </w:p>
    <w:p>
      <w:pPr>
        <w:pStyle w:val="31"/>
        <w:ind w:firstLine="480" w:firstLineChars="200"/>
        <w:rPr>
          <w:rFonts w:hint="eastAsia" w:ascii="微软雅黑" w:hAnsi="微软雅黑" w:eastAsia="微软雅黑" w:cs="微软雅黑"/>
          <w:sz w:val="24"/>
          <w:lang w:val="en-US" w:eastAsia="zh-CN"/>
        </w:rPr>
        <w:sectPr>
          <w:footerReference r:id="rId8" w:type="default"/>
          <w:footerReference r:id="rId9" w:type="even"/>
          <w:pgSz w:w="11907" w:h="16840"/>
          <w:pgMar w:top="1134" w:right="1020" w:bottom="1134" w:left="1020" w:header="964" w:footer="992" w:gutter="0"/>
          <w:pgNumType w:fmt="numberInDash"/>
          <w:cols w:space="720" w:num="1"/>
          <w:docGrid w:linePitch="381" w:charSpace="0"/>
        </w:sectPr>
      </w:pPr>
      <w:r>
        <w:rPr>
          <w:rFonts w:hint="eastAsia" w:ascii="微软雅黑" w:hAnsi="微软雅黑" w:eastAsia="微软雅黑" w:cs="微软雅黑"/>
          <w:sz w:val="24"/>
          <w:lang w:val="en-US" w:eastAsia="zh-CN"/>
        </w:rPr>
        <w:t>10.监控系统主机维护：每半年对监控系统服务器/工作站主机进行一次物理清洁，包括内部灰尘清理、检查风扇运转等。进行必要的系统健康检查，以确保主机硬件运行稳定，支撑监控平台持续可靠工作。</w:t>
      </w:r>
    </w:p>
    <w:p>
      <w:pPr>
        <w:pStyle w:val="4"/>
        <w:spacing w:before="200" w:after="200" w:line="240" w:lineRule="auto"/>
        <w:jc w:val="center"/>
        <w:rPr>
          <w:rFonts w:hint="eastAsia" w:ascii="微软雅黑" w:hAnsi="微软雅黑" w:eastAsia="微软雅黑" w:cs="微软雅黑"/>
          <w:sz w:val="44"/>
        </w:rPr>
      </w:pPr>
      <w:bookmarkStart w:id="122" w:name="_Toc106030882"/>
      <w:bookmarkStart w:id="123" w:name="_Toc7791"/>
      <w:bookmarkStart w:id="124" w:name="_Toc76462327"/>
      <w:bookmarkStart w:id="125" w:name="_Toc20081"/>
      <w:r>
        <w:rPr>
          <w:rFonts w:hint="eastAsia" w:ascii="微软雅黑" w:hAnsi="微软雅黑" w:eastAsia="微软雅黑" w:cs="微软雅黑"/>
          <w:sz w:val="44"/>
        </w:rPr>
        <w:t>第</w:t>
      </w:r>
      <w:r>
        <w:rPr>
          <w:rFonts w:hint="eastAsia" w:ascii="微软雅黑" w:hAnsi="微软雅黑" w:eastAsia="微软雅黑" w:cs="微软雅黑"/>
          <w:sz w:val="44"/>
          <w:lang w:val="en-US" w:eastAsia="zh-CN"/>
        </w:rPr>
        <w:t>四</w:t>
      </w:r>
      <w:r>
        <w:rPr>
          <w:rFonts w:hint="eastAsia" w:ascii="微软雅黑" w:hAnsi="微软雅黑" w:eastAsia="微软雅黑" w:cs="微软雅黑"/>
          <w:sz w:val="44"/>
        </w:rPr>
        <w:t xml:space="preserve">篇  </w:t>
      </w:r>
      <w:bookmarkEnd w:id="16"/>
      <w:r>
        <w:rPr>
          <w:rFonts w:hint="eastAsia" w:ascii="微软雅黑" w:hAnsi="微软雅黑" w:eastAsia="微软雅黑" w:cs="微软雅黑"/>
          <w:sz w:val="44"/>
        </w:rPr>
        <w:t>项目商务需求</w:t>
      </w:r>
      <w:bookmarkEnd w:id="122"/>
      <w:bookmarkEnd w:id="123"/>
      <w:bookmarkEnd w:id="124"/>
      <w:bookmarkEnd w:id="125"/>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服务期限</w:t>
            </w:r>
            <w:r>
              <w:rPr>
                <w:rFonts w:hint="eastAsia" w:ascii="微软雅黑" w:hAnsi="微软雅黑" w:eastAsia="微软雅黑" w:cs="微软雅黑"/>
                <w:b/>
                <w:bCs/>
                <w:sz w:val="24"/>
                <w:szCs w:val="24"/>
              </w:rPr>
              <w:t>、</w:t>
            </w:r>
            <w:r>
              <w:rPr>
                <w:rFonts w:hint="eastAsia" w:ascii="微软雅黑" w:hAnsi="微软雅黑" w:eastAsia="微软雅黑" w:cs="微软雅黑"/>
                <w:b/>
                <w:bCs/>
                <w:sz w:val="24"/>
                <w:szCs w:val="24"/>
                <w:lang w:val="en-US" w:eastAsia="zh-CN"/>
              </w:rPr>
              <w:t>服务</w:t>
            </w:r>
            <w:r>
              <w:rPr>
                <w:rFonts w:hint="eastAsia" w:ascii="微软雅黑" w:hAnsi="微软雅黑" w:eastAsia="微软雅黑" w:cs="微软雅黑"/>
                <w:b/>
                <w:bCs/>
                <w:sz w:val="24"/>
                <w:szCs w:val="24"/>
              </w:rPr>
              <w:t>地点及验收方式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服务期限：自合同签订日期起3年</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服务地点：重庆医科大学附属儿童医院</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验收方式：每月完成巡检后提供巡检记录；每年提供故障处理记录。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1.巡检时间</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投标人人员每月到现场进行巡检一次，并且出具巡检报告及时向采购人汇报设备运行状态，报告由采购人确认，存底备查。</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2.普通故障</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如出现参数显示不正确，某一设备通讯故障等普通故障，投标人在接到电话时计算，24小时内到现场解决故障。</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3.紧急故障</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如出现系统崩溃等特大故障，投标人在接到电话时计算，2小时内到现场处理故障，4个小时内解决故障。</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4.设备备件</w:t>
            </w:r>
          </w:p>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设备或材料产生损坏时，投标人负责送设备至原厂进行维修，当维修或更换设备所需要的时间超过1个工作日，则必须提供备件。确实不能修复设备，与采购人协商先行使用替代设备或材料。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pStyle w:val="144"/>
              <w:widowControl/>
              <w:adjustRightInd w:val="0"/>
              <w:snapToGrid w:val="0"/>
              <w:spacing w:line="400" w:lineRule="exact"/>
              <w:jc w:val="lef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1.该项目在投标现场进行二次报价。</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2.该项目需对项目包干总价进行报价，包括完成本项目所需的所有费用及各种应纳的税费。因中标人自身原因造成漏报、少报皆由其自行承担责任，采购人不再补偿。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结算要求：一年为一个服务周期，一个服务周期结束后，全额支付本周期维护服务费。</w:t>
            </w:r>
          </w:p>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付款方式：每服务周期结束经采购人验收合格后，投标人提供合同金额的发票几验收依据，采购人收到发票后2个月内支付。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采购人在中华人民共和国境内使用中标人提供的产品及服务时免受第三方提出的侵犯其专利权或其它知识产权的起诉。如果第三方提出侵权指控，中标人应承担由此而引起的一切法律责任和经济责任。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投标人必须在响应文件中对以上条款和服务承诺明确列出，承诺内容必须达到本篇及</w:t>
            </w:r>
            <w:r>
              <w:rPr>
                <w:rFonts w:hint="eastAsia" w:ascii="微软雅黑" w:hAnsi="微软雅黑" w:eastAsia="微软雅黑" w:cs="微软雅黑"/>
                <w:sz w:val="24"/>
                <w:szCs w:val="24"/>
                <w:lang w:val="en-US" w:eastAsia="zh-CN"/>
              </w:rPr>
              <w:t>采购</w:t>
            </w:r>
            <w:r>
              <w:rPr>
                <w:rFonts w:hint="eastAsia" w:ascii="微软雅黑" w:hAnsi="微软雅黑" w:eastAsia="微软雅黑" w:cs="微软雅黑"/>
                <w:sz w:val="24"/>
                <w:szCs w:val="24"/>
              </w:rPr>
              <w:t>文件其他条款的要求。</w:t>
            </w:r>
          </w:p>
          <w:p>
            <w:pPr>
              <w:pStyle w:val="144"/>
              <w:widowControl/>
              <w:adjustRightInd w:val="0"/>
              <w:snapToGrid w:val="0"/>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b/>
          <w:sz w:val="44"/>
        </w:rPr>
      </w:pPr>
      <w:bookmarkStart w:id="126" w:name="_Toc106030887"/>
      <w:bookmarkStart w:id="127" w:name="_Toc76462332"/>
      <w:bookmarkStart w:id="128" w:name="_Toc6692"/>
      <w:r>
        <w:rPr>
          <w:rFonts w:hint="eastAsia" w:ascii="微软雅黑" w:hAnsi="微软雅黑" w:eastAsia="微软雅黑" w:cs="微软雅黑"/>
          <w:b/>
          <w:sz w:val="44"/>
        </w:rPr>
        <w:br w:type="page"/>
      </w:r>
    </w:p>
    <w:bookmarkEnd w:id="126"/>
    <w:bookmarkEnd w:id="127"/>
    <w:bookmarkEnd w:id="128"/>
    <w:p>
      <w:pPr>
        <w:pStyle w:val="4"/>
        <w:spacing w:before="200" w:after="200" w:line="240" w:lineRule="auto"/>
        <w:jc w:val="center"/>
        <w:rPr>
          <w:rFonts w:hint="eastAsia" w:ascii="微软雅黑" w:hAnsi="微软雅黑" w:eastAsia="微软雅黑" w:cs="微软雅黑"/>
          <w:sz w:val="44"/>
        </w:rPr>
      </w:pPr>
      <w:bookmarkStart w:id="129" w:name="_Hlt41879464"/>
      <w:bookmarkEnd w:id="129"/>
      <w:bookmarkStart w:id="130" w:name="_Toc76462349"/>
      <w:bookmarkStart w:id="131" w:name="_Toc17104"/>
      <w:bookmarkStart w:id="132" w:name="_Toc106030905"/>
      <w:bookmarkStart w:id="133" w:name="_Toc27984"/>
      <w:r>
        <w:rPr>
          <w:rFonts w:hint="eastAsia" w:ascii="微软雅黑" w:hAnsi="微软雅黑" w:eastAsia="微软雅黑" w:cs="微软雅黑"/>
          <w:sz w:val="44"/>
        </w:rPr>
        <w:t>第</w:t>
      </w:r>
      <w:r>
        <w:rPr>
          <w:rFonts w:hint="eastAsia" w:ascii="微软雅黑" w:hAnsi="微软雅黑" w:eastAsia="微软雅黑" w:cs="微软雅黑"/>
          <w:sz w:val="44"/>
          <w:lang w:val="en-US" w:eastAsia="zh-CN"/>
        </w:rPr>
        <w:t>五</w:t>
      </w:r>
      <w:r>
        <w:rPr>
          <w:rFonts w:hint="eastAsia" w:ascii="微软雅黑" w:hAnsi="微软雅黑" w:eastAsia="微软雅黑" w:cs="微软雅黑"/>
          <w:sz w:val="44"/>
        </w:rPr>
        <w:t>篇  响应文件编制要求</w:t>
      </w:r>
      <w:bookmarkEnd w:id="130"/>
      <w:bookmarkEnd w:id="131"/>
      <w:bookmarkEnd w:id="132"/>
      <w:bookmarkEnd w:id="1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bdr w:val="single" w:color="auto" w:sz="4" w:space="0"/>
        </w:rPr>
        <w:sectPr>
          <w:footerReference r:id="rId10"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其他与项目有关的资料</w:t>
      </w:r>
    </w:p>
    <w:p>
      <w:pPr>
        <w:spacing w:line="360" w:lineRule="auto"/>
        <w:jc w:val="both"/>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rPr>
        <w:rStyle w:val="62"/>
      </w:rPr>
      <w:t>- 4 -</w:t>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2C100FA"/>
    <w:rsid w:val="02C10F3E"/>
    <w:rsid w:val="030620E3"/>
    <w:rsid w:val="0496039D"/>
    <w:rsid w:val="05B83278"/>
    <w:rsid w:val="079B568B"/>
    <w:rsid w:val="07F103E0"/>
    <w:rsid w:val="092E6FC0"/>
    <w:rsid w:val="0BB87E47"/>
    <w:rsid w:val="0D1F249B"/>
    <w:rsid w:val="0D26388C"/>
    <w:rsid w:val="0D2D45FA"/>
    <w:rsid w:val="0F4F0F37"/>
    <w:rsid w:val="1009316D"/>
    <w:rsid w:val="147A5E14"/>
    <w:rsid w:val="14D11CFB"/>
    <w:rsid w:val="15935DB5"/>
    <w:rsid w:val="15BB3449"/>
    <w:rsid w:val="171C1EE4"/>
    <w:rsid w:val="17324323"/>
    <w:rsid w:val="17A1211B"/>
    <w:rsid w:val="18ED7A84"/>
    <w:rsid w:val="19255AF5"/>
    <w:rsid w:val="19401112"/>
    <w:rsid w:val="19740A13"/>
    <w:rsid w:val="1A7E6296"/>
    <w:rsid w:val="1C3E51DD"/>
    <w:rsid w:val="1F0D01CA"/>
    <w:rsid w:val="21226BB2"/>
    <w:rsid w:val="21864056"/>
    <w:rsid w:val="222348FC"/>
    <w:rsid w:val="22F860AB"/>
    <w:rsid w:val="2486441F"/>
    <w:rsid w:val="263535D3"/>
    <w:rsid w:val="286153F5"/>
    <w:rsid w:val="28673056"/>
    <w:rsid w:val="28767105"/>
    <w:rsid w:val="2895673E"/>
    <w:rsid w:val="29601F8B"/>
    <w:rsid w:val="296F02CD"/>
    <w:rsid w:val="2AA01F44"/>
    <w:rsid w:val="2B9D4AB7"/>
    <w:rsid w:val="2C43216E"/>
    <w:rsid w:val="2CD472B8"/>
    <w:rsid w:val="2DB02B6B"/>
    <w:rsid w:val="2DDD1BED"/>
    <w:rsid w:val="300C58E0"/>
    <w:rsid w:val="30607DAE"/>
    <w:rsid w:val="31267C32"/>
    <w:rsid w:val="312C1210"/>
    <w:rsid w:val="31DA5A58"/>
    <w:rsid w:val="32FD7152"/>
    <w:rsid w:val="332D1E43"/>
    <w:rsid w:val="348014C3"/>
    <w:rsid w:val="361F2D7D"/>
    <w:rsid w:val="37556B60"/>
    <w:rsid w:val="38CD7FDC"/>
    <w:rsid w:val="3AB207B7"/>
    <w:rsid w:val="3ACE5D4F"/>
    <w:rsid w:val="3BCC72E2"/>
    <w:rsid w:val="3C55524B"/>
    <w:rsid w:val="3CCE1388"/>
    <w:rsid w:val="3DF6488D"/>
    <w:rsid w:val="3F1C71CA"/>
    <w:rsid w:val="406334F2"/>
    <w:rsid w:val="409F14A1"/>
    <w:rsid w:val="41002C01"/>
    <w:rsid w:val="415F6EA3"/>
    <w:rsid w:val="42E4764C"/>
    <w:rsid w:val="43403230"/>
    <w:rsid w:val="452C7897"/>
    <w:rsid w:val="46151D23"/>
    <w:rsid w:val="46D026EE"/>
    <w:rsid w:val="48B9147E"/>
    <w:rsid w:val="494C6B8D"/>
    <w:rsid w:val="497B7CB3"/>
    <w:rsid w:val="49D3665A"/>
    <w:rsid w:val="4A8845CE"/>
    <w:rsid w:val="4B2D12E0"/>
    <w:rsid w:val="4BEB6B31"/>
    <w:rsid w:val="4DD36371"/>
    <w:rsid w:val="4EEC1F3B"/>
    <w:rsid w:val="4F070047"/>
    <w:rsid w:val="4F3C244F"/>
    <w:rsid w:val="4FCD30B4"/>
    <w:rsid w:val="500C41C5"/>
    <w:rsid w:val="5115115D"/>
    <w:rsid w:val="521E4A24"/>
    <w:rsid w:val="52D92ACB"/>
    <w:rsid w:val="53B4776F"/>
    <w:rsid w:val="53DF1E3A"/>
    <w:rsid w:val="540F25CE"/>
    <w:rsid w:val="545B425C"/>
    <w:rsid w:val="558E730F"/>
    <w:rsid w:val="56B85F51"/>
    <w:rsid w:val="573C43EC"/>
    <w:rsid w:val="57857077"/>
    <w:rsid w:val="587934A1"/>
    <w:rsid w:val="58EA1C45"/>
    <w:rsid w:val="5CA67F0E"/>
    <w:rsid w:val="5CC4593C"/>
    <w:rsid w:val="5DAD4E7C"/>
    <w:rsid w:val="60CB5C8F"/>
    <w:rsid w:val="648E3C9A"/>
    <w:rsid w:val="64DA4767"/>
    <w:rsid w:val="65170F5B"/>
    <w:rsid w:val="65215328"/>
    <w:rsid w:val="670A099E"/>
    <w:rsid w:val="68BD663A"/>
    <w:rsid w:val="692F74C0"/>
    <w:rsid w:val="696405DD"/>
    <w:rsid w:val="69BE2355"/>
    <w:rsid w:val="6B75107A"/>
    <w:rsid w:val="6D2C595F"/>
    <w:rsid w:val="6D5236ED"/>
    <w:rsid w:val="6FE969BF"/>
    <w:rsid w:val="701245F9"/>
    <w:rsid w:val="71175C34"/>
    <w:rsid w:val="71F320AC"/>
    <w:rsid w:val="74D70DF7"/>
    <w:rsid w:val="750950F5"/>
    <w:rsid w:val="750D16CF"/>
    <w:rsid w:val="75296395"/>
    <w:rsid w:val="773622B4"/>
    <w:rsid w:val="77D50611"/>
    <w:rsid w:val="789F3DA6"/>
    <w:rsid w:val="78A52377"/>
    <w:rsid w:val="79082185"/>
    <w:rsid w:val="79FB3E99"/>
    <w:rsid w:val="7A6F77AB"/>
    <w:rsid w:val="7ABA3FBA"/>
    <w:rsid w:val="7B5B7497"/>
    <w:rsid w:val="7BEF5F10"/>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3">
    <w:name w:val="正文 A"/>
    <w:qFormat/>
    <w:uiPriority w:val="0"/>
    <w:pPr>
      <w:framePr w:wrap="around" w:vAnchor="margin" w:hAnchor="text" w:y="1"/>
      <w:widowControl w:val="0"/>
      <w:jc w:val="both"/>
    </w:pPr>
    <w:rPr>
      <w:rFonts w:hint="eastAsia" w:ascii="Arial Unicode MS" w:hAnsi="Arial Unicode MS" w:eastAsia="Calibri" w:cs="Arial Unicode MS"/>
      <w:color w:val="000000"/>
      <w:kern w:val="2"/>
      <w:sz w:val="21"/>
      <w:szCs w:val="21"/>
      <w:u w:val="none" w:color="000000"/>
      <w:lang w:val="en-US" w:eastAsia="zh-CN" w:bidi="ar-SA"/>
    </w:rPr>
  </w:style>
  <w:style w:type="paragraph" w:customStyle="1" w:styleId="244">
    <w:name w:val="p15"/>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1</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Administrator</cp:lastModifiedBy>
  <cp:lastPrinted>2015-03-25T02:14:00Z</cp:lastPrinted>
  <dcterms:modified xsi:type="dcterms:W3CDTF">2026-03-23T01:43:31Z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1836F1CF63EA4432A2543AC0091EB549</vt:lpwstr>
  </property>
</Properties>
</file>