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单一来源</w:t>
      </w: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spacing w:line="700" w:lineRule="exact"/>
        <w:jc w:val="both"/>
        <w:rPr>
          <w:rFonts w:hint="eastAsia" w:ascii="微软雅黑" w:hAnsi="微软雅黑" w:eastAsia="微软雅黑" w:cs="微软雅黑"/>
          <w:spacing w:val="80"/>
          <w:sz w:val="130"/>
          <w:szCs w:val="130"/>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pStyle w:val="57"/>
        <w:rPr>
          <w:rFonts w:hint="eastAsia" w:ascii="微软雅黑" w:hAnsi="微软雅黑" w:eastAsia="微软雅黑" w:cs="微软雅黑"/>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800" w:firstLineChars="5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w:t>
      </w:r>
      <w:r>
        <w:rPr>
          <w:rFonts w:hint="eastAsia" w:ascii="微软雅黑" w:hAnsi="微软雅黑" w:eastAsia="微软雅黑" w:cs="微软雅黑"/>
          <w:sz w:val="36"/>
          <w:szCs w:val="36"/>
          <w:u w:val="single"/>
          <w:lang w:val="en-US" w:eastAsia="zh-CN"/>
        </w:rPr>
        <w:t>XX260133</w:t>
      </w:r>
    </w:p>
    <w:p>
      <w:pPr>
        <w:spacing w:line="360" w:lineRule="auto"/>
        <w:ind w:firstLine="1800" w:firstLineChars="500"/>
        <w:outlineLvl w:val="0"/>
        <w:rPr>
          <w:rFonts w:hint="eastAsia" w:ascii="微软雅黑" w:hAnsi="微软雅黑" w:eastAsia="微软雅黑" w:cs="微软雅黑"/>
          <w:sz w:val="36"/>
          <w:szCs w:val="36"/>
          <w:u w:val="single"/>
          <w:lang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大数据平台驻场服务</w:t>
      </w:r>
    </w:p>
    <w:p>
      <w:pPr>
        <w:spacing w:line="700" w:lineRule="exact"/>
        <w:rPr>
          <w:rFonts w:hint="eastAsia" w:ascii="微软雅黑" w:hAnsi="微软雅黑" w:eastAsia="微软雅黑" w:cs="微软雅黑"/>
          <w:b/>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00" w:lineRule="exact"/>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3</w:t>
      </w:r>
      <w:r>
        <w:rPr>
          <w:rFonts w:hint="eastAsia" w:ascii="微软雅黑" w:hAnsi="微软雅黑" w:eastAsia="微软雅黑" w:cs="微软雅黑"/>
          <w:sz w:val="36"/>
          <w:szCs w:val="36"/>
        </w:rPr>
        <w:t>月</w:t>
      </w:r>
    </w:p>
    <w:p>
      <w:pPr>
        <w:spacing w:line="700" w:lineRule="exact"/>
        <w:jc w:val="center"/>
        <w:outlineLvl w:val="0"/>
        <w:rPr>
          <w:rFonts w:hint="eastAsia" w:ascii="微软雅黑" w:hAnsi="微软雅黑" w:eastAsia="微软雅黑" w:cs="微软雅黑"/>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Style w:val="53"/>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_Toc18276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sz w:val="24"/>
          <w:szCs w:val="24"/>
        </w:rPr>
        <w:tab/>
      </w:r>
      <w:r>
        <w:rPr>
          <w:sz w:val="24"/>
          <w:szCs w:val="24"/>
        </w:rPr>
        <w:fldChar w:fldCharType="begin"/>
      </w:r>
      <w:r>
        <w:rPr>
          <w:sz w:val="24"/>
          <w:szCs w:val="24"/>
        </w:rPr>
        <w:instrText xml:space="preserve"> PAGEREF _Toc18276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sz w:val="24"/>
          <w:szCs w:val="24"/>
        </w:rPr>
        <w:tab/>
      </w:r>
      <w:r>
        <w:rPr>
          <w:sz w:val="24"/>
          <w:szCs w:val="24"/>
        </w:rPr>
        <w:fldChar w:fldCharType="begin"/>
      </w:r>
      <w:r>
        <w:rPr>
          <w:sz w:val="24"/>
          <w:szCs w:val="24"/>
        </w:rPr>
        <w:instrText xml:space="preserve"> PAGEREF _Toc1997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_Toc23814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sz w:val="24"/>
          <w:szCs w:val="24"/>
        </w:rPr>
        <w:tab/>
      </w:r>
      <w:r>
        <w:rPr>
          <w:sz w:val="24"/>
          <w:szCs w:val="24"/>
        </w:rPr>
        <w:fldChar w:fldCharType="begin"/>
      </w:r>
      <w:r>
        <w:rPr>
          <w:sz w:val="24"/>
          <w:szCs w:val="24"/>
        </w:rPr>
        <w:instrText xml:space="preserve"> PAGEREF _Toc23814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sz w:val="24"/>
          <w:szCs w:val="24"/>
        </w:rPr>
        <w:tab/>
      </w:r>
      <w:r>
        <w:rPr>
          <w:sz w:val="24"/>
          <w:szCs w:val="24"/>
        </w:rPr>
        <w:fldChar w:fldCharType="begin"/>
      </w:r>
      <w:r>
        <w:rPr>
          <w:sz w:val="24"/>
          <w:szCs w:val="24"/>
        </w:rPr>
        <w:instrText xml:space="preserve"> PAGEREF _Toc1768 \h </w:instrText>
      </w:r>
      <w:r>
        <w:rPr>
          <w:sz w:val="24"/>
          <w:szCs w:val="24"/>
        </w:rPr>
        <w:fldChar w:fldCharType="separate"/>
      </w:r>
      <w:r>
        <w:rPr>
          <w:sz w:val="24"/>
          <w:szCs w:val="24"/>
        </w:rPr>
        <w:t>2</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sz w:val="24"/>
          <w:szCs w:val="24"/>
        </w:rPr>
        <w:tab/>
      </w:r>
      <w:r>
        <w:rPr>
          <w:sz w:val="24"/>
          <w:szCs w:val="24"/>
        </w:rPr>
        <w:fldChar w:fldCharType="begin"/>
      </w:r>
      <w:r>
        <w:rPr>
          <w:sz w:val="24"/>
          <w:szCs w:val="24"/>
        </w:rPr>
        <w:instrText xml:space="preserve"> PAGEREF _Toc1486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sz w:val="24"/>
          <w:szCs w:val="24"/>
        </w:rPr>
        <w:tab/>
      </w:r>
      <w:r>
        <w:rPr>
          <w:sz w:val="24"/>
          <w:szCs w:val="24"/>
        </w:rPr>
        <w:fldChar w:fldCharType="begin"/>
      </w:r>
      <w:r>
        <w:rPr>
          <w:sz w:val="24"/>
          <w:szCs w:val="24"/>
        </w:rPr>
        <w:instrText xml:space="preserve"> PAGEREF _Toc26605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sz w:val="24"/>
          <w:szCs w:val="24"/>
        </w:rPr>
        <w:tab/>
      </w:r>
      <w:r>
        <w:rPr>
          <w:sz w:val="24"/>
          <w:szCs w:val="24"/>
        </w:rPr>
        <w:fldChar w:fldCharType="begin"/>
      </w:r>
      <w:r>
        <w:rPr>
          <w:sz w:val="24"/>
          <w:szCs w:val="24"/>
        </w:rPr>
        <w:instrText xml:space="preserve"> PAGEREF _Toc26572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_Toc28009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_Toc28009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_Toc9497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sz w:val="24"/>
          <w:szCs w:val="24"/>
        </w:rPr>
        <w:tab/>
      </w:r>
      <w:r>
        <w:rPr>
          <w:sz w:val="24"/>
          <w:szCs w:val="24"/>
        </w:rPr>
        <w:fldChar w:fldCharType="begin"/>
      </w:r>
      <w:r>
        <w:rPr>
          <w:sz w:val="24"/>
          <w:szCs w:val="24"/>
        </w:rPr>
        <w:instrText xml:space="preserve"> PAGEREF _Toc9497 \h </w:instrText>
      </w:r>
      <w:r>
        <w:rPr>
          <w:sz w:val="24"/>
          <w:szCs w:val="24"/>
        </w:rPr>
        <w:fldChar w:fldCharType="separate"/>
      </w:r>
      <w:r>
        <w:rPr>
          <w:sz w:val="24"/>
          <w:szCs w:val="24"/>
        </w:rPr>
        <w:t>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_Toc23522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_Toc23522 \h </w:instrText>
      </w:r>
      <w:r>
        <w:rPr>
          <w:sz w:val="24"/>
          <w:szCs w:val="24"/>
        </w:rPr>
        <w:fldChar w:fldCharType="separate"/>
      </w:r>
      <w:r>
        <w:rPr>
          <w:sz w:val="24"/>
          <w:szCs w:val="24"/>
        </w:rPr>
        <w:t>4</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_Toc14247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sz w:val="24"/>
          <w:szCs w:val="24"/>
        </w:rPr>
        <w:tab/>
      </w:r>
      <w:r>
        <w:rPr>
          <w:sz w:val="24"/>
          <w:szCs w:val="24"/>
        </w:rPr>
        <w:fldChar w:fldCharType="begin"/>
      </w:r>
      <w:r>
        <w:rPr>
          <w:sz w:val="24"/>
          <w:szCs w:val="24"/>
        </w:rPr>
        <w:instrText xml:space="preserve"> PAGEREF _Toc14247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_Toc5866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sz w:val="24"/>
          <w:szCs w:val="24"/>
        </w:rPr>
        <w:tab/>
      </w:r>
      <w:r>
        <w:rPr>
          <w:sz w:val="24"/>
          <w:szCs w:val="24"/>
        </w:rPr>
        <w:fldChar w:fldCharType="begin"/>
      </w:r>
      <w:r>
        <w:rPr>
          <w:sz w:val="24"/>
          <w:szCs w:val="24"/>
        </w:rPr>
        <w:instrText xml:space="preserve"> PAGEREF _Toc5866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sz w:val="24"/>
          <w:szCs w:val="24"/>
        </w:rPr>
        <w:tab/>
      </w:r>
      <w:r>
        <w:rPr>
          <w:sz w:val="24"/>
          <w:szCs w:val="24"/>
        </w:rPr>
        <w:fldChar w:fldCharType="begin"/>
      </w:r>
      <w:r>
        <w:rPr>
          <w:sz w:val="24"/>
          <w:szCs w:val="24"/>
        </w:rPr>
        <w:instrText xml:space="preserve"> PAGEREF _Toc2209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sz w:val="24"/>
          <w:szCs w:val="24"/>
        </w:rPr>
        <w:tab/>
      </w:r>
      <w:r>
        <w:rPr>
          <w:sz w:val="24"/>
          <w:szCs w:val="24"/>
        </w:rPr>
        <w:fldChar w:fldCharType="begin"/>
      </w:r>
      <w:r>
        <w:rPr>
          <w:sz w:val="24"/>
          <w:szCs w:val="24"/>
        </w:rPr>
        <w:instrText xml:space="preserve"> PAGEREF _Toc3947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商务需求</w:t>
      </w:r>
      <w:r>
        <w:rPr>
          <w:sz w:val="24"/>
          <w:szCs w:val="24"/>
        </w:rPr>
        <w:tab/>
      </w:r>
      <w:r>
        <w:rPr>
          <w:sz w:val="24"/>
          <w:szCs w:val="24"/>
        </w:rPr>
        <w:fldChar w:fldCharType="begin"/>
      </w:r>
      <w:r>
        <w:rPr>
          <w:sz w:val="24"/>
          <w:szCs w:val="24"/>
        </w:rPr>
        <w:instrText xml:space="preserve"> PAGEREF _Toc2028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3"/>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sz w:val="24"/>
          <w:szCs w:val="24"/>
        </w:rPr>
        <w:tab/>
      </w:r>
      <w:r>
        <w:rPr>
          <w:sz w:val="24"/>
          <w:szCs w:val="24"/>
        </w:rPr>
        <w:fldChar w:fldCharType="begin"/>
      </w:r>
      <w:r>
        <w:rPr>
          <w:sz w:val="24"/>
          <w:szCs w:val="24"/>
        </w:rPr>
        <w:instrText xml:space="preserve"> PAGEREF _Toc21948 \h </w:instrText>
      </w:r>
      <w:r>
        <w:rPr>
          <w:sz w:val="24"/>
          <w:szCs w:val="24"/>
        </w:rPr>
        <w:fldChar w:fldCharType="separate"/>
      </w:r>
      <w:r>
        <w:rPr>
          <w:sz w:val="24"/>
          <w:szCs w:val="24"/>
        </w:rPr>
        <w:t>8</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_Toc27777 \h </w:instrText>
      </w:r>
      <w:r>
        <w:rPr>
          <w:sz w:val="24"/>
          <w:szCs w:val="24"/>
        </w:rPr>
        <w:fldChar w:fldCharType="separate"/>
      </w:r>
      <w:r>
        <w:rPr>
          <w:sz w:val="24"/>
          <w:szCs w:val="24"/>
        </w:rPr>
        <w:t>- 1 -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r>
        <w:rPr>
          <w:sz w:val="24"/>
          <w:szCs w:val="24"/>
        </w:rPr>
        <w:tab/>
      </w:r>
      <w:r>
        <w:rPr>
          <w:sz w:val="24"/>
          <w:szCs w:val="24"/>
        </w:rPr>
        <w:fldChar w:fldCharType="begin"/>
      </w:r>
      <w:r>
        <w:rPr>
          <w:sz w:val="24"/>
          <w:szCs w:val="24"/>
        </w:rPr>
        <w:instrText xml:space="preserve"> PAGEREF _Toc29957 \h </w:instrText>
      </w:r>
      <w:r>
        <w:rPr>
          <w:sz w:val="24"/>
          <w:szCs w:val="24"/>
        </w:rPr>
        <w:fldChar w:fldCharType="separate"/>
      </w:r>
      <w:r>
        <w:rPr>
          <w:sz w:val="24"/>
          <w:szCs w:val="24"/>
        </w:rPr>
        <w:t>5</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sz w:val="24"/>
          <w:szCs w:val="24"/>
        </w:rPr>
        <w:tab/>
      </w:r>
      <w:r>
        <w:rPr>
          <w:sz w:val="24"/>
          <w:szCs w:val="24"/>
        </w:rPr>
        <w:fldChar w:fldCharType="begin"/>
      </w:r>
      <w:r>
        <w:rPr>
          <w:sz w:val="24"/>
          <w:szCs w:val="24"/>
        </w:rPr>
        <w:instrText xml:space="preserve"> PAGEREF _Toc19635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sz w:val="24"/>
          <w:szCs w:val="24"/>
        </w:rPr>
        <w:tab/>
      </w:r>
      <w:r>
        <w:rPr>
          <w:sz w:val="24"/>
          <w:szCs w:val="24"/>
        </w:rPr>
        <w:fldChar w:fldCharType="begin"/>
      </w:r>
      <w:r>
        <w:rPr>
          <w:sz w:val="24"/>
          <w:szCs w:val="24"/>
        </w:rPr>
        <w:instrText xml:space="preserve"> PAGEREF _Toc10987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_Toc30120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r>
        <w:rPr>
          <w:sz w:val="24"/>
          <w:szCs w:val="24"/>
        </w:rPr>
        <w:tab/>
      </w:r>
      <w:r>
        <w:rPr>
          <w:sz w:val="24"/>
          <w:szCs w:val="24"/>
        </w:rPr>
        <w:fldChar w:fldCharType="begin"/>
      </w:r>
      <w:r>
        <w:rPr>
          <w:sz w:val="24"/>
          <w:szCs w:val="24"/>
        </w:rPr>
        <w:instrText xml:space="preserve"> PAGEREF _Toc30120 \h </w:instrText>
      </w:r>
      <w:r>
        <w:rPr>
          <w:sz w:val="24"/>
          <w:szCs w:val="24"/>
        </w:rPr>
        <w:fldChar w:fldCharType="separate"/>
      </w:r>
      <w:r>
        <w:rPr>
          <w:sz w:val="24"/>
          <w:szCs w:val="24"/>
        </w:rPr>
        <w:t>6</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r>
        <w:rPr>
          <w:sz w:val="24"/>
          <w:szCs w:val="24"/>
        </w:rPr>
        <w:tab/>
      </w:r>
      <w:r>
        <w:rPr>
          <w:sz w:val="24"/>
          <w:szCs w:val="24"/>
        </w:rPr>
        <w:fldChar w:fldCharType="begin"/>
      </w:r>
      <w:r>
        <w:rPr>
          <w:sz w:val="24"/>
          <w:szCs w:val="24"/>
        </w:rPr>
        <w:instrText xml:space="preserve"> PAGEREF _Toc26032 \h </w:instrText>
      </w:r>
      <w:r>
        <w:rPr>
          <w:sz w:val="24"/>
          <w:szCs w:val="24"/>
        </w:rPr>
        <w:fldChar w:fldCharType="separate"/>
      </w:r>
      <w:r>
        <w:rPr>
          <w:sz w:val="24"/>
          <w:szCs w:val="24"/>
        </w:rPr>
        <w:t>7</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_Toc25481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r>
        <w:rPr>
          <w:sz w:val="24"/>
          <w:szCs w:val="24"/>
        </w:rPr>
        <w:tab/>
      </w:r>
      <w:r>
        <w:rPr>
          <w:sz w:val="24"/>
          <w:szCs w:val="24"/>
        </w:rPr>
        <w:fldChar w:fldCharType="begin"/>
      </w:r>
      <w:r>
        <w:rPr>
          <w:sz w:val="24"/>
          <w:szCs w:val="24"/>
        </w:rPr>
        <w:instrText xml:space="preserve"> PAGEREF _Toc25481 \h </w:instrText>
      </w:r>
      <w:r>
        <w:rPr>
          <w:sz w:val="24"/>
          <w:szCs w:val="24"/>
        </w:rPr>
        <w:fldChar w:fldCharType="separate"/>
      </w:r>
      <w:r>
        <w:rPr>
          <w:sz w:val="24"/>
          <w:szCs w:val="24"/>
        </w:rPr>
        <w:t>13</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12789052"/>
      <w:bookmarkStart w:id="1" w:name="_Toc106030856"/>
      <w:bookmarkStart w:id="2" w:name="_Toc27328"/>
      <w:bookmarkStart w:id="3" w:name="_Toc11641050"/>
      <w:bookmarkStart w:id="4" w:name="_Toc18276"/>
      <w:bookmarkStart w:id="5" w:name="_Toc6871"/>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2789053"/>
      <w:bookmarkStart w:id="7" w:name="_Toc11641051"/>
      <w:r>
        <w:rPr>
          <w:rFonts w:hint="eastAsia" w:ascii="微软雅黑" w:hAnsi="微软雅黑" w:eastAsia="微软雅黑" w:cs="微软雅黑"/>
          <w:sz w:val="24"/>
          <w:szCs w:val="24"/>
          <w:lang w:val="en-US" w:eastAsia="zh-CN"/>
        </w:rPr>
        <w:t>重庆医科大学附属儿童医院对</w:t>
      </w:r>
      <w:r>
        <w:rPr>
          <w:rFonts w:hint="eastAsia" w:ascii="微软雅黑" w:hAnsi="微软雅黑" w:eastAsia="微软雅黑" w:cs="微软雅黑"/>
          <w:sz w:val="24"/>
          <w:szCs w:val="24"/>
          <w:u w:val="single"/>
          <w:lang w:val="en-US" w:eastAsia="zh-CN"/>
        </w:rPr>
        <w:t>大数据平台驻场服务</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1997"/>
      <w:bookmarkStart w:id="9" w:name="_Toc23979"/>
      <w:bookmarkStart w:id="10" w:name="_Toc24111"/>
      <w:bookmarkStart w:id="11" w:name="_Toc106030857"/>
      <w:r>
        <w:rPr>
          <w:rFonts w:hint="eastAsia" w:ascii="微软雅黑" w:hAnsi="微软雅黑" w:eastAsia="微软雅黑" w:cs="微软雅黑"/>
          <w:sz w:val="24"/>
          <w:szCs w:val="24"/>
        </w:rPr>
        <w:t>一</w:t>
      </w:r>
      <w:bookmarkStart w:id="12" w:name="_Toc17559"/>
      <w:bookmarkStart w:id="13" w:name="_Toc28640"/>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1305"/>
        <w:gridCol w:w="14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1"/>
                <w:szCs w:val="21"/>
              </w:rPr>
              <w:t>项目名称</w:t>
            </w:r>
          </w:p>
        </w:tc>
        <w:tc>
          <w:tcPr>
            <w:tcW w:w="1305" w:type="dxa"/>
            <w:noWrap w:val="0"/>
            <w:vAlign w:val="center"/>
          </w:tcPr>
          <w:p>
            <w:pPr>
              <w:pStyle w:val="20"/>
              <w:spacing w:line="240" w:lineRule="auto"/>
              <w:ind w:left="0"/>
              <w:jc w:val="center"/>
              <w:outlineLvl w:val="0"/>
              <w:rPr>
                <w:rFonts w:hint="default"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最高限价（万元）</w:t>
            </w:r>
          </w:p>
        </w:tc>
        <w:tc>
          <w:tcPr>
            <w:tcW w:w="1425" w:type="dxa"/>
            <w:tcBorders>
              <w:bottom w:val="single" w:color="auto" w:sz="4" w:space="0"/>
            </w:tcBorders>
            <w:noWrap w:val="0"/>
            <w:vAlign w:val="center"/>
          </w:tcPr>
          <w:p>
            <w:pPr>
              <w:pStyle w:val="20"/>
              <w:spacing w:line="240" w:lineRule="auto"/>
              <w:ind w:left="0"/>
              <w:jc w:val="center"/>
              <w:outlineLvl w:val="0"/>
              <w:rPr>
                <w:rFonts w:hint="eastAsia" w:ascii="微软雅黑" w:hAnsi="微软雅黑" w:eastAsia="微软雅黑" w:cs="微软雅黑"/>
                <w:b/>
                <w:sz w:val="21"/>
                <w:szCs w:val="21"/>
                <w:lang w:val="en-US" w:eastAsia="zh-CN"/>
              </w:rPr>
            </w:pPr>
            <w:r>
              <w:rPr>
                <w:rFonts w:hint="eastAsia" w:ascii="微软雅黑" w:hAnsi="微软雅黑" w:eastAsia="微软雅黑" w:cs="微软雅黑"/>
                <w:b/>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4906" w:type="dxa"/>
            <w:noWrap w:val="0"/>
            <w:vAlign w:val="center"/>
          </w:tcPr>
          <w:p>
            <w:pPr>
              <w:pStyle w:val="20"/>
              <w:spacing w:line="240" w:lineRule="auto"/>
              <w:ind w:left="0"/>
              <w:jc w:val="center"/>
              <w:outlineLvl w:val="0"/>
              <w:rPr>
                <w:rFonts w:hint="eastAsia"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大数据平台驻场服务</w:t>
            </w:r>
          </w:p>
        </w:tc>
        <w:tc>
          <w:tcPr>
            <w:tcW w:w="1305" w:type="dxa"/>
            <w:noWrap w:val="0"/>
            <w:vAlign w:val="center"/>
          </w:tcPr>
          <w:p>
            <w:pPr>
              <w:pStyle w:val="20"/>
              <w:spacing w:line="400" w:lineRule="exact"/>
              <w:ind w:left="0"/>
              <w:jc w:val="center"/>
              <w:outlineLvl w:val="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48</w:t>
            </w:r>
          </w:p>
        </w:tc>
        <w:tc>
          <w:tcPr>
            <w:tcW w:w="1425" w:type="dxa"/>
            <w:tcBorders>
              <w:top w:val="single" w:color="auto" w:sz="4" w:space="0"/>
              <w:bottom w:val="single" w:color="auto" w:sz="4" w:space="0"/>
            </w:tcBorders>
            <w:noWrap w:val="0"/>
            <w:vAlign w:val="center"/>
          </w:tcPr>
          <w:p>
            <w:pPr>
              <w:pStyle w:val="20"/>
              <w:spacing w:line="400" w:lineRule="exact"/>
              <w:ind w:left="0"/>
              <w:jc w:val="center"/>
              <w:outlineLvl w:val="0"/>
              <w:rPr>
                <w:rFonts w:hint="eastAsia" w:ascii="微软雅黑" w:hAnsi="微软雅黑" w:eastAsia="微软雅黑" w:cs="微软雅黑"/>
                <w:sz w:val="21"/>
                <w:szCs w:val="21"/>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23814"/>
      <w:bookmarkStart w:id="15" w:name="_Toc12399"/>
      <w:bookmarkStart w:id="16" w:name="_Toc106030858"/>
      <w:bookmarkStart w:id="17" w:name="_Toc26879"/>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06030859"/>
      <w:bookmarkStart w:id="19" w:name="_Toc11641053"/>
      <w:bookmarkStart w:id="20" w:name="_Toc12789054"/>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4254"/>
      <w:bookmarkStart w:id="23" w:name="_Toc1768"/>
      <w:bookmarkStart w:id="24" w:name="_Toc11971"/>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102227313"/>
      <w:bookmarkStart w:id="26" w:name="_Toc22691"/>
      <w:bookmarkStart w:id="27" w:name="_Toc14015"/>
      <w:bookmarkStart w:id="28" w:name="_Toc1486"/>
      <w:bookmarkStart w:id="29" w:name="_Toc106030860"/>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2115"/>
      <w:bookmarkStart w:id="31" w:name="_Toc106030861"/>
      <w:bookmarkStart w:id="32" w:name="_Toc26605"/>
      <w:bookmarkStart w:id="33" w:name="_Toc102227314"/>
      <w:bookmarkStart w:id="34" w:name="_Toc179714294"/>
      <w:bookmarkStart w:id="35" w:name="_Toc25259"/>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06030862"/>
      <w:bookmarkStart w:id="37" w:name="_Toc1963"/>
      <w:bookmarkStart w:id="38" w:name="_Toc21627"/>
      <w:bookmarkStart w:id="39" w:name="_Toc179714295"/>
      <w:bookmarkStart w:id="40" w:name="_Toc26572"/>
      <w:bookmarkStart w:id="41" w:name="_Toc102227316"/>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9"/>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（二）本项目的特定资格要求：</w:t>
      </w:r>
      <w:bookmarkStart w:id="42" w:name="_Toc179714296"/>
      <w:bookmarkStart w:id="43" w:name="_Toc102227317"/>
      <w:bookmarkStart w:id="44" w:name="_Toc27842"/>
      <w:bookmarkStart w:id="45" w:name="_Toc7510"/>
      <w:bookmarkStart w:id="46" w:name="_Toc28009"/>
      <w:bookmarkStart w:id="47" w:name="_Toc106030863"/>
      <w:r>
        <w:rPr>
          <w:rFonts w:hint="eastAsia" w:ascii="微软雅黑" w:hAnsi="微软雅黑" w:eastAsia="微软雅黑" w:cs="微软雅黑"/>
          <w:sz w:val="24"/>
          <w:szCs w:val="24"/>
          <w:lang w:eastAsia="zh-CN"/>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179714297"/>
      <w:bookmarkStart w:id="49" w:name="_Toc102227318"/>
      <w:bookmarkStart w:id="50" w:name="_Toc17019"/>
      <w:bookmarkStart w:id="51" w:name="_Toc106030864"/>
      <w:bookmarkStart w:id="52" w:name="_Toc4463"/>
      <w:bookmarkStart w:id="53" w:name="_Toc9497"/>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1.开标一览表</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7.1</w:t>
      </w:r>
      <w:r>
        <w:rPr>
          <w:rFonts w:hint="eastAsia" w:ascii="微软雅黑" w:hAnsi="微软雅黑" w:eastAsia="微软雅黑" w:cs="微软雅黑"/>
          <w:sz w:val="24"/>
          <w:szCs w:val="24"/>
        </w:rPr>
        <w:t>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7.2</w:t>
      </w:r>
      <w:r>
        <w:rPr>
          <w:rFonts w:hint="eastAsia" w:ascii="微软雅黑" w:hAnsi="微软雅黑" w:eastAsia="微软雅黑" w:cs="微软雅黑"/>
          <w:sz w:val="24"/>
          <w:szCs w:val="24"/>
        </w:rPr>
        <w:t>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7.3</w:t>
      </w:r>
      <w:r>
        <w:rPr>
          <w:rFonts w:hint="eastAsia" w:ascii="微软雅黑" w:hAnsi="微软雅黑" w:eastAsia="微软雅黑" w:cs="微软雅黑"/>
          <w:sz w:val="24"/>
          <w:szCs w:val="24"/>
        </w:rPr>
        <w:t>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7.4投标函（格式）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7.6</w:t>
      </w:r>
      <w:r>
        <w:rPr>
          <w:rFonts w:hint="eastAsia" w:ascii="微软雅黑" w:hAnsi="微软雅黑" w:eastAsia="微软雅黑" w:cs="微软雅黑"/>
          <w:sz w:val="24"/>
          <w:szCs w:val="24"/>
        </w:rPr>
        <w:t>特定资格要求（如果有）</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其他与项目有关的资料</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79"/>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179714298"/>
      <w:bookmarkStart w:id="55" w:name="_Toc106030865"/>
      <w:bookmarkStart w:id="56" w:name="_Toc102227319"/>
      <w:bookmarkStart w:id="57" w:name="_Toc8778"/>
      <w:bookmarkStart w:id="58" w:name="_Toc23522"/>
      <w:bookmarkStart w:id="59" w:name="_Toc2831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规定的时间和地点进行。供应商须有法定代表人或法定代表人授权代表参加。</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（二）由采购小组与供应商进行协商。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有实质性变动的，采购小组须通知供应商。</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（四）供应商在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时作出的所有书面承诺须由供应商法定代表人或授权代表签字。</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102227320"/>
      <w:bookmarkStart w:id="61" w:name="_Toc14247"/>
      <w:bookmarkStart w:id="62" w:name="_Toc1945"/>
      <w:bookmarkStart w:id="63" w:name="_Toc17141"/>
      <w:bookmarkStart w:id="64" w:name="_Toc106030866"/>
      <w:r>
        <w:rPr>
          <w:rFonts w:hint="eastAsia" w:ascii="微软雅黑" w:hAnsi="微软雅黑" w:eastAsia="微软雅黑" w:cs="微软雅黑"/>
          <w:sz w:val="24"/>
          <w:szCs w:val="24"/>
        </w:rPr>
        <w:t>六、成交</w:t>
      </w:r>
      <w:bookmarkEnd w:id="60"/>
      <w:r>
        <w:rPr>
          <w:rFonts w:hint="eastAsia" w:ascii="微软雅黑" w:hAnsi="微软雅黑" w:eastAsia="微软雅黑" w:cs="微软雅黑"/>
          <w:sz w:val="24"/>
          <w:szCs w:val="24"/>
        </w:rPr>
        <w:t>原则</w:t>
      </w:r>
      <w:bookmarkEnd w:id="61"/>
      <w:bookmarkEnd w:id="62"/>
      <w:bookmarkEnd w:id="63"/>
      <w:bookmarkEnd w:id="64"/>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5" w:name="_Toc106030868"/>
      <w:bookmarkStart w:id="66" w:name="_Toc5866"/>
      <w:bookmarkStart w:id="67" w:name="_Toc496088675"/>
      <w:bookmarkStart w:id="68" w:name="_Toc496028822"/>
      <w:bookmarkStart w:id="69" w:name="_Toc102227321"/>
      <w:bookmarkStart w:id="70" w:name="_Toc22322"/>
      <w:bookmarkStart w:id="71" w:name="_Toc13562"/>
      <w:bookmarkStart w:id="72" w:name="_Toc496542651"/>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9"/>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3" w:name="_Toc102227322"/>
      <w:bookmarkStart w:id="74" w:name="_Toc496088676"/>
      <w:bookmarkStart w:id="75" w:name="_Toc106030869"/>
      <w:bookmarkStart w:id="76" w:name="_Toc496028823"/>
      <w:bookmarkStart w:id="77" w:name="_Toc496542652"/>
      <w:bookmarkStart w:id="78" w:name="_Toc2209"/>
      <w:bookmarkStart w:id="79" w:name="_Toc10223"/>
      <w:bookmarkStart w:id="80" w:name="_Toc4700"/>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3"/>
      <w:r>
        <w:rPr>
          <w:rFonts w:hint="eastAsia" w:ascii="微软雅黑" w:hAnsi="微软雅黑" w:eastAsia="微软雅黑" w:cs="微软雅黑"/>
          <w:sz w:val="24"/>
          <w:szCs w:val="24"/>
        </w:rPr>
        <w:t>合同</w:t>
      </w:r>
      <w:bookmarkEnd w:id="74"/>
      <w:bookmarkEnd w:id="75"/>
      <w:bookmarkEnd w:id="76"/>
      <w:bookmarkEnd w:id="77"/>
      <w:bookmarkEnd w:id="78"/>
      <w:bookmarkEnd w:id="79"/>
      <w:bookmarkEnd w:id="80"/>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应于收到中标通知书之日起5个工作日内，按照中标项目的招标文件与投标文件递交采购合同。</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7"/>
        <w:rPr>
          <w:rFonts w:hint="eastAsia" w:ascii="微软雅黑" w:hAnsi="微软雅黑" w:eastAsia="微软雅黑" w:cs="微软雅黑"/>
        </w:rPr>
      </w:pPr>
    </w:p>
    <w:p>
      <w:pPr>
        <w:pStyle w:val="3"/>
        <w:tabs>
          <w:tab w:val="left" w:pos="3360"/>
        </w:tabs>
        <w:spacing w:line="24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1" w:name="_Toc7577"/>
      <w:bookmarkStart w:id="82" w:name="_Toc31944"/>
      <w:bookmarkStart w:id="83" w:name="_Toc106030870"/>
      <w:bookmarkStart w:id="84" w:name="_Toc3947"/>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1"/>
      <w:bookmarkEnd w:id="82"/>
      <w:bookmarkEnd w:id="83"/>
      <w:bookmarkEnd w:id="84"/>
    </w:p>
    <w:p>
      <w:pPr>
        <w:ind w:firstLine="480" w:firstLineChars="200"/>
        <w:rPr>
          <w:rFonts w:hint="eastAsia" w:ascii="微软雅黑" w:hAnsi="微软雅黑" w:eastAsia="微软雅黑" w:cs="微软雅黑"/>
          <w:b/>
          <w:bCs/>
          <w:sz w:val="24"/>
          <w:szCs w:val="24"/>
        </w:rPr>
      </w:pPr>
      <w:bookmarkStart w:id="85" w:name="_Toc106030381"/>
      <w:bookmarkStart w:id="86" w:name="_Toc23504"/>
      <w:bookmarkStart w:id="87" w:name="_Toc9261"/>
      <w:bookmarkStart w:id="88" w:name="_Toc4531"/>
      <w:bookmarkStart w:id="89" w:name="_Toc19238"/>
      <w:bookmarkStart w:id="90" w:name="_Toc23656"/>
      <w:bookmarkStart w:id="91" w:name="_Toc29985"/>
      <w:bookmarkStart w:id="92" w:name="_Toc75793505"/>
      <w:bookmarkStart w:id="93" w:name="_Toc14433"/>
      <w:bookmarkStart w:id="94" w:name="_Toc4913"/>
      <w:bookmarkStart w:id="95" w:name="_Toc20979"/>
      <w:bookmarkStart w:id="96" w:name="_Toc22910"/>
      <w:bookmarkStart w:id="97" w:name="_Toc8370"/>
      <w:bookmarkStart w:id="98" w:name="_Toc7027"/>
      <w:bookmarkStart w:id="99" w:name="_Toc4519"/>
      <w:bookmarkStart w:id="100" w:name="_Toc11703"/>
      <w:bookmarkStart w:id="101" w:name="_Toc12789058"/>
      <w:r>
        <w:rPr>
          <w:rFonts w:hint="eastAsia" w:ascii="微软雅黑" w:hAnsi="微软雅黑" w:eastAsia="微软雅黑" w:cs="微软雅黑"/>
          <w:b/>
          <w:bCs/>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230"/>
        <w:gridCol w:w="2391"/>
        <w:gridCol w:w="1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23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2391" w:type="dxa"/>
            <w:vAlign w:val="center"/>
          </w:tcPr>
          <w:p>
            <w:pPr>
              <w:jc w:val="center"/>
              <w:rPr>
                <w:rFonts w:hint="default"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合同有效期</w:t>
            </w:r>
          </w:p>
        </w:tc>
        <w:tc>
          <w:tcPr>
            <w:tcW w:w="1554"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25" w:type="dxa"/>
            <w:vAlign w:val="center"/>
          </w:tcPr>
          <w:p>
            <w:pPr>
              <w:pStyle w:val="20"/>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4230"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大数据平台驻场服务</w:t>
            </w:r>
          </w:p>
        </w:tc>
        <w:tc>
          <w:tcPr>
            <w:tcW w:w="2391"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3年</w:t>
            </w:r>
          </w:p>
        </w:tc>
        <w:tc>
          <w:tcPr>
            <w:tcW w:w="1554"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lang w:val="en-US" w:eastAsia="zh-CN"/>
        </w:rPr>
      </w:pPr>
      <w:bookmarkStart w:id="102" w:name="_Toc23975"/>
      <w:bookmarkStart w:id="103" w:name="_Toc10143"/>
      <w:bookmarkStart w:id="104" w:name="_Toc12568"/>
      <w:bookmarkStart w:id="105" w:name="_Toc18675"/>
      <w:bookmarkStart w:id="106" w:name="_Toc18903"/>
      <w:bookmarkStart w:id="107" w:name="_Toc28205"/>
      <w:bookmarkStart w:id="108" w:name="_Toc27067"/>
      <w:bookmarkStart w:id="109" w:name="_Toc5751"/>
      <w:bookmarkStart w:id="110" w:name="_Toc695"/>
      <w:bookmarkStart w:id="111" w:name="_Toc18800"/>
      <w:bookmarkStart w:id="112" w:name="_Toc26453"/>
      <w:bookmarkStart w:id="113" w:name="_Toc15696"/>
      <w:bookmarkStart w:id="114" w:name="_Toc7792"/>
      <w:bookmarkStart w:id="115" w:name="_Toc106030382"/>
      <w:bookmarkStart w:id="116" w:name="_Toc21817"/>
      <w:bookmarkStart w:id="117" w:name="_Toc32262"/>
      <w:bookmarkStart w:id="118" w:name="_Toc75793506"/>
      <w:r>
        <w:rPr>
          <w:rFonts w:hint="eastAsia" w:ascii="微软雅黑" w:hAnsi="微软雅黑" w:eastAsia="微软雅黑" w:cs="微软雅黑"/>
          <w:b/>
          <w:bCs/>
          <w:sz w:val="24"/>
          <w:szCs w:val="24"/>
        </w:rPr>
        <w:t>二、项目</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hint="eastAsia" w:ascii="微软雅黑" w:hAnsi="微软雅黑" w:eastAsia="微软雅黑" w:cs="微软雅黑"/>
          <w:b/>
          <w:bCs/>
          <w:sz w:val="24"/>
          <w:szCs w:val="24"/>
          <w:lang w:val="en-US" w:eastAsia="zh-CN"/>
        </w:rPr>
        <w:t>要求</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（一）项目描述</w:t>
      </w:r>
    </w:p>
    <w:p>
      <w:pPr>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由于</w:t>
      </w:r>
      <w:r>
        <w:rPr>
          <w:rFonts w:hint="eastAsia" w:ascii="微软雅黑" w:hAnsi="微软雅黑" w:eastAsia="微软雅黑" w:cs="微软雅黑"/>
          <w:sz w:val="24"/>
          <w:lang w:val="en-US" w:eastAsia="zh-Hans"/>
        </w:rPr>
        <w:t>大数据平台</w:t>
      </w:r>
      <w:r>
        <w:rPr>
          <w:rFonts w:hint="eastAsia" w:ascii="微软雅黑" w:hAnsi="微软雅黑" w:eastAsia="微软雅黑" w:cs="微软雅黑"/>
          <w:sz w:val="24"/>
          <w:lang w:val="en-US" w:eastAsia="zh-CN"/>
        </w:rPr>
        <w:t>以及</w:t>
      </w:r>
      <w:r>
        <w:rPr>
          <w:rFonts w:hint="eastAsia" w:ascii="微软雅黑" w:hAnsi="微软雅黑" w:eastAsia="微软雅黑" w:cs="微软雅黑"/>
          <w:sz w:val="24"/>
          <w:lang w:val="en-US" w:eastAsia="zh-Hans"/>
        </w:rPr>
        <w:t>儿童脓毒症</w:t>
      </w:r>
      <w:r>
        <w:rPr>
          <w:rFonts w:hint="eastAsia" w:ascii="微软雅黑" w:hAnsi="微软雅黑" w:eastAsia="微软雅黑" w:cs="微软雅黑"/>
          <w:sz w:val="24"/>
          <w:lang w:val="en-US" w:eastAsia="zh-CN"/>
        </w:rPr>
        <w:t>、儿童肝病</w:t>
      </w:r>
      <w:r>
        <w:rPr>
          <w:rFonts w:hint="eastAsia" w:ascii="微软雅黑" w:hAnsi="微软雅黑" w:eastAsia="微软雅黑" w:cs="微软雅黑"/>
          <w:sz w:val="24"/>
          <w:lang w:val="en-US" w:eastAsia="zh-Hans"/>
        </w:rPr>
        <w:t>专病数据库</w:t>
      </w:r>
      <w:r>
        <w:rPr>
          <w:rFonts w:hint="eastAsia" w:ascii="微软雅黑" w:hAnsi="微软雅黑" w:eastAsia="微软雅黑" w:cs="微软雅黑"/>
          <w:sz w:val="24"/>
          <w:lang w:val="en-US" w:eastAsia="zh-CN"/>
        </w:rPr>
        <w:t>运维服务</w:t>
      </w:r>
      <w:r>
        <w:rPr>
          <w:rFonts w:hint="eastAsia" w:ascii="微软雅黑" w:hAnsi="微软雅黑" w:eastAsia="微软雅黑" w:cs="微软雅黑"/>
          <w:sz w:val="24"/>
          <w:lang w:val="en-US" w:eastAsia="zh-Hans"/>
        </w:rPr>
        <w:t>已到期，为了保障我院大数据平台</w:t>
      </w:r>
      <w:r>
        <w:rPr>
          <w:rFonts w:hint="eastAsia" w:ascii="微软雅黑" w:hAnsi="微软雅黑" w:eastAsia="微软雅黑" w:cs="微软雅黑"/>
          <w:sz w:val="24"/>
          <w:lang w:val="en-US" w:eastAsia="zh-CN"/>
        </w:rPr>
        <w:t>及相关专病数据库</w:t>
      </w:r>
      <w:r>
        <w:rPr>
          <w:rFonts w:hint="eastAsia" w:ascii="微软雅黑" w:hAnsi="微软雅黑" w:eastAsia="微软雅黑" w:cs="微软雅黑"/>
          <w:sz w:val="24"/>
          <w:lang w:val="en-US" w:eastAsia="zh-Hans"/>
        </w:rPr>
        <w:t>系统</w:t>
      </w:r>
      <w:r>
        <w:rPr>
          <w:rFonts w:hint="eastAsia" w:ascii="微软雅黑" w:hAnsi="微软雅黑" w:eastAsia="微软雅黑" w:cs="微软雅黑"/>
          <w:sz w:val="24"/>
          <w:lang w:val="en-US" w:eastAsia="zh-CN"/>
        </w:rPr>
        <w:t>的</w:t>
      </w:r>
      <w:r>
        <w:rPr>
          <w:rFonts w:hint="eastAsia" w:ascii="微软雅黑" w:hAnsi="微软雅黑" w:eastAsia="微软雅黑" w:cs="微软雅黑"/>
          <w:sz w:val="24"/>
          <w:lang w:val="en-US" w:eastAsia="zh-Hans"/>
        </w:rPr>
        <w:t>运行以及数据的可延续性、完整性、一致性，夯实基于上述信息化建设对我院医疗大数据质量及临床科研水平提升的成效，现拟采购大数据平台</w:t>
      </w:r>
      <w:r>
        <w:rPr>
          <w:rFonts w:hint="eastAsia" w:ascii="微软雅黑" w:hAnsi="微软雅黑" w:eastAsia="微软雅黑" w:cs="微软雅黑"/>
          <w:sz w:val="24"/>
          <w:lang w:val="en-US" w:eastAsia="zh-CN"/>
        </w:rPr>
        <w:t>驻场</w:t>
      </w:r>
      <w:r>
        <w:rPr>
          <w:rFonts w:hint="eastAsia" w:ascii="微软雅黑" w:hAnsi="微软雅黑" w:eastAsia="微软雅黑" w:cs="微软雅黑"/>
          <w:sz w:val="24"/>
          <w:lang w:val="en-US" w:eastAsia="zh-Hans"/>
        </w:rPr>
        <w:t>服务</w:t>
      </w:r>
      <w:r>
        <w:rPr>
          <w:rFonts w:hint="eastAsia" w:ascii="微软雅黑" w:hAnsi="微软雅黑" w:eastAsia="微软雅黑" w:cs="微软雅黑"/>
          <w:sz w:val="24"/>
          <w:lang w:val="en-US" w:eastAsia="zh-CN"/>
        </w:rPr>
        <w:t>。</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（二）项目要求</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w:t>
      </w:r>
      <w:r>
        <w:rPr>
          <w:rFonts w:hint="eastAsia" w:ascii="微软雅黑" w:hAnsi="微软雅黑" w:eastAsia="微软雅黑" w:cs="微软雅黑"/>
          <w:sz w:val="24"/>
        </w:rPr>
        <w:t>功能应用维护</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w:t>
      </w:r>
      <w:r>
        <w:rPr>
          <w:rFonts w:hint="default" w:ascii="微软雅黑" w:hAnsi="微软雅黑" w:eastAsia="微软雅黑" w:cs="微软雅黑"/>
          <w:sz w:val="24"/>
          <w:lang w:val="en-US" w:eastAsia="zh-Hans"/>
        </w:rPr>
        <w:t>1</w:t>
      </w:r>
      <w:r>
        <w:rPr>
          <w:rFonts w:hint="eastAsia" w:ascii="微软雅黑" w:hAnsi="微软雅黑" w:eastAsia="微软雅黑" w:cs="微软雅黑"/>
          <w:sz w:val="24"/>
          <w:lang w:val="en-US" w:eastAsia="zh-CN"/>
        </w:rPr>
        <w:t>）</w:t>
      </w:r>
      <w:r>
        <w:rPr>
          <w:rFonts w:hint="eastAsia" w:ascii="微软雅黑" w:hAnsi="微软雅黑" w:eastAsia="微软雅黑" w:cs="微软雅黑"/>
          <w:sz w:val="24"/>
        </w:rPr>
        <w:t>培训服务：应提供软件功能的应用咨询，并对采购人提供相应的指导培训，以及及时回答提出的问题。</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故障排除：应主动排查、处理软件应用过程中出现的功能错误或BUG，</w:t>
      </w:r>
      <w:r>
        <w:rPr>
          <w:rFonts w:hint="eastAsia" w:ascii="微软雅黑" w:hAnsi="微软雅黑" w:eastAsia="微软雅黑" w:cs="微软雅黑"/>
          <w:sz w:val="24"/>
          <w:lang w:val="en-US" w:eastAsia="zh-CN"/>
        </w:rPr>
        <w:t>48小时内恢复</w:t>
      </w:r>
      <w:r>
        <w:rPr>
          <w:rFonts w:hint="eastAsia" w:ascii="微软雅黑" w:hAnsi="微软雅黑" w:eastAsia="微软雅黑" w:cs="微软雅黑"/>
          <w:sz w:val="24"/>
        </w:rPr>
        <w:t>系统功能正常稳定运行。</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功能变更：应提供已应用模块范围内的功能需求调整或修改。</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系统更新：应提供现有软件系统的更新服务。</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接口维护：需维护已经与医院现有信息系统对接完成的接口稳定运行，如遇问题及时联合排查和解决故障。</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（6）</w:t>
      </w:r>
      <w:r>
        <w:rPr>
          <w:rFonts w:hint="eastAsia" w:ascii="微软雅黑" w:hAnsi="微软雅黑" w:eastAsia="微软雅黑" w:cs="微软雅黑"/>
          <w:sz w:val="24"/>
        </w:rPr>
        <w:t>日常维护：应建立日常维护记录，每季度与医院系统管理人员共同检查系统运行情况，并形成系统巡检、维护记录。</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在服务期内，根据采购方需要免费提供系统修改和升级服务</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数据维护</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w:t>
      </w:r>
      <w:r>
        <w:rPr>
          <w:rFonts w:hint="default" w:ascii="微软雅黑" w:hAnsi="微软雅黑" w:eastAsia="微软雅黑" w:cs="微软雅黑"/>
          <w:sz w:val="24"/>
          <w:lang w:val="en-US" w:eastAsia="zh-Hans"/>
        </w:rPr>
        <w:t>1</w:t>
      </w:r>
      <w:r>
        <w:rPr>
          <w:rFonts w:hint="eastAsia" w:ascii="微软雅黑" w:hAnsi="微软雅黑" w:eastAsia="微软雅黑" w:cs="微软雅黑"/>
          <w:sz w:val="24"/>
          <w:lang w:val="en-US" w:eastAsia="zh-CN"/>
        </w:rPr>
        <w:t>）</w:t>
      </w:r>
      <w:r>
        <w:rPr>
          <w:rFonts w:hint="eastAsia" w:ascii="微软雅黑" w:hAnsi="微软雅黑" w:eastAsia="微软雅黑" w:cs="微软雅黑"/>
          <w:sz w:val="24"/>
        </w:rPr>
        <w:t>数据恢复：</w:t>
      </w:r>
      <w:r>
        <w:rPr>
          <w:rFonts w:hint="eastAsia" w:ascii="微软雅黑" w:hAnsi="微软雅黑" w:eastAsia="微软雅黑" w:cs="微软雅黑"/>
          <w:sz w:val="24"/>
          <w:lang w:val="en-US" w:eastAsia="zh-CN"/>
        </w:rPr>
        <w:t>48小时内</w:t>
      </w:r>
      <w:r>
        <w:rPr>
          <w:rFonts w:hint="eastAsia" w:ascii="微软雅黑" w:hAnsi="微软雅黑" w:eastAsia="微软雅黑" w:cs="微软雅黑"/>
          <w:sz w:val="24"/>
        </w:rPr>
        <w:t>恢复因操作不当或其它原因导致丢失的数据。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数据调整：</w:t>
      </w:r>
      <w:r>
        <w:rPr>
          <w:rFonts w:hint="eastAsia" w:ascii="微软雅黑" w:hAnsi="微软雅黑" w:eastAsia="微软雅黑" w:cs="微软雅黑"/>
          <w:sz w:val="24"/>
          <w:lang w:val="en-US" w:eastAsia="zh-CN"/>
        </w:rPr>
        <w:t>48小时内</w:t>
      </w:r>
      <w:r>
        <w:rPr>
          <w:rFonts w:hint="eastAsia" w:ascii="微软雅黑" w:hAnsi="微软雅黑" w:eastAsia="微软雅黑" w:cs="微软雅黑"/>
          <w:sz w:val="24"/>
        </w:rPr>
        <w:t>修正因操作不当或其它原因造成</w:t>
      </w:r>
      <w:r>
        <w:rPr>
          <w:rFonts w:hint="eastAsia" w:ascii="微软雅黑" w:hAnsi="微软雅黑" w:eastAsia="微软雅黑" w:cs="微软雅黑"/>
          <w:sz w:val="24"/>
          <w:lang w:val="en-US" w:eastAsia="zh-CN"/>
        </w:rPr>
        <w:t>的</w:t>
      </w:r>
      <w:r>
        <w:rPr>
          <w:rFonts w:hint="eastAsia" w:ascii="微软雅黑" w:hAnsi="微软雅黑" w:eastAsia="微软雅黑" w:cs="微软雅黑"/>
          <w:sz w:val="24"/>
        </w:rPr>
        <w:t>患者数据错误。</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系统灾备：系统灾难发生时，应立即响应，减少数据损失，降低灾难对整个系统正常运行的影响。</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备份服务：定期备份数据库，并验证备份数据库的有效性、完整性和可用性。</w:t>
      </w:r>
      <w:r>
        <w:rPr>
          <w:rFonts w:hint="eastAsia" w:ascii="微软雅黑" w:hAnsi="微软雅黑" w:eastAsia="微软雅黑" w:cs="微软雅黑"/>
          <w:sz w:val="24"/>
          <w:lang w:val="en-US" w:eastAsia="zh-CN"/>
        </w:rPr>
        <w:t>每个季度完成一次主备系统的切换演练。</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（5）数据监控</w:t>
      </w:r>
      <w:r>
        <w:rPr>
          <w:rFonts w:hint="eastAsia" w:ascii="微软雅黑" w:hAnsi="微软雅黑" w:eastAsia="微软雅黑" w:cs="微软雅黑"/>
          <w:sz w:val="24"/>
        </w:rPr>
        <w:t>：</w:t>
      </w:r>
      <w:r>
        <w:rPr>
          <w:rFonts w:hint="eastAsia" w:ascii="微软雅黑" w:hAnsi="微软雅黑" w:eastAsia="微软雅黑" w:cs="微软雅黑"/>
          <w:sz w:val="24"/>
          <w:lang w:val="en-US" w:eastAsia="zh-CN"/>
        </w:rPr>
        <w:t>每日完成源数据和HDR平台对应数据的表级比对，形成可视化监控报告，涵盖至少50张业务表。</w:t>
      </w:r>
    </w:p>
    <w:p>
      <w:pPr>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（6）数据管理：完成新系统源数据的接入，使用Python语言参与和维护部分专病数据库的建设。</w:t>
      </w:r>
    </w:p>
    <w:p>
      <w:pPr>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（7）数据资产：对于已经接入的数据，完善大数据平台的数据字典。按季度形成平台的数据运行情况报告。</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安全性维护</w:t>
      </w:r>
    </w:p>
    <w:p>
      <w:pPr>
        <w:spacing w:line="400" w:lineRule="exact"/>
        <w:ind w:firstLine="480" w:firstLineChars="200"/>
        <w:rPr>
          <w:rFonts w:hint="default" w:ascii="微软雅黑" w:hAnsi="微软雅黑" w:eastAsia="微软雅黑" w:cs="微软雅黑"/>
          <w:sz w:val="24"/>
        </w:rPr>
      </w:pPr>
      <w:r>
        <w:rPr>
          <w:rFonts w:hint="eastAsia" w:ascii="微软雅黑" w:hAnsi="微软雅黑" w:eastAsia="微软雅黑" w:cs="微软雅黑"/>
          <w:sz w:val="24"/>
        </w:rPr>
        <w:t>确保系统程序满足国家信息安全相关法律法规要求，若发现系统存在漏洞等相关安全问题应立即整改，且不得以任何理由拒绝和收取任何费用</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其他服务要求</w:t>
      </w:r>
    </w:p>
    <w:p>
      <w:pPr>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w:t>
      </w:r>
      <w:r>
        <w:rPr>
          <w:rFonts w:hint="default" w:ascii="微软雅黑" w:hAnsi="微软雅黑" w:eastAsia="微软雅黑" w:cs="微软雅黑"/>
          <w:sz w:val="24"/>
          <w:lang w:val="en-US" w:eastAsia="zh-Hans"/>
        </w:rPr>
        <w:t>1</w:t>
      </w:r>
      <w:r>
        <w:rPr>
          <w:rFonts w:hint="eastAsia" w:ascii="微软雅黑" w:hAnsi="微软雅黑" w:eastAsia="微软雅黑" w:cs="微软雅黑"/>
          <w:sz w:val="24"/>
          <w:lang w:val="en-US" w:eastAsia="zh-CN"/>
        </w:rPr>
        <w:t>）国家法定工作日工程师驻扎儿童医院大数据中心现场办公；</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（2）</w:t>
      </w:r>
      <w:r>
        <w:rPr>
          <w:rFonts w:hint="eastAsia" w:ascii="微软雅黑" w:hAnsi="微软雅黑" w:eastAsia="微软雅黑" w:cs="微软雅黑"/>
          <w:sz w:val="24"/>
        </w:rPr>
        <w:t>在服务器出现故障后，需提供高级程序员或系统分析师根据应用服务器故障日志进行分析，给出相应解决方案；</w:t>
      </w:r>
    </w:p>
    <w:p>
      <w:pPr>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（3）</w:t>
      </w:r>
      <w:r>
        <w:rPr>
          <w:rFonts w:hint="eastAsia" w:ascii="微软雅黑" w:hAnsi="微软雅黑" w:eastAsia="微软雅黑" w:cs="微软雅黑"/>
          <w:sz w:val="24"/>
        </w:rPr>
        <w:t>应提供定期(每季度)进行系统巡检服务，对现有数据库运行状态进行评估，并提供评估报告，与医院维护人员沟通，提供常见问题的解决办法，巡检结束后出具巡检报告；</w:t>
      </w:r>
      <w:r>
        <w:rPr>
          <w:rFonts w:hint="eastAsia" w:ascii="微软雅黑" w:hAnsi="微软雅黑" w:eastAsia="微软雅黑" w:cs="微软雅黑"/>
          <w:sz w:val="24"/>
          <w:lang w:val="en-US" w:eastAsia="zh-CN"/>
        </w:rPr>
        <w:t>每月系统数据中断次数不超过3次（实时数据和补数据工程任务）；</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通过数据库服务器巡检的评估报告，需提供数据库优化方案，协助医院创建更好的应用数据库环境，保障数据库的良好稳定运行；</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每次软件更新升级前，必须与采购人相关方沟通升级方案，得到同意后方可进行，并按升级方案履行升级的具体职责，完成升级。系统稳定并且得到同意后方可撤离。</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（6）</w:t>
      </w:r>
      <w:r>
        <w:rPr>
          <w:rFonts w:hint="eastAsia" w:ascii="微软雅黑" w:hAnsi="微软雅黑" w:eastAsia="微软雅黑" w:cs="微软雅黑"/>
          <w:sz w:val="24"/>
        </w:rPr>
        <w:t>在需要的情况下，需要提供配合采购方导出数据的服务。</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配合采购人完成运行状况监控：应用系统中间件服务、数据库服务；是否有系统/服务/应用等异常报错、异常错误日志输出、日志的整理归档。</w:t>
      </w:r>
    </w:p>
    <w:p>
      <w:pPr>
        <w:spacing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val="en-US" w:eastAsia="zh-CN"/>
        </w:rPr>
        <w:t>（8）</w:t>
      </w:r>
      <w:r>
        <w:rPr>
          <w:rFonts w:hint="eastAsia" w:ascii="微软雅黑" w:hAnsi="微软雅黑" w:eastAsia="微软雅黑" w:cs="微软雅黑"/>
          <w:sz w:val="24"/>
        </w:rPr>
        <w:t>系统长期运行产生大量数据，可能造成系统运行效率的低下，通过维护索引、优化算法等方式进行性能方面的提升；</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lang w:val="en-US" w:eastAsia="zh-CN"/>
        </w:rPr>
        <w:t>（9）</w:t>
      </w:r>
      <w:r>
        <w:rPr>
          <w:rFonts w:hint="eastAsia" w:ascii="微软雅黑" w:hAnsi="微软雅黑" w:eastAsia="微软雅黑" w:cs="微软雅黑"/>
          <w:sz w:val="24"/>
        </w:rPr>
        <w:t>配合采购人完成因操作失误或其他系统交互的问题数据处</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应遵守国家相关信息安全法律要求，包括但不限于：信息安全等级保护要求、《中华人民共和国数据安全法》、《中华人民共和国网络安全法》。</w:t>
      </w:r>
      <w:r>
        <w:rPr>
          <w:rFonts w:hint="eastAsia" w:ascii="微软雅黑" w:hAnsi="微软雅黑" w:eastAsia="微软雅黑" w:cs="微软雅黑"/>
          <w:sz w:val="24"/>
        </w:rPr>
        <w:br w:type="page"/>
      </w:r>
      <w:bookmarkStart w:id="119" w:name="_Toc106030873"/>
      <w:bookmarkStart w:id="120" w:name="_Toc25173"/>
      <w:bookmarkStart w:id="121" w:name="_Toc2028"/>
      <w:bookmarkStart w:id="122" w:name="_Toc4762"/>
    </w:p>
    <w:p>
      <w:pPr>
        <w:pStyle w:val="4"/>
        <w:spacing w:before="200" w:after="200" w:line="240" w:lineRule="auto"/>
        <w:ind w:firstLine="3082" w:firstLineChars="700"/>
        <w:jc w:val="both"/>
        <w:rPr>
          <w:rFonts w:hint="eastAsia" w:ascii="微软雅黑" w:hAnsi="微软雅黑" w:eastAsia="微软雅黑" w:cs="微软雅黑"/>
          <w:sz w:val="44"/>
        </w:rPr>
      </w:pPr>
      <w:bookmarkStart w:id="123" w:name="_Toc76462327"/>
      <w:bookmarkStart w:id="124" w:name="_Toc17712"/>
      <w:bookmarkStart w:id="125" w:name="_Toc7791"/>
      <w:bookmarkStart w:id="126" w:name="_Toc106030882"/>
      <w:r>
        <w:rPr>
          <w:rFonts w:hint="eastAsia" w:ascii="微软雅黑" w:hAnsi="微软雅黑" w:eastAsia="微软雅黑" w:cs="微软雅黑"/>
          <w:sz w:val="44"/>
        </w:rPr>
        <w:t>第</w:t>
      </w:r>
      <w:r>
        <w:rPr>
          <w:rFonts w:hint="eastAsia" w:ascii="微软雅黑" w:hAnsi="微软雅黑" w:eastAsia="微软雅黑" w:cs="微软雅黑"/>
          <w:sz w:val="44"/>
          <w:lang w:eastAsia="zh-CN"/>
        </w:rPr>
        <w:t>四</w:t>
      </w:r>
      <w:r>
        <w:rPr>
          <w:rFonts w:hint="eastAsia" w:ascii="微软雅黑" w:hAnsi="微软雅黑" w:eastAsia="微软雅黑" w:cs="微软雅黑"/>
          <w:sz w:val="44"/>
        </w:rPr>
        <w:t>篇  项目商务需求</w:t>
      </w:r>
      <w:bookmarkEnd w:id="123"/>
      <w:bookmarkEnd w:id="124"/>
      <w:bookmarkEnd w:id="125"/>
      <w:bookmarkEnd w:id="126"/>
    </w:p>
    <w:p>
      <w:pPr>
        <w:spacing w:line="400" w:lineRule="exact"/>
        <w:ind w:firstLine="560" w:firstLineChars="200"/>
        <w:rPr>
          <w:rFonts w:hint="eastAsia" w:ascii="微软雅黑" w:hAnsi="微软雅黑" w:eastAsia="微软雅黑" w:cs="微软雅黑"/>
          <w:szCs w:val="28"/>
        </w:rPr>
      </w:pPr>
    </w:p>
    <w:bookmarkEnd w:id="101"/>
    <w:bookmarkEnd w:id="119"/>
    <w:bookmarkEnd w:id="120"/>
    <w:bookmarkEnd w:id="121"/>
    <w:bookmarkEnd w:id="122"/>
    <w:tbl>
      <w:tblPr>
        <w:tblStyle w:val="46"/>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5000" w:type="pct"/>
            <w:gridSpan w:val="2"/>
            <w:vAlign w:val="center"/>
          </w:tcPr>
          <w:p>
            <w:pPr>
              <w:pStyle w:val="7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bookmarkStart w:id="127" w:name="_Toc12789061"/>
            <w:bookmarkStart w:id="128" w:name="_Toc3"/>
            <w:bookmarkStart w:id="129" w:name="_Toc106030874"/>
            <w:bookmarkStart w:id="130" w:name="_Toc11641055"/>
            <w:bookmarkStart w:id="131" w:name="_Toc12789059"/>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交货时间、交货地点及验收方式</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实施期限：三</w:t>
            </w:r>
            <w:r>
              <w:rPr>
                <w:rFonts w:hint="eastAsia" w:ascii="微软雅黑" w:hAnsi="微软雅黑" w:eastAsia="微软雅黑" w:cs="微软雅黑"/>
                <w:color w:val="auto"/>
                <w:sz w:val="21"/>
                <w:szCs w:val="21"/>
                <w:lang w:eastAsia="zh-CN"/>
              </w:rPr>
              <w:t>年。</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实施</w:t>
            </w:r>
            <w:r>
              <w:rPr>
                <w:rFonts w:hint="eastAsia" w:ascii="微软雅黑" w:hAnsi="微软雅黑" w:eastAsia="微软雅黑" w:cs="微软雅黑"/>
                <w:color w:val="auto"/>
                <w:sz w:val="21"/>
                <w:szCs w:val="21"/>
                <w:lang w:eastAsia="zh-CN"/>
              </w:rPr>
              <w:t>地点：重庆医科大学附属儿童医院。</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验收方式：综合评审+资料审查</w:t>
            </w:r>
            <w:r>
              <w:rPr>
                <w:rFonts w:hint="eastAsia" w:ascii="微软雅黑" w:hAnsi="微软雅黑" w:eastAsia="微软雅黑" w:cs="微软雅黑"/>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eastAsia="zh-CN"/>
              </w:rPr>
              <w:t>1.包括</w:t>
            </w:r>
            <w:r>
              <w:rPr>
                <w:rFonts w:hint="eastAsia" w:ascii="微软雅黑" w:hAnsi="微软雅黑" w:eastAsia="微软雅黑" w:cs="微软雅黑"/>
                <w:color w:val="auto"/>
                <w:sz w:val="21"/>
                <w:szCs w:val="21"/>
                <w:lang w:val="en-US" w:eastAsia="zh-CN"/>
              </w:rPr>
              <w:t>三</w:t>
            </w:r>
            <w:r>
              <w:rPr>
                <w:rFonts w:hint="eastAsia" w:ascii="微软雅黑" w:hAnsi="微软雅黑" w:eastAsia="微软雅黑" w:cs="微软雅黑"/>
                <w:color w:val="auto"/>
                <w:sz w:val="21"/>
                <w:szCs w:val="21"/>
                <w:lang w:eastAsia="zh-CN"/>
              </w:rPr>
              <w:t>年</w:t>
            </w:r>
            <w:r>
              <w:rPr>
                <w:rFonts w:hint="eastAsia" w:ascii="微软雅黑" w:hAnsi="微软雅黑" w:eastAsia="微软雅黑" w:cs="微软雅黑"/>
                <w:color w:val="auto"/>
                <w:sz w:val="21"/>
                <w:szCs w:val="21"/>
                <w:lang w:val="en-US" w:eastAsia="zh-CN"/>
              </w:rPr>
              <w:t>驻场运维</w:t>
            </w:r>
            <w:r>
              <w:rPr>
                <w:rFonts w:hint="eastAsia" w:ascii="微软雅黑" w:hAnsi="微软雅黑" w:eastAsia="微软雅黑" w:cs="微软雅黑"/>
                <w:color w:val="auto"/>
                <w:sz w:val="21"/>
                <w:szCs w:val="21"/>
                <w:lang w:eastAsia="zh-CN"/>
              </w:rPr>
              <w:t>服务。</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eastAsia="zh-CN"/>
              </w:rPr>
              <w:t>2.产品维修响应时间为接到通知后1小时内</w:t>
            </w:r>
            <w:r>
              <w:rPr>
                <w:rFonts w:hint="eastAsia" w:ascii="微软雅黑" w:hAnsi="微软雅黑" w:eastAsia="微软雅黑" w:cs="微软雅黑"/>
                <w:color w:val="auto"/>
                <w:sz w:val="21"/>
                <w:szCs w:val="21"/>
                <w:lang w:val="en-US" w:eastAsia="zh-CN"/>
              </w:rPr>
              <w:t>开始</w:t>
            </w:r>
            <w:r>
              <w:rPr>
                <w:rFonts w:hint="eastAsia" w:ascii="微软雅黑" w:hAnsi="微软雅黑" w:eastAsia="微软雅黑" w:cs="微软雅黑"/>
                <w:color w:val="auto"/>
                <w:sz w:val="21"/>
                <w:szCs w:val="21"/>
                <w:lang w:eastAsia="zh-CN"/>
              </w:rPr>
              <w:t>处理，并在8小时内修复，若不能及时修复，乙方在48小时内提供备</w:t>
            </w:r>
            <w:r>
              <w:rPr>
                <w:rFonts w:hint="eastAsia" w:ascii="微软雅黑" w:hAnsi="微软雅黑" w:eastAsia="微软雅黑" w:cs="微软雅黑"/>
                <w:color w:val="auto"/>
                <w:sz w:val="21"/>
                <w:szCs w:val="21"/>
                <w:lang w:val="en-US" w:eastAsia="zh-CN"/>
              </w:rPr>
              <w:t>选方案</w:t>
            </w:r>
            <w:r>
              <w:rPr>
                <w:rFonts w:hint="eastAsia" w:ascii="微软雅黑" w:hAnsi="微软雅黑" w:eastAsia="微软雅黑" w:cs="微软雅黑"/>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1.该项目可在投标现场进行二次报价。</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2.该项目需对项目包干总价进行报价，包括完成本项目所需的所有费用及各种应纳的税费。因中标人自身原因造成漏报、少报皆由其自行承担责任，采购人不再补偿。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1"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eastAsia="zh-CN"/>
              </w:rPr>
              <w:t>结算要求：通过双方开户银行进行分次结算。</w:t>
            </w:r>
          </w:p>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eastAsia="zh-CN"/>
              </w:rPr>
              <w:t>付款方式：通过双方开户银行进行结算。每一维护周期到期后（按【年】支付）且乙方完全履行本合同义务并经甲方验收合格后，向甲方开具上一维护周期维保费全额发票，甲方收到付款申请材料后60日内支付上一维护周期全额维保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7" w:type="pct"/>
            <w:vAlign w:val="center"/>
          </w:tcPr>
          <w:p>
            <w:pPr>
              <w:pStyle w:val="79"/>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000000" w:themeColor="text1"/>
                <w:kern w:val="0"/>
                <w:sz w:val="21"/>
                <w:szCs w:val="21"/>
                <w14:textFill>
                  <w14:solidFill>
                    <w14:schemeClr w14:val="tx1"/>
                  </w14:solidFill>
                </w14:textFill>
              </w:rPr>
              <w:t>采购人在中华人民共和国境内使用成交供应商提供的产品及服务时免受第三方提出的侵犯其专利权或其它知识产权的起诉。如果第三方提出侵权指控，成交供应商应承担由此而引起的一切法律责任和经济责任。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bidi="ar-SA"/>
              </w:rPr>
              <w:t>培训要求</w:t>
            </w:r>
          </w:p>
        </w:tc>
        <w:tc>
          <w:tcPr>
            <w:tcW w:w="4277" w:type="pct"/>
            <w:vAlign w:val="center"/>
          </w:tcPr>
          <w:p>
            <w:pPr>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000000" w:themeColor="text1"/>
                <w:kern w:val="0"/>
                <w:sz w:val="21"/>
                <w:szCs w:val="21"/>
                <w14:textFill>
                  <w14:solidFill>
                    <w14:schemeClr w14:val="tx1"/>
                  </w14:solidFill>
                </w14:textFill>
              </w:rPr>
            </w:pPr>
            <w:r>
              <w:rPr>
                <w:rFonts w:hint="eastAsia" w:ascii="微软雅黑" w:hAnsi="微软雅黑" w:eastAsia="微软雅黑" w:cs="微软雅黑"/>
                <w:color w:val="000000" w:themeColor="text1"/>
                <w:kern w:val="0"/>
                <w:sz w:val="21"/>
                <w:szCs w:val="21"/>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97" w:hRule="atLeast"/>
        </w:trPr>
        <w:tc>
          <w:tcPr>
            <w:tcW w:w="722" w:type="pct"/>
            <w:vAlign w:val="center"/>
          </w:tcPr>
          <w:p>
            <w:pPr>
              <w:pStyle w:val="79"/>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79"/>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投标人</w:t>
            </w:r>
            <w:r>
              <w:rPr>
                <w:rFonts w:hint="eastAsia" w:ascii="微软雅黑" w:hAnsi="微软雅黑" w:eastAsia="微软雅黑" w:cs="微软雅黑"/>
                <w:color w:val="auto"/>
                <w:sz w:val="21"/>
                <w:szCs w:val="21"/>
              </w:rPr>
              <w:t>必须在响应文件中对以上条款和服务承诺明确列出，承诺内容必须达到本篇及</w:t>
            </w:r>
            <w:r>
              <w:rPr>
                <w:rFonts w:hint="eastAsia" w:ascii="微软雅黑" w:hAnsi="微软雅黑" w:eastAsia="微软雅黑" w:cs="微软雅黑"/>
                <w:color w:val="auto"/>
                <w:sz w:val="21"/>
                <w:szCs w:val="21"/>
                <w:lang w:val="en-US" w:eastAsia="zh-CN"/>
              </w:rPr>
              <w:t>协商</w:t>
            </w:r>
            <w:r>
              <w:rPr>
                <w:rFonts w:hint="eastAsia" w:ascii="微软雅黑" w:hAnsi="微软雅黑" w:eastAsia="微软雅黑" w:cs="微软雅黑"/>
                <w:color w:val="auto"/>
                <w:sz w:val="21"/>
                <w:szCs w:val="21"/>
              </w:rPr>
              <w:t>文件其他条款的要求</w:t>
            </w:r>
            <w:r>
              <w:rPr>
                <w:rFonts w:hint="eastAsia" w:ascii="微软雅黑" w:hAnsi="微软雅黑" w:eastAsia="微软雅黑" w:cs="微软雅黑"/>
                <w:color w:val="auto"/>
                <w:sz w:val="21"/>
                <w:szCs w:val="21"/>
                <w:lang w:eastAsia="zh-CN"/>
              </w:rPr>
              <w:t>；</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color w:val="auto"/>
                <w:kern w:val="2"/>
                <w:sz w:val="21"/>
                <w:szCs w:val="21"/>
                <w:lang w:val="en-US" w:eastAsia="zh-CN" w:bidi="ar-SA"/>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其他未尽事宜由供需双方在采购合同中详细约定。</w:t>
            </w:r>
          </w:p>
        </w:tc>
      </w:tr>
    </w:tbl>
    <w:p>
      <w:pPr>
        <w:rPr>
          <w:rFonts w:hint="eastAsia" w:ascii="微软雅黑" w:hAnsi="微软雅黑" w:eastAsia="微软雅黑" w:cs="微软雅黑"/>
        </w:rPr>
      </w:pPr>
    </w:p>
    <w:bookmarkEnd w:id="127"/>
    <w:bookmarkEnd w:id="128"/>
    <w:bookmarkEnd w:id="129"/>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32"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33" w:name="_Toc21948"/>
      <w:bookmarkStart w:id="134" w:name="_Toc9246"/>
      <w:bookmarkStart w:id="135" w:name="_Toc17503"/>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30"/>
      <w:bookmarkEnd w:id="131"/>
      <w:bookmarkEnd w:id="132"/>
      <w:bookmarkStart w:id="136" w:name="_Toc12789072"/>
      <w:bookmarkStart w:id="137" w:name="_Toc106030880"/>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33"/>
      <w:bookmarkEnd w:id="134"/>
      <w:bookmarkEnd w:id="135"/>
      <w:bookmarkEnd w:id="136"/>
      <w:bookmarkEnd w:id="13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bookmarkStart w:id="138" w:name="_Toc13512"/>
      <w:bookmarkStart w:id="139" w:name="_Toc106030881"/>
      <w:bookmarkStart w:id="140" w:name="_GoBack"/>
      <w:bookmarkEnd w:id="140"/>
    </w:p>
    <w:bookmarkEnd w:id="138"/>
    <w:bookmarkEnd w:id="139"/>
    <w:p>
      <w:pPr>
        <w:jc w:val="both"/>
        <w:rPr>
          <w:rFonts w:hint="eastAsia" w:ascii="微软雅黑" w:hAnsi="微软雅黑" w:eastAsia="微软雅黑" w:cs="微软雅黑"/>
        </w:rPr>
      </w:pPr>
    </w:p>
    <w:sectPr>
      <w:headerReference r:id="rId8" w:type="default"/>
      <w:footerReference r:id="rId9"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framePr w:wrap="around" w:vAnchor="text" w:hAnchor="margin" w:xAlign="center" w:y="1"/>
      <w:rPr>
        <w:rStyle w:val="50"/>
      </w:rPr>
    </w:pPr>
    <w:r>
      <w:fldChar w:fldCharType="begin"/>
    </w:r>
    <w:r>
      <w:rPr>
        <w:rStyle w:val="50"/>
      </w:rPr>
      <w:instrText xml:space="preserve">PAGE  </w:instrText>
    </w:r>
    <w:r>
      <w:fldChar w:fldCharType="separate"/>
    </w:r>
    <w:r>
      <w:fldChar w:fldCharType="end"/>
    </w:r>
  </w:p>
  <w:p>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rPr>
        <w:rStyle w:val="50"/>
      </w:rPr>
    </w:pPr>
  </w:p>
  <w:p>
    <w:pPr>
      <w:pStyle w:val="31"/>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1"/>
                      <w:jc w:val="center"/>
                      <w:rPr>
                        <w:rStyle w:val="50"/>
                        <w:rFonts w:hint="eastAsia" w:ascii="方正仿宋_GBK" w:eastAsia="方正仿宋_GBK"/>
                        <w:sz w:val="21"/>
                        <w:szCs w:val="21"/>
                      </w:rPr>
                    </w:pPr>
                    <w:r>
                      <w:rPr>
                        <w:rFonts w:hint="eastAsia" w:ascii="方正仿宋_GBK" w:eastAsia="方正仿宋_GBK"/>
                        <w:sz w:val="21"/>
                        <w:szCs w:val="21"/>
                      </w:rPr>
                      <w:fldChar w:fldCharType="begin"/>
                    </w:r>
                    <w:r>
                      <w:rPr>
                        <w:rStyle w:val="50"/>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50"/>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6"/>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3410AF0"/>
    <w:rsid w:val="03F8097A"/>
    <w:rsid w:val="056112A1"/>
    <w:rsid w:val="059D2E2D"/>
    <w:rsid w:val="0761362D"/>
    <w:rsid w:val="07931C57"/>
    <w:rsid w:val="07D85DF2"/>
    <w:rsid w:val="08376605"/>
    <w:rsid w:val="09557FFB"/>
    <w:rsid w:val="0C6169F7"/>
    <w:rsid w:val="0C794CCD"/>
    <w:rsid w:val="0DBB68B4"/>
    <w:rsid w:val="0DE45898"/>
    <w:rsid w:val="0FA54BCE"/>
    <w:rsid w:val="0FCA0D84"/>
    <w:rsid w:val="10AA4EEA"/>
    <w:rsid w:val="11E34F12"/>
    <w:rsid w:val="12CC2F2A"/>
    <w:rsid w:val="14530581"/>
    <w:rsid w:val="15F651C9"/>
    <w:rsid w:val="160B1561"/>
    <w:rsid w:val="17CD2EE4"/>
    <w:rsid w:val="18FB1A29"/>
    <w:rsid w:val="1B115D73"/>
    <w:rsid w:val="1C422D35"/>
    <w:rsid w:val="1D27582B"/>
    <w:rsid w:val="1FCD4B3E"/>
    <w:rsid w:val="21BA780A"/>
    <w:rsid w:val="22DE1445"/>
    <w:rsid w:val="240308F3"/>
    <w:rsid w:val="247704D9"/>
    <w:rsid w:val="25406FA4"/>
    <w:rsid w:val="28511363"/>
    <w:rsid w:val="2C3A38F5"/>
    <w:rsid w:val="2F6F4BDA"/>
    <w:rsid w:val="2F7B7754"/>
    <w:rsid w:val="2F9A7B1A"/>
    <w:rsid w:val="2FF76F03"/>
    <w:rsid w:val="30853C7C"/>
    <w:rsid w:val="32544FB8"/>
    <w:rsid w:val="33B5554F"/>
    <w:rsid w:val="33FF55A6"/>
    <w:rsid w:val="34677F81"/>
    <w:rsid w:val="37AD1C33"/>
    <w:rsid w:val="38FE2C9B"/>
    <w:rsid w:val="39856968"/>
    <w:rsid w:val="3AD2115F"/>
    <w:rsid w:val="3BFA4D9F"/>
    <w:rsid w:val="3DBA5D8C"/>
    <w:rsid w:val="3DEB7714"/>
    <w:rsid w:val="40B95021"/>
    <w:rsid w:val="40E83B58"/>
    <w:rsid w:val="43BF7C28"/>
    <w:rsid w:val="45194DA0"/>
    <w:rsid w:val="453A1EF0"/>
    <w:rsid w:val="45590DCA"/>
    <w:rsid w:val="45954E44"/>
    <w:rsid w:val="45B30831"/>
    <w:rsid w:val="46195176"/>
    <w:rsid w:val="471779CF"/>
    <w:rsid w:val="47C97791"/>
    <w:rsid w:val="496A2ECC"/>
    <w:rsid w:val="4AAF2FA5"/>
    <w:rsid w:val="4AC86D9C"/>
    <w:rsid w:val="4DE83B57"/>
    <w:rsid w:val="4F951E66"/>
    <w:rsid w:val="53564AB5"/>
    <w:rsid w:val="536F072C"/>
    <w:rsid w:val="54B04448"/>
    <w:rsid w:val="54D46A27"/>
    <w:rsid w:val="55641CE0"/>
    <w:rsid w:val="55B17A43"/>
    <w:rsid w:val="583370E4"/>
    <w:rsid w:val="584F11E6"/>
    <w:rsid w:val="587F01DC"/>
    <w:rsid w:val="58DA63A7"/>
    <w:rsid w:val="59F57087"/>
    <w:rsid w:val="5C2404F9"/>
    <w:rsid w:val="5C2B3611"/>
    <w:rsid w:val="5DF77C2F"/>
    <w:rsid w:val="609C278B"/>
    <w:rsid w:val="60F40F75"/>
    <w:rsid w:val="61044229"/>
    <w:rsid w:val="62995263"/>
    <w:rsid w:val="632154B4"/>
    <w:rsid w:val="633E71D7"/>
    <w:rsid w:val="65AC4179"/>
    <w:rsid w:val="660254EE"/>
    <w:rsid w:val="66822F83"/>
    <w:rsid w:val="67074698"/>
    <w:rsid w:val="6783139C"/>
    <w:rsid w:val="683E0DC0"/>
    <w:rsid w:val="6BCA297C"/>
    <w:rsid w:val="6D5B2665"/>
    <w:rsid w:val="6D762528"/>
    <w:rsid w:val="6D793CE4"/>
    <w:rsid w:val="6E5E214B"/>
    <w:rsid w:val="6F6424D9"/>
    <w:rsid w:val="6F9A2515"/>
    <w:rsid w:val="70A728DC"/>
    <w:rsid w:val="70DF70D6"/>
    <w:rsid w:val="71697A70"/>
    <w:rsid w:val="716C3492"/>
    <w:rsid w:val="722D2781"/>
    <w:rsid w:val="73437E47"/>
    <w:rsid w:val="78CB12BA"/>
    <w:rsid w:val="7A1C28C7"/>
    <w:rsid w:val="7DBB35B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8"/>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9"/>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60"/>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8">
    <w:name w:val="Default Paragraph Font"/>
    <w:qFormat/>
    <w:uiPriority w:val="0"/>
  </w:style>
  <w:style w:type="table" w:default="1" w:styleId="4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6">
    <w:name w:val="Document Map"/>
    <w:basedOn w:val="1"/>
    <w:qFormat/>
    <w:uiPriority w:val="0"/>
    <w:pPr>
      <w:shd w:val="clear" w:color="auto" w:fill="000080"/>
    </w:pPr>
  </w:style>
  <w:style w:type="paragraph" w:styleId="17">
    <w:name w:val="annotation text"/>
    <w:basedOn w:val="1"/>
    <w:link w:val="61"/>
    <w:qFormat/>
    <w:uiPriority w:val="0"/>
    <w:pPr>
      <w:jc w:val="left"/>
    </w:pPr>
  </w:style>
  <w:style w:type="paragraph" w:styleId="18">
    <w:name w:val="Body Text 3"/>
    <w:basedOn w:val="1"/>
    <w:qFormat/>
    <w:uiPriority w:val="0"/>
    <w:pPr>
      <w:adjustRightInd w:val="0"/>
      <w:snapToGrid w:val="0"/>
      <w:spacing w:after="120" w:afterLines="0" w:afterAutospacing="0" w:line="360" w:lineRule="auto"/>
    </w:pPr>
    <w:rPr>
      <w:sz w:val="16"/>
    </w:rPr>
  </w:style>
  <w:style w:type="paragraph" w:styleId="19">
    <w:name w:val="List Bullet 3"/>
    <w:basedOn w:val="1"/>
    <w:qFormat/>
    <w:uiPriority w:val="0"/>
    <w:pPr>
      <w:tabs>
        <w:tab w:val="left" w:pos="1200"/>
      </w:tabs>
      <w:adjustRightInd w:val="0"/>
      <w:snapToGrid w:val="0"/>
      <w:spacing w:line="360" w:lineRule="auto"/>
      <w:ind w:left="1200" w:hanging="360"/>
    </w:pPr>
    <w:rPr>
      <w:sz w:val="24"/>
    </w:rPr>
  </w:style>
  <w:style w:type="paragraph" w:styleId="20">
    <w:name w:val="Body Text Indent"/>
    <w:basedOn w:val="1"/>
    <w:qFormat/>
    <w:uiPriority w:val="0"/>
    <w:pPr>
      <w:spacing w:line="700" w:lineRule="exact"/>
      <w:ind w:left="960"/>
    </w:pPr>
    <w:rPr>
      <w:sz w:val="44"/>
    </w:rPr>
  </w:style>
  <w:style w:type="paragraph" w:styleId="21">
    <w:name w:val="List Number 3"/>
    <w:basedOn w:val="1"/>
    <w:qFormat/>
    <w:uiPriority w:val="0"/>
    <w:pPr>
      <w:tabs>
        <w:tab w:val="left" w:pos="2120"/>
      </w:tabs>
      <w:adjustRightInd w:val="0"/>
      <w:snapToGrid w:val="0"/>
      <w:spacing w:line="360" w:lineRule="auto"/>
      <w:ind w:left="2120" w:hanging="720"/>
    </w:pPr>
    <w:rPr>
      <w:sz w:val="24"/>
    </w:rPr>
  </w:style>
  <w:style w:type="paragraph" w:styleId="22">
    <w:name w:val="List 2"/>
    <w:basedOn w:val="1"/>
    <w:qFormat/>
    <w:uiPriority w:val="0"/>
    <w:pPr>
      <w:adjustRightInd w:val="0"/>
      <w:snapToGrid w:val="0"/>
      <w:spacing w:line="360" w:lineRule="auto"/>
      <w:ind w:left="100" w:leftChars="200" w:hanging="200" w:hangingChars="200"/>
    </w:pPr>
    <w:rPr>
      <w:sz w:val="24"/>
    </w:rPr>
  </w:style>
  <w:style w:type="paragraph" w:styleId="23">
    <w:name w:val="List Continue"/>
    <w:basedOn w:val="1"/>
    <w:qFormat/>
    <w:uiPriority w:val="0"/>
    <w:pPr>
      <w:adjustRightInd w:val="0"/>
      <w:snapToGrid w:val="0"/>
      <w:spacing w:after="120" w:afterLines="0" w:afterAutospacing="0" w:line="360" w:lineRule="auto"/>
      <w:ind w:left="420" w:leftChars="200"/>
    </w:pPr>
    <w:rPr>
      <w:sz w:val="24"/>
    </w:rPr>
  </w:style>
  <w:style w:type="paragraph" w:styleId="24">
    <w:name w:val="List Bullet 2"/>
    <w:basedOn w:val="1"/>
    <w:qFormat/>
    <w:uiPriority w:val="0"/>
    <w:pPr>
      <w:tabs>
        <w:tab w:val="left" w:pos="780"/>
      </w:tabs>
      <w:adjustRightInd w:val="0"/>
      <w:snapToGrid w:val="0"/>
      <w:spacing w:line="360" w:lineRule="auto"/>
      <w:ind w:left="780" w:hanging="360"/>
    </w:pPr>
    <w:rPr>
      <w:sz w:val="24"/>
    </w:rPr>
  </w:style>
  <w:style w:type="paragraph" w:styleId="25">
    <w:name w:val="index 4"/>
    <w:basedOn w:val="1"/>
    <w:next w:val="1"/>
    <w:qFormat/>
    <w:uiPriority w:val="99"/>
    <w:pPr>
      <w:ind w:left="600" w:leftChars="600"/>
    </w:pPr>
  </w:style>
  <w:style w:type="paragraph" w:styleId="26">
    <w:name w:val="toc 3"/>
    <w:basedOn w:val="1"/>
    <w:next w:val="1"/>
    <w:qFormat/>
    <w:uiPriority w:val="39"/>
    <w:pPr>
      <w:ind w:left="840" w:leftChars="400"/>
    </w:pPr>
  </w:style>
  <w:style w:type="paragraph" w:styleId="27">
    <w:name w:val="Plain Text"/>
    <w:basedOn w:val="1"/>
    <w:link w:val="62"/>
    <w:qFormat/>
    <w:uiPriority w:val="0"/>
    <w:rPr>
      <w:rFonts w:ascii="宋体" w:hAnsi="Courier New"/>
      <w:sz w:val="21"/>
    </w:rPr>
  </w:style>
  <w:style w:type="paragraph" w:styleId="28">
    <w:name w:val="Date"/>
    <w:basedOn w:val="1"/>
    <w:next w:val="1"/>
    <w:link w:val="63"/>
    <w:qFormat/>
    <w:uiPriority w:val="0"/>
  </w:style>
  <w:style w:type="paragraph" w:styleId="29">
    <w:name w:val="Body Text Indent 2"/>
    <w:basedOn w:val="1"/>
    <w:qFormat/>
    <w:uiPriority w:val="0"/>
    <w:pPr>
      <w:snapToGrid w:val="0"/>
      <w:spacing w:line="560" w:lineRule="atLeast"/>
      <w:ind w:firstLine="540"/>
    </w:pPr>
  </w:style>
  <w:style w:type="paragraph" w:styleId="30">
    <w:name w:val="Balloon Text"/>
    <w:basedOn w:val="1"/>
    <w:qFormat/>
    <w:uiPriority w:val="0"/>
    <w:rPr>
      <w:sz w:val="18"/>
    </w:rPr>
  </w:style>
  <w:style w:type="paragraph" w:styleId="31">
    <w:name w:val="footer"/>
    <w:basedOn w:val="1"/>
    <w:qFormat/>
    <w:uiPriority w:val="0"/>
    <w:pPr>
      <w:tabs>
        <w:tab w:val="center" w:pos="4153"/>
        <w:tab w:val="right" w:pos="8306"/>
      </w:tabs>
      <w:snapToGrid w:val="0"/>
      <w:jc w:val="left"/>
    </w:pPr>
    <w:rPr>
      <w:sz w:val="18"/>
    </w:rPr>
  </w:style>
  <w:style w:type="paragraph" w:styleId="32">
    <w:name w:val="header"/>
    <w:basedOn w:val="1"/>
    <w:next w:val="15"/>
    <w:qFormat/>
    <w:uiPriority w:val="0"/>
    <w:pPr>
      <w:pBdr>
        <w:bottom w:val="single" w:color="auto" w:sz="6" w:space="1"/>
      </w:pBdr>
      <w:tabs>
        <w:tab w:val="center" w:pos="4153"/>
        <w:tab w:val="right" w:pos="8306"/>
      </w:tabs>
      <w:snapToGrid w:val="0"/>
      <w:jc w:val="center"/>
    </w:pPr>
    <w:rPr>
      <w:sz w:val="18"/>
    </w:rPr>
  </w:style>
  <w:style w:type="paragraph" w:styleId="33">
    <w:name w:val="toc 1"/>
    <w:basedOn w:val="1"/>
    <w:next w:val="1"/>
    <w:qFormat/>
    <w:uiPriority w:val="39"/>
    <w:pPr>
      <w:spacing w:line="500" w:lineRule="exact"/>
      <w:jc w:val="center"/>
    </w:pPr>
    <w:rPr>
      <w:rFonts w:ascii="Times New Roman" w:hAnsi="Times New Roman" w:eastAsia="方正仿宋_GBK"/>
      <w:b/>
    </w:rPr>
  </w:style>
  <w:style w:type="paragraph" w:styleId="34">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5">
    <w:name w:val="List 5"/>
    <w:basedOn w:val="1"/>
    <w:qFormat/>
    <w:uiPriority w:val="0"/>
    <w:pPr>
      <w:adjustRightInd w:val="0"/>
      <w:snapToGrid w:val="0"/>
      <w:spacing w:line="360" w:lineRule="auto"/>
      <w:ind w:left="100" w:leftChars="800" w:hanging="200" w:hangingChars="200"/>
    </w:pPr>
    <w:rPr>
      <w:sz w:val="24"/>
    </w:rPr>
  </w:style>
  <w:style w:type="paragraph" w:styleId="36">
    <w:name w:val="Body Text Indent 3"/>
    <w:basedOn w:val="1"/>
    <w:qFormat/>
    <w:uiPriority w:val="0"/>
    <w:pPr>
      <w:spacing w:line="360" w:lineRule="auto"/>
      <w:ind w:firstLine="632"/>
    </w:pPr>
    <w:rPr>
      <w:rFonts w:ascii="黑体" w:eastAsia="黑体"/>
    </w:rPr>
  </w:style>
  <w:style w:type="paragraph" w:styleId="37">
    <w:name w:val="toc 2"/>
    <w:basedOn w:val="1"/>
    <w:next w:val="1"/>
    <w:qFormat/>
    <w:uiPriority w:val="39"/>
    <w:pPr>
      <w:ind w:left="420" w:leftChars="200"/>
    </w:pPr>
  </w:style>
  <w:style w:type="paragraph" w:styleId="38">
    <w:name w:val="Body Text 2"/>
    <w:basedOn w:val="1"/>
    <w:qFormat/>
    <w:uiPriority w:val="0"/>
    <w:pPr>
      <w:adjustRightInd w:val="0"/>
      <w:snapToGrid w:val="0"/>
      <w:spacing w:after="120" w:afterLines="0" w:afterAutospacing="0" w:line="480" w:lineRule="auto"/>
    </w:pPr>
    <w:rPr>
      <w:sz w:val="24"/>
    </w:rPr>
  </w:style>
  <w:style w:type="paragraph" w:styleId="39">
    <w:name w:val="List 4"/>
    <w:basedOn w:val="1"/>
    <w:qFormat/>
    <w:uiPriority w:val="0"/>
    <w:pPr>
      <w:adjustRightInd w:val="0"/>
      <w:snapToGrid w:val="0"/>
      <w:spacing w:line="360" w:lineRule="auto"/>
      <w:ind w:left="100" w:leftChars="600" w:hanging="200" w:hangingChars="200"/>
    </w:pPr>
    <w:rPr>
      <w:sz w:val="24"/>
    </w:rPr>
  </w:style>
  <w:style w:type="paragraph" w:styleId="4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4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4">
    <w:name w:val="annotation subject"/>
    <w:basedOn w:val="17"/>
    <w:next w:val="17"/>
    <w:link w:val="64"/>
    <w:qFormat/>
    <w:uiPriority w:val="0"/>
    <w:rPr>
      <w:b/>
      <w:bCs/>
    </w:rPr>
  </w:style>
  <w:style w:type="paragraph" w:styleId="45">
    <w:name w:val="Body Text First Indent"/>
    <w:basedOn w:val="1"/>
    <w:qFormat/>
    <w:uiPriority w:val="0"/>
    <w:pPr>
      <w:spacing w:line="360" w:lineRule="auto"/>
      <w:ind w:firstLine="420"/>
    </w:pPr>
    <w:rPr>
      <w:rFonts w:ascii="宋体" w:hAnsi="宋体"/>
      <w:sz w:val="24"/>
    </w:rPr>
  </w:style>
  <w:style w:type="table" w:styleId="47">
    <w:name w:val="Table Grid"/>
    <w:basedOn w:val="46"/>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b/>
    </w:rPr>
  </w:style>
  <w:style w:type="character" w:styleId="50">
    <w:name w:val="page number"/>
    <w:qFormat/>
    <w:uiPriority w:val="0"/>
  </w:style>
  <w:style w:type="character" w:styleId="51">
    <w:name w:val="FollowedHyperlink"/>
    <w:qFormat/>
    <w:uiPriority w:val="0"/>
    <w:rPr>
      <w:color w:val="333333"/>
      <w:u w:val="none"/>
    </w:rPr>
  </w:style>
  <w:style w:type="character" w:styleId="52">
    <w:name w:val="Emphasis"/>
    <w:qFormat/>
    <w:uiPriority w:val="0"/>
    <w:rPr>
      <w:i/>
    </w:rPr>
  </w:style>
  <w:style w:type="character" w:styleId="53">
    <w:name w:val="Hyperlink"/>
    <w:qFormat/>
    <w:uiPriority w:val="99"/>
    <w:rPr>
      <w:color w:val="333333"/>
      <w:u w:val="none"/>
    </w:rPr>
  </w:style>
  <w:style w:type="character" w:styleId="54">
    <w:name w:val="annotation reference"/>
    <w:qFormat/>
    <w:uiPriority w:val="0"/>
    <w:rPr>
      <w:sz w:val="21"/>
      <w:szCs w:val="21"/>
    </w:rPr>
  </w:style>
  <w:style w:type="character" w:styleId="55">
    <w:name w:val="footnote reference"/>
    <w:qFormat/>
    <w:uiPriority w:val="0"/>
    <w:rPr>
      <w:position w:val="6"/>
      <w:sz w:val="14"/>
      <w:vertAlign w:val="superscript"/>
    </w:rPr>
  </w:style>
  <w:style w:type="paragraph" w:customStyle="1" w:styleId="56">
    <w:name w:val="标题 5（有编号）（绿盟科技）"/>
    <w:basedOn w:val="1"/>
    <w:next w:val="57"/>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7">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8">
    <w:name w:val="标题 2 Char"/>
    <w:link w:val="4"/>
    <w:qFormat/>
    <w:uiPriority w:val="0"/>
    <w:rPr>
      <w:rFonts w:ascii="Arial" w:hAnsi="Arial" w:eastAsia="黑体"/>
      <w:b/>
      <w:kern w:val="2"/>
      <w:sz w:val="32"/>
    </w:rPr>
  </w:style>
  <w:style w:type="character" w:customStyle="1" w:styleId="59">
    <w:name w:val="标题 3 Char1"/>
    <w:link w:val="5"/>
    <w:qFormat/>
    <w:uiPriority w:val="0"/>
    <w:rPr>
      <w:rFonts w:eastAsia="宋体"/>
      <w:b/>
      <w:kern w:val="2"/>
      <w:sz w:val="32"/>
      <w:lang w:val="en-US" w:eastAsia="zh-CN"/>
    </w:rPr>
  </w:style>
  <w:style w:type="character" w:customStyle="1" w:styleId="60">
    <w:name w:val="标题 4 Char"/>
    <w:link w:val="6"/>
    <w:qFormat/>
    <w:uiPriority w:val="0"/>
    <w:rPr>
      <w:rFonts w:ascii="Arial" w:hAnsi="Arial" w:eastAsia="黑体"/>
      <w:b/>
      <w:kern w:val="2"/>
      <w:sz w:val="28"/>
    </w:rPr>
  </w:style>
  <w:style w:type="character" w:customStyle="1" w:styleId="61">
    <w:name w:val="批注文字 Char"/>
    <w:link w:val="17"/>
    <w:qFormat/>
    <w:uiPriority w:val="0"/>
    <w:rPr>
      <w:kern w:val="2"/>
      <w:sz w:val="28"/>
    </w:rPr>
  </w:style>
  <w:style w:type="character" w:customStyle="1" w:styleId="62">
    <w:name w:val="纯文本 Char"/>
    <w:link w:val="27"/>
    <w:qFormat/>
    <w:uiPriority w:val="0"/>
    <w:rPr>
      <w:rFonts w:ascii="宋体" w:hAnsi="Courier New"/>
      <w:kern w:val="2"/>
      <w:sz w:val="21"/>
    </w:rPr>
  </w:style>
  <w:style w:type="character" w:customStyle="1" w:styleId="63">
    <w:name w:val="日期 Char"/>
    <w:link w:val="28"/>
    <w:qFormat/>
    <w:uiPriority w:val="0"/>
    <w:rPr>
      <w:kern w:val="2"/>
      <w:sz w:val="28"/>
    </w:rPr>
  </w:style>
  <w:style w:type="character" w:customStyle="1" w:styleId="64">
    <w:name w:val="批注主题 Char"/>
    <w:link w:val="44"/>
    <w:qFormat/>
    <w:uiPriority w:val="0"/>
    <w:rPr>
      <w:b/>
      <w:bCs/>
      <w:kern w:val="2"/>
      <w:sz w:val="28"/>
    </w:rPr>
  </w:style>
  <w:style w:type="character" w:customStyle="1" w:styleId="65">
    <w:name w:val="标书正文:  0.74 厘米 Char1"/>
    <w:qFormat/>
    <w:uiPriority w:val="0"/>
    <w:rPr>
      <w:rFonts w:eastAsia="宋体"/>
      <w:kern w:val="2"/>
      <w:sz w:val="24"/>
      <w:lang w:val="en-US" w:eastAsia="zh-CN"/>
    </w:rPr>
  </w:style>
  <w:style w:type="character" w:customStyle="1" w:styleId="66">
    <w:name w:val="标题 3 Char"/>
    <w:qFormat/>
    <w:uiPriority w:val="0"/>
    <w:rPr>
      <w:rFonts w:eastAsia="宋体"/>
      <w:b/>
      <w:kern w:val="2"/>
      <w:sz w:val="32"/>
      <w:lang w:val="en-US" w:eastAsia="zh-CN" w:bidi="ar-SA"/>
    </w:rPr>
  </w:style>
  <w:style w:type="character" w:customStyle="1" w:styleId="67">
    <w:name w:val="v151"/>
    <w:qFormat/>
    <w:uiPriority w:val="0"/>
    <w:rPr>
      <w:sz w:val="18"/>
    </w:rPr>
  </w:style>
  <w:style w:type="character" w:customStyle="1" w:styleId="68">
    <w:name w:val="未命名11"/>
    <w:qFormat/>
    <w:uiPriority w:val="0"/>
    <w:rPr>
      <w:color w:val="77FFFF"/>
      <w:sz w:val="24"/>
    </w:rPr>
  </w:style>
  <w:style w:type="character" w:customStyle="1" w:styleId="69">
    <w:name w:val="font1"/>
    <w:qFormat/>
    <w:uiPriority w:val="0"/>
    <w:rPr>
      <w:color w:val="000000"/>
      <w:sz w:val="18"/>
    </w:rPr>
  </w:style>
  <w:style w:type="character" w:customStyle="1" w:styleId="70">
    <w:name w:val="正文 + 三号 Char"/>
    <w:qFormat/>
    <w:uiPriority w:val="0"/>
    <w:rPr>
      <w:rFonts w:eastAsia="宋体"/>
      <w:kern w:val="2"/>
      <w:sz w:val="21"/>
      <w:lang w:val="en-US" w:eastAsia="zh-CN"/>
    </w:rPr>
  </w:style>
  <w:style w:type="character" w:customStyle="1" w:styleId="71">
    <w:name w:val="Table Text Char Char Char Char"/>
    <w:link w:val="72"/>
    <w:qFormat/>
    <w:uiPriority w:val="0"/>
    <w:rPr>
      <w:rFonts w:ascii="Arial" w:hAnsi="Arial"/>
      <w:kern w:val="2"/>
      <w:sz w:val="18"/>
      <w:lang w:val="en-US" w:eastAsia="zh-CN" w:bidi="ar-SA"/>
    </w:rPr>
  </w:style>
  <w:style w:type="paragraph" w:customStyle="1" w:styleId="72">
    <w:name w:val="Table Text"/>
    <w:link w:val="71"/>
    <w:qFormat/>
    <w:uiPriority w:val="0"/>
    <w:pPr>
      <w:snapToGrid w:val="0"/>
      <w:spacing w:before="80" w:after="80"/>
    </w:pPr>
    <w:rPr>
      <w:rFonts w:ascii="Arial" w:hAnsi="Arial" w:eastAsia="宋体" w:cs="Times New Roman"/>
      <w:kern w:val="2"/>
      <w:sz w:val="18"/>
      <w:lang w:val="en-US" w:eastAsia="zh-CN" w:bidi="ar-SA"/>
    </w:rPr>
  </w:style>
  <w:style w:type="character" w:customStyle="1" w:styleId="73">
    <w:name w:val="Table Heading Char Char"/>
    <w:qFormat/>
    <w:uiPriority w:val="0"/>
    <w:rPr>
      <w:rFonts w:ascii="Arial" w:hAnsi="Arial" w:eastAsia="黑体"/>
      <w:kern w:val="2"/>
      <w:sz w:val="18"/>
      <w:lang w:val="en-US" w:eastAsia="zh-CN"/>
    </w:rPr>
  </w:style>
  <w:style w:type="character" w:customStyle="1" w:styleId="74">
    <w:name w:val=" Char Char5"/>
    <w:qFormat/>
    <w:uiPriority w:val="0"/>
    <w:rPr>
      <w:rFonts w:ascii="Arial" w:hAnsi="Arial" w:eastAsia="宋体"/>
      <w:b/>
      <w:smallCaps/>
      <w:kern w:val="28"/>
      <w:sz w:val="36"/>
      <w:lang w:val="en-US" w:eastAsia="en-US"/>
    </w:rPr>
  </w:style>
  <w:style w:type="character" w:customStyle="1" w:styleId="75">
    <w:name w:val="top-det1"/>
    <w:qFormat/>
    <w:uiPriority w:val="0"/>
    <w:rPr>
      <w:b/>
      <w:color w:val="000000"/>
    </w:rPr>
  </w:style>
  <w:style w:type="character" w:customStyle="1" w:styleId="76">
    <w:name w:val="content-white1"/>
    <w:qFormat/>
    <w:uiPriority w:val="0"/>
    <w:rPr>
      <w:rFonts w:ascii="_x000B__x000C_" w:hAnsi="_x000B__x000C_"/>
      <w:color w:val="auto"/>
      <w:sz w:val="18"/>
      <w:u w:val="none"/>
    </w:rPr>
  </w:style>
  <w:style w:type="character" w:customStyle="1" w:styleId="77">
    <w:name w:val="crowed11"/>
    <w:qFormat/>
    <w:uiPriority w:val="0"/>
    <w:rPr>
      <w:rFonts w:hint="default" w:ascii="_x000B__x000C_" w:hAnsi="_x000B__x000C_"/>
      <w:sz w:val="24"/>
    </w:rPr>
  </w:style>
  <w:style w:type="character" w:customStyle="1" w:styleId="78">
    <w:name w:val="1 Char Char"/>
    <w:link w:val="79"/>
    <w:qFormat/>
    <w:uiPriority w:val="0"/>
    <w:rPr>
      <w:rFonts w:ascii="宋体" w:hAnsi="Courier New"/>
      <w:kern w:val="2"/>
      <w:sz w:val="21"/>
    </w:rPr>
  </w:style>
  <w:style w:type="paragraph" w:customStyle="1" w:styleId="79">
    <w:name w:val="1"/>
    <w:basedOn w:val="1"/>
    <w:next w:val="27"/>
    <w:link w:val="78"/>
    <w:qFormat/>
    <w:uiPriority w:val="0"/>
    <w:rPr>
      <w:rFonts w:ascii="宋体" w:hAnsi="Courier New"/>
      <w:sz w:val="21"/>
    </w:rPr>
  </w:style>
  <w:style w:type="character" w:customStyle="1" w:styleId="80">
    <w:name w:val="H2 Char"/>
    <w:qFormat/>
    <w:uiPriority w:val="0"/>
    <w:rPr>
      <w:rFonts w:ascii="Arial" w:hAnsi="Arial" w:eastAsia="宋体"/>
      <w:kern w:val="2"/>
      <w:sz w:val="28"/>
      <w:lang w:val="en-US" w:eastAsia="zh-CN"/>
    </w:rPr>
  </w:style>
  <w:style w:type="character" w:customStyle="1" w:styleId="81">
    <w:name w:val="【标题三】 Char"/>
    <w:link w:val="82"/>
    <w:qFormat/>
    <w:uiPriority w:val="0"/>
    <w:rPr>
      <w:rFonts w:ascii="Calibri" w:hAnsi="Calibri" w:eastAsia="仿宋"/>
      <w:b/>
      <w:kern w:val="2"/>
      <w:sz w:val="28"/>
      <w:szCs w:val="21"/>
    </w:rPr>
  </w:style>
  <w:style w:type="paragraph" w:customStyle="1" w:styleId="82">
    <w:name w:val="【标题三】"/>
    <w:basedOn w:val="1"/>
    <w:next w:val="1"/>
    <w:link w:val="81"/>
    <w:qFormat/>
    <w:uiPriority w:val="0"/>
    <w:pPr>
      <w:spacing w:line="560" w:lineRule="exact"/>
      <w:ind w:firstLine="200" w:firstLineChars="200"/>
      <w:outlineLvl w:val="2"/>
    </w:pPr>
    <w:rPr>
      <w:rFonts w:ascii="Calibri" w:hAnsi="Calibri" w:eastAsia="仿宋"/>
      <w:b/>
      <w:szCs w:val="21"/>
    </w:rPr>
  </w:style>
  <w:style w:type="character" w:customStyle="1" w:styleId="83">
    <w:name w:val="title_emph1"/>
    <w:qFormat/>
    <w:uiPriority w:val="0"/>
    <w:rPr>
      <w:rFonts w:hint="default" w:ascii="Arial" w:hAnsi="Arial"/>
      <w:b/>
      <w:sz w:val="20"/>
    </w:rPr>
  </w:style>
  <w:style w:type="paragraph" w:customStyle="1" w:styleId="8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5">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6">
    <w:name w:val="一级条标题"/>
    <w:basedOn w:val="87"/>
    <w:next w:val="88"/>
    <w:qFormat/>
    <w:uiPriority w:val="0"/>
    <w:pPr>
      <w:numPr>
        <w:ilvl w:val="0"/>
        <w:numId w:val="0"/>
      </w:numPr>
      <w:spacing w:before="0" w:beforeLines="0" w:beforeAutospacing="0" w:after="0" w:afterLines="0" w:afterAutospacing="0"/>
      <w:ind w:left="525"/>
      <w:outlineLvl w:val="2"/>
    </w:pPr>
    <w:rPr>
      <w:sz w:val="21"/>
    </w:rPr>
  </w:style>
  <w:style w:type="paragraph" w:customStyle="1" w:styleId="87">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9">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90">
    <w:name w:val="样式 正文缩进正文（首行缩进两字）表正文正文非缩进特点标题4段1 + 首行缩进:  2 字符"/>
    <w:basedOn w:val="14"/>
    <w:qFormat/>
    <w:uiPriority w:val="0"/>
    <w:pPr>
      <w:ind w:firstLine="480" w:firstLineChars="200"/>
    </w:pPr>
  </w:style>
  <w:style w:type="paragraph" w:customStyle="1" w:styleId="91">
    <w:name w:val="Title - Revision"/>
    <w:basedOn w:val="43"/>
    <w:qFormat/>
    <w:uiPriority w:val="0"/>
    <w:pPr>
      <w:spacing w:before="720" w:beforeLines="0" w:beforeAutospacing="0"/>
    </w:pPr>
  </w:style>
  <w:style w:type="paragraph" w:customStyle="1" w:styleId="92">
    <w:name w:val="关键词"/>
    <w:basedOn w:val="1"/>
    <w:next w:val="1"/>
    <w:qFormat/>
    <w:uiPriority w:val="0"/>
    <w:pPr>
      <w:spacing w:line="360" w:lineRule="auto"/>
    </w:pPr>
    <w:rPr>
      <w:rFonts w:eastAsia="黑体"/>
      <w:sz w:val="20"/>
    </w:rPr>
  </w:style>
  <w:style w:type="paragraph" w:customStyle="1" w:styleId="93">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4">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5">
    <w:name w:val="表格内文字"/>
    <w:basedOn w:val="27"/>
    <w:qFormat/>
    <w:uiPriority w:val="0"/>
    <w:pPr>
      <w:adjustRightInd w:val="0"/>
    </w:pPr>
    <w:rPr>
      <w:color w:val="000000"/>
      <w:lang w:val="en-GB"/>
    </w:rPr>
  </w:style>
  <w:style w:type="paragraph" w:customStyle="1" w:styleId="96">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7">
    <w:name w:val="首行缩进 1"/>
    <w:basedOn w:val="1"/>
    <w:qFormat/>
    <w:uiPriority w:val="0"/>
    <w:pPr>
      <w:spacing w:after="120" w:afterLines="0" w:afterAutospacing="0" w:line="360" w:lineRule="auto"/>
      <w:ind w:firstLine="200" w:firstLineChars="200"/>
    </w:pPr>
    <w:rPr>
      <w:sz w:val="24"/>
    </w:rPr>
  </w:style>
  <w:style w:type="paragraph" w:customStyle="1" w:styleId="98">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9">
    <w:name w:val="样式 首行缩进:  0.74 厘米"/>
    <w:basedOn w:val="1"/>
    <w:qFormat/>
    <w:uiPriority w:val="0"/>
    <w:pPr>
      <w:spacing w:line="360" w:lineRule="auto"/>
      <w:ind w:firstLine="420"/>
    </w:pPr>
    <w:rPr>
      <w:sz w:val="24"/>
    </w:rPr>
  </w:style>
  <w:style w:type="paragraph" w:customStyle="1" w:styleId="100">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01">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2">
    <w:name w:val=" Char2 Char Char Char Char Char Char"/>
    <w:basedOn w:val="1"/>
    <w:qFormat/>
    <w:uiPriority w:val="0"/>
    <w:rPr>
      <w:rFonts w:ascii="仿宋_GB2312"/>
      <w:b/>
      <w:sz w:val="30"/>
    </w:rPr>
  </w:style>
  <w:style w:type="paragraph" w:customStyle="1" w:styleId="103">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4">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5">
    <w:name w:val="表头样式"/>
    <w:basedOn w:val="1"/>
    <w:qFormat/>
    <w:uiPriority w:val="0"/>
    <w:pPr>
      <w:autoSpaceDE w:val="0"/>
      <w:autoSpaceDN w:val="0"/>
      <w:adjustRightInd w:val="0"/>
      <w:spacing w:line="360" w:lineRule="auto"/>
      <w:jc w:val="left"/>
    </w:pPr>
    <w:rPr>
      <w:b/>
      <w:kern w:val="0"/>
      <w:sz w:val="21"/>
    </w:rPr>
  </w:style>
  <w:style w:type="paragraph" w:customStyle="1" w:styleId="106">
    <w:name w:val="摘要"/>
    <w:basedOn w:val="1"/>
    <w:next w:val="4"/>
    <w:qFormat/>
    <w:uiPriority w:val="0"/>
    <w:pPr>
      <w:spacing w:line="360" w:lineRule="auto"/>
    </w:pPr>
    <w:rPr>
      <w:rFonts w:eastAsia="黑体"/>
      <w:sz w:val="20"/>
    </w:rPr>
  </w:style>
  <w:style w:type="paragraph" w:customStyle="1" w:styleId="107">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8">
    <w:name w:val=" Char Char Char Char Char Char"/>
    <w:basedOn w:val="1"/>
    <w:qFormat/>
    <w:uiPriority w:val="0"/>
    <w:pPr>
      <w:widowControl/>
      <w:spacing w:after="160" w:afterLines="0" w:line="240" w:lineRule="exact"/>
      <w:jc w:val="left"/>
    </w:pPr>
  </w:style>
  <w:style w:type="paragraph" w:customStyle="1" w:styleId="109">
    <w:name w:val=" Char Char Char Char Char Char Char Char Char Char Char Char Char Char Char Char"/>
    <w:basedOn w:val="1"/>
    <w:qFormat/>
    <w:uiPriority w:val="0"/>
    <w:pPr>
      <w:tabs>
        <w:tab w:val="left" w:pos="360"/>
      </w:tabs>
    </w:pPr>
    <w:rPr>
      <w:sz w:val="24"/>
    </w:rPr>
  </w:style>
  <w:style w:type="paragraph" w:customStyle="1" w:styleId="110">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1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2">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3">
    <w:name w:val="样式 样式 首行缩进:  2 字符 + 首行缩进:  2 字符"/>
    <w:basedOn w:val="1"/>
    <w:qFormat/>
    <w:uiPriority w:val="0"/>
    <w:pPr>
      <w:spacing w:line="360" w:lineRule="auto"/>
      <w:ind w:firstLine="480" w:firstLineChars="200"/>
    </w:pPr>
    <w:rPr>
      <w:sz w:val="24"/>
    </w:rPr>
  </w:style>
  <w:style w:type="paragraph" w:customStyle="1" w:styleId="114">
    <w:name w:val="正文 + 三号"/>
    <w:basedOn w:val="1"/>
    <w:qFormat/>
    <w:uiPriority w:val="0"/>
    <w:rPr>
      <w:sz w:val="21"/>
    </w:rPr>
  </w:style>
  <w:style w:type="paragraph" w:customStyle="1" w:styleId="115">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6">
    <w:name w:val="首行缩进"/>
    <w:basedOn w:val="1"/>
    <w:qFormat/>
    <w:uiPriority w:val="0"/>
    <w:pPr>
      <w:tabs>
        <w:tab w:val="left" w:pos="540"/>
      </w:tabs>
      <w:spacing w:line="360" w:lineRule="auto"/>
      <w:ind w:left="540"/>
    </w:pPr>
    <w:rPr>
      <w:rFonts w:eastAsia="仿宋_GB2312"/>
    </w:rPr>
  </w:style>
  <w:style w:type="paragraph" w:customStyle="1" w:styleId="117">
    <w:name w:val="标题无"/>
    <w:basedOn w:val="1"/>
    <w:qFormat/>
    <w:uiPriority w:val="0"/>
    <w:pPr>
      <w:spacing w:line="360" w:lineRule="auto"/>
    </w:pPr>
    <w:rPr>
      <w:sz w:val="24"/>
    </w:rPr>
  </w:style>
  <w:style w:type="paragraph" w:customStyle="1" w:styleId="118">
    <w:name w:val="IN Feature"/>
    <w:next w:val="119"/>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9">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20">
    <w:name w:val="Char"/>
    <w:basedOn w:val="1"/>
    <w:qFormat/>
    <w:uiPriority w:val="0"/>
    <w:pPr>
      <w:spacing w:line="240" w:lineRule="atLeast"/>
      <w:ind w:left="420" w:firstLine="420"/>
    </w:pPr>
    <w:rPr>
      <w:kern w:val="0"/>
      <w:sz w:val="21"/>
    </w:rPr>
  </w:style>
  <w:style w:type="paragraph" w:customStyle="1" w:styleId="121">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2">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3">
    <w:name w:val="编号正文"/>
    <w:basedOn w:val="124"/>
    <w:qFormat/>
    <w:uiPriority w:val="0"/>
    <w:pPr>
      <w:snapToGrid/>
      <w:spacing w:line="360" w:lineRule="auto"/>
      <w:ind w:left="1407" w:hanging="1047"/>
      <w:jc w:val="left"/>
    </w:pPr>
    <w:rPr>
      <w:rFonts w:eastAsia="仿宋_GB2312"/>
    </w:rPr>
  </w:style>
  <w:style w:type="paragraph" w:customStyle="1" w:styleId="124">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5">
    <w:name w:val="表头文本"/>
    <w:qFormat/>
    <w:uiPriority w:val="0"/>
    <w:pPr>
      <w:jc w:val="center"/>
    </w:pPr>
    <w:rPr>
      <w:rFonts w:ascii="Arial" w:hAnsi="Arial" w:eastAsia="宋体" w:cs="Times New Roman"/>
      <w:b/>
      <w:sz w:val="21"/>
      <w:lang w:val="en-US" w:eastAsia="zh-CN" w:bidi="ar-SA"/>
    </w:rPr>
  </w:style>
  <w:style w:type="paragraph" w:customStyle="1" w:styleId="126">
    <w:name w:val="样式 行距: 1.5 倍行距1"/>
    <w:basedOn w:val="1"/>
    <w:qFormat/>
    <w:uiPriority w:val="0"/>
    <w:pPr>
      <w:snapToGrid w:val="0"/>
    </w:pPr>
    <w:rPr>
      <w:sz w:val="21"/>
    </w:rPr>
  </w:style>
  <w:style w:type="paragraph" w:customStyle="1" w:styleId="127">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8">
    <w:name w:val="Title - Date"/>
    <w:basedOn w:val="43"/>
    <w:next w:val="1"/>
    <w:qFormat/>
    <w:uiPriority w:val="0"/>
    <w:pPr>
      <w:spacing w:before="240" w:beforeLines="0" w:beforeAutospacing="0" w:after="720" w:afterLines="0" w:afterAutospacing="0"/>
    </w:pPr>
    <w:rPr>
      <w:sz w:val="28"/>
    </w:rPr>
  </w:style>
  <w:style w:type="paragraph" w:customStyle="1" w:styleId="129">
    <w:name w:val="样式4"/>
    <w:basedOn w:val="6"/>
    <w:qFormat/>
    <w:uiPriority w:val="0"/>
    <w:pPr>
      <w:adjustRightInd w:val="0"/>
      <w:snapToGrid w:val="0"/>
    </w:pPr>
  </w:style>
  <w:style w:type="paragraph" w:customStyle="1" w:styleId="130">
    <w:name w:val="表格文本"/>
    <w:qFormat/>
    <w:uiPriority w:val="0"/>
    <w:pPr>
      <w:tabs>
        <w:tab w:val="decimal" w:pos="0"/>
      </w:tabs>
    </w:pPr>
    <w:rPr>
      <w:rFonts w:ascii="Arial" w:hAnsi="Arial" w:eastAsia="宋体" w:cs="Times New Roman"/>
      <w:sz w:val="21"/>
      <w:lang w:val="en-US" w:eastAsia="zh-CN" w:bidi="ar-SA"/>
    </w:rPr>
  </w:style>
  <w:style w:type="paragraph" w:customStyle="1" w:styleId="131">
    <w:name w:val="图片文字"/>
    <w:basedOn w:val="1"/>
    <w:qFormat/>
    <w:uiPriority w:val="0"/>
    <w:pPr>
      <w:spacing w:line="240" w:lineRule="atLeast"/>
      <w:jc w:val="center"/>
    </w:pPr>
    <w:rPr>
      <w:sz w:val="21"/>
    </w:rPr>
  </w:style>
  <w:style w:type="paragraph" w:customStyle="1" w:styleId="13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3">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4">
    <w:name w:val="Note"/>
    <w:basedOn w:val="1"/>
    <w:qFormat/>
    <w:uiPriority w:val="0"/>
    <w:pPr>
      <w:pBdr>
        <w:top w:val="single" w:color="auto" w:sz="12" w:space="3"/>
        <w:bottom w:val="single" w:color="auto" w:sz="12" w:space="3"/>
      </w:pBdr>
      <w:spacing w:line="360" w:lineRule="auto"/>
    </w:pPr>
    <w:rPr>
      <w:sz w:val="24"/>
    </w:rPr>
  </w:style>
  <w:style w:type="paragraph" w:customStyle="1" w:styleId="135">
    <w:name w:val="List Paragraph"/>
    <w:basedOn w:val="1"/>
    <w:qFormat/>
    <w:uiPriority w:val="0"/>
    <w:pPr>
      <w:ind w:firstLine="420" w:firstLineChars="200"/>
    </w:pPr>
    <w:rPr>
      <w:sz w:val="21"/>
      <w:szCs w:val="24"/>
    </w:rPr>
  </w:style>
  <w:style w:type="paragraph" w:customStyle="1" w:styleId="136">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7">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8">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9">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40">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4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2">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3">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4">
    <w:name w:val="文章正文"/>
    <w:basedOn w:val="1"/>
    <w:qFormat/>
    <w:uiPriority w:val="0"/>
    <w:pPr>
      <w:ind w:firstLine="560" w:firstLineChars="200"/>
    </w:pPr>
    <w:rPr>
      <w:rFonts w:ascii="仿宋_GB2312" w:hAnsi="宋体" w:eastAsia="仿宋_GB2312"/>
      <w:color w:val="000000"/>
    </w:rPr>
  </w:style>
  <w:style w:type="paragraph" w:customStyle="1" w:styleId="145">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6">
    <w:name w:val=" Char1"/>
    <w:basedOn w:val="1"/>
    <w:qFormat/>
    <w:uiPriority w:val="0"/>
    <w:rPr>
      <w:sz w:val="21"/>
    </w:rPr>
  </w:style>
  <w:style w:type="paragraph" w:customStyle="1" w:styleId="147">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8">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9">
    <w:name w:val="可研正文"/>
    <w:basedOn w:val="2"/>
    <w:qFormat/>
    <w:uiPriority w:val="0"/>
    <w:pPr>
      <w:adjustRightInd w:val="0"/>
      <w:snapToGrid w:val="0"/>
      <w:spacing w:line="440" w:lineRule="exact"/>
      <w:ind w:firstLine="567"/>
    </w:pPr>
    <w:rPr>
      <w:sz w:val="28"/>
    </w:rPr>
  </w:style>
  <w:style w:type="paragraph" w:customStyle="1" w:styleId="150">
    <w:name w:val=" Char Char Char"/>
    <w:basedOn w:val="1"/>
    <w:qFormat/>
    <w:uiPriority w:val="0"/>
    <w:rPr>
      <w:rFonts w:ascii="Tahoma" w:hAnsi="Tahoma"/>
      <w:sz w:val="24"/>
    </w:rPr>
  </w:style>
  <w:style w:type="paragraph" w:customStyle="1" w:styleId="151">
    <w:name w:val="_Style 146"/>
    <w:semiHidden/>
    <w:qFormat/>
    <w:uiPriority w:val="99"/>
    <w:rPr>
      <w:rFonts w:ascii="Times New Roman" w:hAnsi="Times New Roman" w:eastAsia="宋体" w:cs="Times New Roman"/>
      <w:kern w:val="2"/>
      <w:sz w:val="28"/>
      <w:lang w:val="en-US" w:eastAsia="zh-CN" w:bidi="ar-SA"/>
    </w:rPr>
  </w:style>
  <w:style w:type="paragraph" w:customStyle="1" w:styleId="152">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3">
    <w:name w:val="二级条标题"/>
    <w:basedOn w:val="86"/>
    <w:next w:val="88"/>
    <w:qFormat/>
    <w:uiPriority w:val="0"/>
    <w:pPr>
      <w:ind w:left="840"/>
      <w:outlineLvl w:val="3"/>
    </w:pPr>
  </w:style>
  <w:style w:type="paragraph" w:customStyle="1" w:styleId="154">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5">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6">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7">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8">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9">
    <w:name w:val="正文1"/>
    <w:basedOn w:val="1"/>
    <w:qFormat/>
    <w:uiPriority w:val="0"/>
    <w:pPr>
      <w:spacing w:line="300" w:lineRule="auto"/>
      <w:ind w:firstLine="200" w:firstLineChars="200"/>
    </w:pPr>
    <w:rPr>
      <w:sz w:val="24"/>
    </w:rPr>
  </w:style>
  <w:style w:type="paragraph" w:customStyle="1" w:styleId="160">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61">
    <w:name w:val="默认段落字体 Para Char Char Char Char Char Char Char"/>
    <w:basedOn w:val="1"/>
    <w:qFormat/>
    <w:uiPriority w:val="0"/>
    <w:rPr>
      <w:rFonts w:ascii="Tahoma" w:hAnsi="Tahoma"/>
      <w:sz w:val="24"/>
    </w:rPr>
  </w:style>
  <w:style w:type="paragraph" w:customStyle="1" w:styleId="162">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3">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4">
    <w:name w:val=" Char1 Char Char Char"/>
    <w:basedOn w:val="1"/>
    <w:qFormat/>
    <w:uiPriority w:val="0"/>
    <w:rPr>
      <w:rFonts w:ascii="Tahoma" w:hAnsi="Tahoma"/>
      <w:sz w:val="24"/>
    </w:rPr>
  </w:style>
  <w:style w:type="paragraph" w:customStyle="1" w:styleId="165">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6">
    <w:name w:val="标题3——2"/>
    <w:basedOn w:val="5"/>
    <w:next w:val="4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7">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9">
    <w:name w:val="af"/>
    <w:basedOn w:val="1"/>
    <w:qFormat/>
    <w:uiPriority w:val="0"/>
    <w:pPr>
      <w:widowControl/>
      <w:spacing w:line="300" w:lineRule="atLeast"/>
      <w:jc w:val="left"/>
    </w:pPr>
    <w:rPr>
      <w:rFonts w:ascii="宋体" w:hAnsi="宋体"/>
      <w:kern w:val="0"/>
      <w:sz w:val="18"/>
    </w:rPr>
  </w:style>
  <w:style w:type="paragraph" w:customStyle="1" w:styleId="170">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71">
    <w:name w:val="简单回函地址"/>
    <w:basedOn w:val="1"/>
    <w:qFormat/>
    <w:uiPriority w:val="0"/>
    <w:pPr>
      <w:adjustRightInd w:val="0"/>
      <w:snapToGrid w:val="0"/>
      <w:spacing w:line="360" w:lineRule="auto"/>
    </w:pPr>
    <w:rPr>
      <w:sz w:val="24"/>
    </w:rPr>
  </w:style>
  <w:style w:type="paragraph" w:customStyle="1" w:styleId="172">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3">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4">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5">
    <w:name w:val="正文表格"/>
    <w:basedOn w:val="1"/>
    <w:qFormat/>
    <w:uiPriority w:val="0"/>
    <w:pPr>
      <w:adjustRightInd w:val="0"/>
      <w:spacing w:before="40" w:beforeLines="0" w:beforeAutospacing="0" w:after="40" w:afterLines="0" w:afterAutospacing="0"/>
    </w:pPr>
    <w:rPr>
      <w:sz w:val="24"/>
    </w:rPr>
  </w:style>
  <w:style w:type="paragraph" w:customStyle="1" w:styleId="176">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8">
    <w:name w:val="文本1"/>
    <w:basedOn w:val="1"/>
    <w:qFormat/>
    <w:uiPriority w:val="0"/>
    <w:pPr>
      <w:adjustRightInd w:val="0"/>
      <w:spacing w:line="312" w:lineRule="atLeast"/>
      <w:jc w:val="center"/>
      <w:textAlignment w:val="baseline"/>
    </w:pPr>
    <w:rPr>
      <w:kern w:val="0"/>
      <w:sz w:val="18"/>
    </w:rPr>
  </w:style>
  <w:style w:type="paragraph" w:customStyle="1" w:styleId="179">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8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81">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Char1 Char Char Char"/>
    <w:basedOn w:val="1"/>
    <w:qFormat/>
    <w:uiPriority w:val="0"/>
    <w:rPr>
      <w:rFonts w:ascii="Tahoma" w:hAnsi="Tahoma"/>
      <w:sz w:val="30"/>
    </w:rPr>
  </w:style>
  <w:style w:type="paragraph" w:customStyle="1" w:styleId="184">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5">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6">
    <w:name w:val="正文（首行不缩进）"/>
    <w:basedOn w:val="1"/>
    <w:qFormat/>
    <w:uiPriority w:val="0"/>
    <w:pPr>
      <w:autoSpaceDE w:val="0"/>
      <w:autoSpaceDN w:val="0"/>
      <w:adjustRightInd w:val="0"/>
      <w:spacing w:line="360" w:lineRule="auto"/>
      <w:jc w:val="left"/>
    </w:pPr>
    <w:rPr>
      <w:kern w:val="0"/>
      <w:sz w:val="21"/>
    </w:rPr>
  </w:style>
  <w:style w:type="paragraph" w:customStyle="1" w:styleId="187">
    <w:name w:val=" Char"/>
    <w:basedOn w:val="1"/>
    <w:qFormat/>
    <w:uiPriority w:val="0"/>
    <w:pPr>
      <w:spacing w:line="240" w:lineRule="atLeast"/>
      <w:ind w:left="420" w:firstLine="420"/>
    </w:pPr>
    <w:rPr>
      <w:kern w:val="0"/>
      <w:sz w:val="21"/>
    </w:rPr>
  </w:style>
  <w:style w:type="paragraph" w:customStyle="1" w:styleId="188">
    <w:name w:val="Body Text Indent 2"/>
    <w:basedOn w:val="1"/>
    <w:qFormat/>
    <w:uiPriority w:val="0"/>
    <w:pPr>
      <w:adjustRightInd w:val="0"/>
      <w:spacing w:before="120" w:beforeLines="0" w:beforeAutospacing="0"/>
      <w:ind w:firstLine="420"/>
      <w:textAlignment w:val="baseline"/>
    </w:pPr>
    <w:rPr>
      <w:sz w:val="24"/>
    </w:rPr>
  </w:style>
  <w:style w:type="paragraph" w:customStyle="1" w:styleId="189">
    <w:name w:val="内容标题"/>
    <w:basedOn w:val="16"/>
    <w:qFormat/>
    <w:uiPriority w:val="0"/>
    <w:rPr>
      <w:rFonts w:ascii="Tahoma" w:hAnsi="Tahoma"/>
      <w:sz w:val="24"/>
    </w:rPr>
  </w:style>
  <w:style w:type="paragraph" w:customStyle="1" w:styleId="190">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91">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p16"/>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2</TotalTime>
  <ScaleCrop>false</ScaleCrop>
  <LinksUpToDate>false</LinksUpToDate>
  <CharactersWithSpaces>6482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李薛龙</cp:lastModifiedBy>
  <cp:lastPrinted>2022-06-08T03:39:00Z</cp:lastPrinted>
  <dcterms:modified xsi:type="dcterms:W3CDTF">2026-03-25T08:06:26Z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2E342A675BE140C7BC14A1FB1FE23709</vt:lpwstr>
  </property>
</Properties>
</file>