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YXX260364</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公众号挂号系统升级改造</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2"/>
        <w:spacing w:before="200" w:after="200" w:line="240" w:lineRule="auto"/>
        <w:jc w:val="center"/>
        <w:rPr>
          <w:rFonts w:hint="eastAsia" w:ascii="微软雅黑" w:hAnsi="微软雅黑" w:eastAsia="微软雅黑" w:cs="微软雅黑"/>
          <w:sz w:val="44"/>
        </w:rPr>
      </w:pPr>
      <w:bookmarkStart w:id="0" w:name="_Toc27110"/>
      <w:bookmarkStart w:id="1" w:name="_Toc76462316"/>
      <w:bookmarkStart w:id="2" w:name="_Toc24037"/>
      <w:bookmarkStart w:id="3" w:name="_Toc106030870"/>
      <w:bookmarkStart w:id="4" w:name="_Toc12789052"/>
      <w:bookmarkStart w:id="5" w:name="_Toc1164105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公众号挂号系统升级改造</w:t>
      </w:r>
      <w:r>
        <w:rPr>
          <w:rFonts w:hint="eastAsia" w:ascii="微软雅黑" w:hAnsi="微软雅黑" w:eastAsia="微软雅黑" w:cs="微软雅黑"/>
          <w:sz w:val="24"/>
          <w:szCs w:val="24"/>
        </w:rPr>
        <w:t>项目进行公开比选采购。欢迎有资格的投标人前来参与。</w:t>
      </w:r>
    </w:p>
    <w:p>
      <w:pPr>
        <w:pStyle w:val="2"/>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3893526"/>
      <w:bookmarkStart w:id="8" w:name="_Toc317775175"/>
      <w:bookmarkStart w:id="9" w:name="_Toc76462317"/>
      <w:bookmarkStart w:id="10" w:name="_Toc3856"/>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YXX260364</w:t>
            </w:r>
          </w:p>
        </w:tc>
        <w:tc>
          <w:tcPr>
            <w:tcW w:w="175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公众号挂号系统升级改造</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14.8</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27954"/>
      <w:bookmarkStart w:id="23" w:name="_Toc76462320"/>
      <w:bookmarkStart w:id="24" w:name="_Toc106030874"/>
      <w:r>
        <w:rPr>
          <w:rFonts w:hint="eastAsia" w:ascii="微软雅黑" w:hAnsi="微软雅黑" w:eastAsia="微软雅黑" w:cs="微软雅黑"/>
          <w:sz w:val="24"/>
          <w:szCs w:val="24"/>
          <w:lang w:val="en-US" w:eastAsia="zh-CN"/>
        </w:rPr>
        <w:t>无</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178"/>
      <w:bookmarkStart w:id="26" w:name="_Toc521053053"/>
      <w:bookmarkStart w:id="27" w:name="_Toc65660334"/>
      <w:bookmarkStart w:id="28" w:name="_Toc26664"/>
      <w:bookmarkStart w:id="29" w:name="_Toc106034625"/>
      <w:bookmarkStart w:id="30" w:name="_Toc525047161"/>
      <w:bookmarkStart w:id="31" w:name="_Toc12841"/>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bookmarkStart w:id="33" w:name="_Toc521053054"/>
      <w:bookmarkStart w:id="34" w:name="_Toc106034626"/>
      <w:bookmarkStart w:id="35" w:name="_Toc65660335"/>
      <w:bookmarkStart w:id="36" w:name="_Toc4355"/>
      <w:bookmarkStart w:id="37" w:name="_Toc2945"/>
      <w:bookmarkStart w:id="38" w:name="_Toc525047162"/>
      <w:bookmarkStart w:id="39" w:name="_Toc24100"/>
      <w:bookmarkStart w:id="40" w:name="_Toc1546"/>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65660336"/>
      <w:bookmarkStart w:id="43" w:name="_Toc6563"/>
      <w:bookmarkStart w:id="44" w:name="_Toc16269"/>
      <w:bookmarkStart w:id="45" w:name="_Toc521053055"/>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21079"/>
      <w:bookmarkStart w:id="49" w:name="_Toc106034628"/>
      <w:bookmarkStart w:id="50" w:name="_Toc521053056"/>
      <w:bookmarkStart w:id="51" w:name="_Toc65660337"/>
      <w:bookmarkStart w:id="52" w:name="_Toc525047164"/>
      <w:bookmarkStart w:id="53" w:name="_Toc1733"/>
      <w:bookmarkStart w:id="54" w:name="_Toc24901"/>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2070"/>
      <w:bookmarkStart w:id="56" w:name="_Toc19886"/>
      <w:bookmarkStart w:id="57" w:name="_Toc23143"/>
      <w:bookmarkStart w:id="58" w:name="_Toc12959"/>
      <w:bookmarkStart w:id="59" w:name="_Toc8649"/>
      <w:bookmarkStart w:id="60" w:name="_Toc26176"/>
      <w:bookmarkStart w:id="61" w:name="_Toc2422"/>
      <w:bookmarkStart w:id="62" w:name="_Toc25639"/>
      <w:bookmarkStart w:id="63" w:name="_Toc11017"/>
      <w:bookmarkStart w:id="64" w:name="_Toc5461"/>
      <w:bookmarkStart w:id="65" w:name="_Toc725"/>
      <w:bookmarkStart w:id="66" w:name="_Toc75793504"/>
      <w:bookmarkStart w:id="67" w:name="_Toc1492"/>
      <w:bookmarkStart w:id="68" w:name="_Toc32686"/>
      <w:bookmarkStart w:id="69" w:name="_Toc1625"/>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3656"/>
      <w:bookmarkStart w:id="74" w:name="_Toc4519"/>
      <w:bookmarkStart w:id="75" w:name="_Toc23504"/>
      <w:bookmarkStart w:id="76" w:name="_Toc4531"/>
      <w:bookmarkStart w:id="77" w:name="_Toc4913"/>
      <w:bookmarkStart w:id="78" w:name="_Toc75793505"/>
      <w:bookmarkStart w:id="79" w:name="_Toc19238"/>
      <w:bookmarkStart w:id="80" w:name="_Toc22910"/>
      <w:bookmarkStart w:id="81" w:name="_Toc14433"/>
      <w:bookmarkStart w:id="82" w:name="_Toc9261"/>
      <w:bookmarkStart w:id="83" w:name="_Toc20979"/>
      <w:bookmarkStart w:id="84" w:name="_Toc8370"/>
      <w:bookmarkStart w:id="85" w:name="_Toc11703"/>
      <w:bookmarkStart w:id="86" w:name="_Toc106030381"/>
      <w:bookmarkStart w:id="87" w:name="_Toc29985"/>
      <w:bookmarkStart w:id="88" w:name="_Toc7027"/>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3614" w:type="dxa"/>
            <w:vAlign w:val="center"/>
          </w:tcPr>
          <w:p>
            <w:pPr>
              <w:jc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公众号挂号系统升级改造</w:t>
            </w:r>
          </w:p>
        </w:tc>
        <w:tc>
          <w:tcPr>
            <w:tcW w:w="1462" w:type="dxa"/>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1套</w:t>
            </w:r>
          </w:p>
        </w:tc>
        <w:tc>
          <w:tcPr>
            <w:tcW w:w="1462" w:type="dxa"/>
            <w:vAlign w:val="center"/>
          </w:tcPr>
          <w:p>
            <w:pPr>
              <w:jc w:val="center"/>
              <w:rPr>
                <w:rFonts w:hint="default" w:ascii="微软雅黑" w:hAnsi="微软雅黑" w:eastAsia="微软雅黑" w:cs="微软雅黑"/>
                <w:color w:val="auto"/>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12473"/>
      <w:bookmarkStart w:id="90" w:name="_Toc7791"/>
      <w:bookmarkStart w:id="91" w:name="_Toc106030882"/>
      <w:bookmarkStart w:id="92" w:name="_Toc76462327"/>
      <w:r>
        <w:rPr>
          <w:rFonts w:hint="eastAsia" w:ascii="微软雅黑" w:hAnsi="微软雅黑" w:eastAsia="微软雅黑" w:cs="微软雅黑"/>
          <w:b/>
          <w:bCs/>
          <w:sz w:val="24"/>
          <w:szCs w:val="24"/>
          <w:lang w:val="en-US" w:eastAsia="zh-CN"/>
        </w:rPr>
        <w:t>二、项目技术要求</w:t>
      </w:r>
    </w:p>
    <w:tbl>
      <w:tblPr>
        <w:tblStyle w:val="5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14"/>
        <w:gridCol w:w="80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功能</w:t>
            </w:r>
          </w:p>
        </w:tc>
        <w:tc>
          <w:tcPr>
            <w:tcW w:w="80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功能描述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公告展示</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（1）提供公告管理功能，支持创建、编辑（可保存为草稿）、发布（就诊指南、停诊换诊通知、防控提示、义诊活动信息等）、停用功能；</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（2）支持类似Word的富文本编辑器，可编辑文字（字体、字号、颜色）、插入图片、插入超链接、插入视频等；</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（3）支持设置公告生效时间预设（生效时间支持起止时间，停用后不再展示）、公告类型（紧急、非紧急等）、是否置顶等，提供查看历史发布公告；</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（4）提供公告排序功能：置顶优先，同级别按生效时间倒序排列；</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（5）根据医院需求在指定位置设置公告轮播区域，紧急公告单独展示，非紧急公告在轮播区，支持点击公告查看详情内容，用户点击查看详情后支持手动关闭；</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（6）提供公告查看统计功能：记录公告展示次数、点击详情次数、关闭次数，支持按时间查询。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挂号须知</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提供《挂号须知》管理功能，支持创建、编辑（可保存为草稿）、发布、停用功能，可支持类似Word的富文本编辑器，可编辑文字（字体、字号、颜色）、插入图片、插入超链接，支持查看历史版本内容，支持一键回滚至任意历史版本；</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（2）进入挂号流程，强制展示《挂号须知》，再选择院区；</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（3）采用“一次性勾选同意”机制，勾选同意后在有效时间内（如1小时、2小时，可根据医院要求进行设置）不再重复弹窗展示《挂号须知》，若内容版本更新，用户再次进入时强制重新弹窗。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科室分级目录展示</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（1）支持按医生姓名或科室名称模糊查询，展示相应号源信息；</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根据医院需求对挂号科室进行分级目录查询号源，一级目录如：内科、外科、专科、国际医疗门诊等；二级目录如：呼吸科、普内科、普外科、泌尿科、口腔科等；三级目录如：特需专家门诊、专家门诊、普通门诊、专病门诊、MDT门诊、教学门诊等；四级目录展示具体号源列表；支持自定义一、二、三级目录排列顺序。</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号源信息列表展示需根据医院需求展示所有出诊医生职称、擅长专业领域、接诊疾病类型名称等信息，并显示每个医生的号源状态，如未放号、号满、无排班、停诊、暂停预约、可预约、剩余号数（已过就诊时间的号源不计入）等；支持可按医生姓名、剩余号数（从多到少）进行排序；支持按日期筛选号源；支持号源列表页面缓存，用户主动刷新（刷新间隔不低于30秒）、切换日期或科室时立即清除缓存，号源详情页面不用缓存；</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（4）提供号源个性化设置功能，支持号源弹窗提醒内容编辑、设置，针对不同号源设置弹窗内容，挂号时进行弹窗提醒。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医生详情信息展示</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在科室医生列表页面或医生预约挂号详情页面，支持查看医生介绍，如医生职称、擅长专业、个人简介、患者评价、表扬信等信息。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多院区多医生号源融合展示</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Style w:val="244"/>
                <w:rFonts w:hint="eastAsia" w:ascii="微软雅黑" w:hAnsi="微软雅黑" w:eastAsia="微软雅黑" w:cs="微软雅黑"/>
                <w:sz w:val="21"/>
                <w:szCs w:val="21"/>
                <w:lang w:val="en-US" w:eastAsia="zh-CN" w:bidi="ar"/>
              </w:rPr>
              <w:t>（1）在查看科室医生列表时，自动查询并展示同一科室下其他院区其他医生号源；</w:t>
            </w:r>
            <w:r>
              <w:rPr>
                <w:rStyle w:val="244"/>
                <w:rFonts w:hint="eastAsia" w:ascii="微软雅黑" w:hAnsi="微软雅黑" w:eastAsia="微软雅黑" w:cs="微软雅黑"/>
                <w:sz w:val="21"/>
                <w:szCs w:val="21"/>
                <w:lang w:val="en-US" w:eastAsia="zh-CN" w:bidi="ar"/>
              </w:rPr>
              <w:br w:type="textWrapping"/>
            </w:r>
            <w:r>
              <w:rPr>
                <w:rStyle w:val="244"/>
                <w:rFonts w:hint="eastAsia" w:ascii="微软雅黑" w:hAnsi="微软雅黑" w:eastAsia="微软雅黑" w:cs="微软雅黑"/>
                <w:sz w:val="21"/>
                <w:szCs w:val="21"/>
                <w:lang w:val="en-US" w:eastAsia="zh-CN" w:bidi="ar"/>
              </w:rPr>
              <w:t>（2）在查看医生预约挂号详情页时，自动查询并展示同一科室下其他院区该医生号源或其他医生号源。</w:t>
            </w:r>
            <w:r>
              <w:rPr>
                <w:rStyle w:val="244"/>
                <w:rFonts w:hint="eastAsia" w:ascii="微软雅黑" w:hAnsi="微软雅黑" w:eastAsia="微软雅黑" w:cs="微软雅黑"/>
                <w:sz w:val="21"/>
                <w:szCs w:val="21"/>
                <w:lang w:val="en-US" w:eastAsia="zh-CN" w:bidi="ar"/>
              </w:rPr>
              <w:br w:type="textWrapping"/>
            </w:r>
            <w:r>
              <w:rPr>
                <w:rStyle w:val="244"/>
                <w:rFonts w:hint="eastAsia" w:ascii="微软雅黑" w:hAnsi="微软雅黑" w:eastAsia="微软雅黑" w:cs="微软雅黑"/>
                <w:sz w:val="21"/>
                <w:szCs w:val="21"/>
                <w:lang w:val="en-US" w:eastAsia="zh-CN" w:bidi="ar"/>
              </w:rPr>
              <w:t>（3）融合展示样式：根据医院需求在科室医生列表页面或医生预约挂号详情页面制定位置展示相关信息（如院区、科室、医生、剩余号数（已过就诊时间的号源不计入）），支持自动刷新号源（如每30秒静默更新剩余号数，时间间隔可自定义，避免频繁请求）；</w:t>
            </w:r>
            <w:r>
              <w:rPr>
                <w:rStyle w:val="244"/>
                <w:rFonts w:hint="eastAsia" w:ascii="微软雅黑" w:hAnsi="微软雅黑" w:eastAsia="微软雅黑" w:cs="微软雅黑"/>
                <w:sz w:val="21"/>
                <w:szCs w:val="21"/>
                <w:lang w:val="en-US" w:eastAsia="zh-CN" w:bidi="ar"/>
              </w:rPr>
              <w:br w:type="textWrapping"/>
            </w:r>
            <w:r>
              <w:rPr>
                <w:rStyle w:val="244"/>
                <w:rFonts w:hint="eastAsia" w:ascii="微软雅黑" w:hAnsi="微软雅黑" w:eastAsia="微软雅黑" w:cs="微软雅黑"/>
                <w:sz w:val="21"/>
                <w:szCs w:val="21"/>
                <w:lang w:val="en-US" w:eastAsia="zh-CN" w:bidi="ar"/>
              </w:rPr>
              <w:t>（4）支持</w:t>
            </w:r>
            <w:r>
              <w:rPr>
                <w:rStyle w:val="246"/>
                <w:rFonts w:hint="eastAsia" w:ascii="微软雅黑" w:hAnsi="微软雅黑" w:eastAsia="微软雅黑" w:cs="微软雅黑"/>
                <w:sz w:val="21"/>
                <w:szCs w:val="21"/>
                <w:lang w:val="en-US" w:eastAsia="zh-CN" w:bidi="ar"/>
              </w:rPr>
              <w:t>一键跳转到其他院区的号源（跳转时携带用户当前选中的就诊日期）。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联合门诊挂号</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（1）支持一次挂号同时锁定多个专家同一就诊日同一时段号源（所挂专家号源均处于可预约状态时一次性锁定，任一失败则全部回滚）；</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（2）联合门诊号源退号不支持部分退号；若其中一位专家临时停诊，支持整体全额退费或整体改约。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预约及支付</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（1）支持分时段预约挂号，根据医院需求可自定义号源锁定时间，并显示锁号倒计时时间，超时未支付号源自动收回并随机释放回号池；</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（2）根据医院需求针对不同号源（包括联合门诊号源）在锁号前支持图形校验码验证、短信验证、人脸识别认证；</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（3）锁号成功后，支持自费支付、医保支付、医保+自费混合支付，并生成电子发票；</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（4）在预约挂号页面提供锁号成功且未支付订单费用便捷查询入口，查询相关订单可继续支付，超时不能发起支付；支持主动取消订单，取消成功订单随机释放回号池；</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（5）对异常支付形成单边账数据，支持自动原路退款；</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（6）预约挂号成功推送成功消息。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退号</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（1）支持原渠道退号退费（如：预约挂号可在就诊日前一天进行退号，当日挂号可在当日医生未接诊进行退号，具体时间点根据医院需求设置）；</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（2）退号成功后自动收回并随机释放回号池；</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（3）对即将纳入医院退号黑名单（如30天内退号超过3次）的患者，进行弹窗提醒，经患者确认后执行退号操作，患者取消退号，则不执行退号操作。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候补加号</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（1）号源管控：依托信息化系统实现医院号源全流程精细化管控，可完成但不限于如：退号归集、候补匹配、时效管理、费用结算及订单全周期管控，并支持后续运营规则灵活优化调整。</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（2）候补申请：支持患者针对各科室已约满且开通了候补功能的专家号源发起候补预约申请。</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候补流程：患者提交候补申请时，可自主选择就诊日期、就诊时段、对应号源费用，完成预付费用缴纳及人脸身份核验后，即可进入候补排队序列；候补挂号预付费默认自费，不启用医保支付，支持候补挂号成功后，到人工窗口进行转医保结算。</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（4）号源自动候补匹配：对应号源释放时，平台可依据候补排队次序自动完成挂号匹配，用户已预缴预付款可用于抵扣本次医事服务费用。</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候补时效管控与资金管控：结合患者到院就诊时效管理需求，平台支持自定义设置候补申请有效截止时限；超出时限仍未完成号源匹配的，自动终止候补排队。对候补预约不成功的订单，应由系统自动判断，并在终止排队时点实现预缴费用即时原路自动退还；提供财务相关统计报表。</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候补订单互斥逻辑：同一诊疗专业/科室下，用户仅能保留一份有效的候补订单。当用户尝试对同专业其他医生号源发起预约时，系统需主动识别已有候补订单并触发阻断式提醒，明确告知原订单将被取消，需用户二次确认。</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（7）就诊通知服务：候补匹配成功后，平台可及时向患者推送挂号成功及就诊相关提醒信息。候补失败，平台具备发送相应退款退号通知服务。</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（8）用户多订单管控能力：平台具备用户同期候补订单限制配置能力，可根据院内号源管理需求，设置同一用户有效候补订单数量及提交限制，避免资源无效占用。</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（9）用户自主服务能力：平台支持患者在线查询个人候补申请记录、订单实时状态，同时开放用户自主取消候补申请的操作功能。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签到</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对接医院签到系统，支持二维码扫码签到或自助机签到。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对账</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对接医院统一支付对账平台，支持通过统一支付对账平台实现对账与退费。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查询</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（1）支持查看患者挂号记录，包含预约科室、预约医生、预约就诊时间、金额、预约状态（待付款、待就诊、已就诊、已退号、已退费、已超时未挂成功）等；</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（2）支持按条件查询：按订单状态、就诊人；支持按就诊日期倒序排列。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黑名单</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对接医院黑名单管理系统，如退号黑名单、频繁刷号黑名单、频繁锁号黑名单、锁号IP与支付IP一致性校验等，触发医院黑名单规则进入黑名单管理系统，并限制挂号。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首页功能页面整合</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根据医院需求按模块进行归类展示，如门诊服务、住院服务、查询服务等。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6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b w:val="0"/>
                <w:bCs w:val="0"/>
                <w:color w:val="333333"/>
                <w:kern w:val="0"/>
                <w:sz w:val="21"/>
                <w:szCs w:val="21"/>
                <w:lang w:val="en-US" w:eastAsia="zh-CN"/>
              </w:rPr>
              <w:t>网络及信息安全要求</w:t>
            </w:r>
          </w:p>
        </w:tc>
        <w:tc>
          <w:tcPr>
            <w:tcW w:w="8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i w:val="0"/>
                <w:iCs w:val="0"/>
                <w:color w:val="000000"/>
                <w:kern w:val="0"/>
                <w:sz w:val="21"/>
                <w:szCs w:val="21"/>
                <w:u w:val="none"/>
                <w:lang w:val="en-US" w:eastAsia="zh-CN" w:bidi="ar"/>
              </w:rPr>
              <w:t>（1）</w:t>
            </w:r>
            <w:r>
              <w:rPr>
                <w:rFonts w:hint="eastAsia" w:ascii="微软雅黑" w:hAnsi="微软雅黑" w:eastAsia="微软雅黑" w:cs="微软雅黑"/>
                <w:b w:val="0"/>
                <w:bCs w:val="0"/>
                <w:color w:val="auto"/>
                <w:kern w:val="0"/>
                <w:sz w:val="21"/>
                <w:szCs w:val="21"/>
                <w:lang w:val="en-US" w:eastAsia="zh-CN"/>
              </w:rPr>
              <w:t>供应商须遵守医院各项网络安全、数据安全及个人信息保护管理制度。</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b w:val="0"/>
                <w:bCs w:val="0"/>
                <w:color w:val="auto"/>
                <w:kern w:val="0"/>
                <w:sz w:val="21"/>
                <w:szCs w:val="21"/>
                <w:lang w:val="en-US" w:eastAsia="zh-CN"/>
              </w:rPr>
              <w:t>项目开工前供应商须提供《项目建设方案》，项目验收时供应商须提供《项目运维方案》，其中须包含独立的网络安全与数据安全章节。</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i w:val="0"/>
                <w:iCs w:val="0"/>
                <w:color w:val="000000"/>
                <w:kern w:val="0"/>
                <w:sz w:val="21"/>
                <w:szCs w:val="21"/>
                <w:u w:val="none"/>
                <w:lang w:val="en-US" w:eastAsia="zh-CN" w:bidi="ar"/>
              </w:rPr>
              <w:t>（3）</w:t>
            </w:r>
            <w:r>
              <w:rPr>
                <w:rFonts w:hint="eastAsia" w:ascii="微软雅黑" w:hAnsi="微软雅黑" w:eastAsia="微软雅黑" w:cs="微软雅黑"/>
                <w:b w:val="0"/>
                <w:bCs w:val="0"/>
                <w:color w:val="auto"/>
                <w:kern w:val="0"/>
                <w:sz w:val="21"/>
                <w:szCs w:val="21"/>
                <w:lang w:val="en-US" w:eastAsia="zh-CN"/>
              </w:rPr>
              <w:t>供应商须配合医院完成安全测试，对发现的漏洞按医院要求限期整改。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i w:val="0"/>
                <w:iCs w:val="0"/>
                <w:color w:val="000000"/>
                <w:kern w:val="0"/>
                <w:sz w:val="21"/>
                <w:szCs w:val="21"/>
                <w:u w:val="none"/>
                <w:lang w:val="en-US" w:eastAsia="zh-CN" w:bidi="ar"/>
              </w:rPr>
              <w:t>（4）</w:t>
            </w:r>
            <w:r>
              <w:rPr>
                <w:rFonts w:hint="eastAsia" w:ascii="微软雅黑" w:hAnsi="微软雅黑" w:eastAsia="微软雅黑" w:cs="微软雅黑"/>
                <w:b w:val="0"/>
                <w:bCs w:val="0"/>
                <w:color w:val="auto"/>
                <w:kern w:val="0"/>
                <w:sz w:val="21"/>
                <w:szCs w:val="21"/>
                <w:lang w:val="en-US" w:eastAsia="zh-CN"/>
              </w:rPr>
              <w:t>须配合医院完成数据分类分级及重要数据识别认定。</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i w:val="0"/>
                <w:iCs w:val="0"/>
                <w:color w:val="000000"/>
                <w:kern w:val="0"/>
                <w:sz w:val="21"/>
                <w:szCs w:val="21"/>
                <w:u w:val="none"/>
                <w:lang w:val="en-US" w:eastAsia="zh-CN" w:bidi="ar"/>
              </w:rPr>
              <w:t>（5）</w:t>
            </w:r>
            <w:r>
              <w:rPr>
                <w:rFonts w:hint="eastAsia" w:ascii="微软雅黑" w:hAnsi="微软雅黑" w:eastAsia="微软雅黑" w:cs="微软雅黑"/>
                <w:b w:val="0"/>
                <w:bCs w:val="0"/>
                <w:color w:val="auto"/>
                <w:kern w:val="0"/>
                <w:sz w:val="21"/>
                <w:szCs w:val="21"/>
                <w:lang w:val="en-US" w:eastAsia="zh-CN"/>
              </w:rPr>
              <w:t>数据库须部署在院内并提供表结构，应用须部署在院内或院方指定云资源。</w:t>
            </w:r>
          </w:p>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（6）</w:t>
            </w:r>
            <w:r>
              <w:rPr>
                <w:rFonts w:hint="eastAsia" w:ascii="微软雅黑" w:hAnsi="微软雅黑" w:eastAsia="微软雅黑" w:cs="微软雅黑"/>
                <w:b w:val="0"/>
                <w:bCs w:val="0"/>
                <w:color w:val="auto"/>
                <w:kern w:val="0"/>
                <w:sz w:val="21"/>
                <w:szCs w:val="21"/>
                <w:lang w:val="en-US" w:eastAsia="zh-CN"/>
              </w:rPr>
              <w:t>供应商提供源代码审计报告或配合院方完成源代码审计。</w:t>
            </w:r>
          </w:p>
        </w:tc>
      </w:tr>
    </w:tbl>
    <w:p>
      <w:pPr>
        <w:snapToGrid w:val="0"/>
        <w:spacing w:line="400" w:lineRule="exact"/>
        <w:ind w:firstLine="560" w:firstLineChars="200"/>
        <w:rPr>
          <w:rFonts w:hint="eastAsia" w:ascii="宋体" w:hAnsi="宋体" w:cs="宋体"/>
          <w:lang w:val="en-US" w:eastAsia="zh-CN"/>
        </w:rPr>
      </w:pPr>
      <w:r>
        <w:rPr>
          <w:rFonts w:hint="eastAsia" w:ascii="宋体" w:hAnsi="宋体" w:cs="宋体"/>
          <w:lang w:val="en-US" w:eastAsia="zh-CN"/>
        </w:rPr>
        <w:br w:type="page"/>
      </w:r>
    </w:p>
    <w:p>
      <w:pPr>
        <w:pStyle w:val="2"/>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lang w:val="en-US" w:eastAsia="zh-CN"/>
              </w:rPr>
              <w:t>实施期限</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lang w:val="en-US" w:eastAsia="zh-CN"/>
              </w:rPr>
              <w:t>实施</w:t>
            </w:r>
            <w:r>
              <w:rPr>
                <w:rFonts w:hint="eastAsia" w:ascii="微软雅黑" w:hAnsi="微软雅黑" w:eastAsia="微软雅黑" w:cs="微软雅黑"/>
                <w:b/>
                <w:bCs/>
                <w:color w:val="auto"/>
                <w:sz w:val="24"/>
                <w:szCs w:val="24"/>
              </w:rPr>
              <w:t>地点及验收方式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交货时间：自合同签订之日起360个日历日之内。</w:t>
            </w:r>
          </w:p>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验收方式：产品安装调试完毕，且正常运行30天后，即证明产品满足要求，符合验收条件，中标人应正式提出验收申请并出具《验收报告》，采购方根据验收标准给予项目验收签字。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1.质保期：免费质保期≥1年。</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项目包干总价进行报价，包括完成软件开发、接口对接、测试、部署、培训及维保、验收、三方系统改造接口费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1.中标人按采购合同交货并安装调试完成，经验收合格后采购人出具项目验收报告；</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2.中标人向采购人开具发票，采购人于2个月内以转账方式向中标人支付合同全款。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93" w:name="_Toc76462332"/>
      <w:bookmarkStart w:id="94" w:name="_Toc6692"/>
      <w:bookmarkStart w:id="95" w:name="_Toc106030887"/>
      <w:r>
        <w:rPr>
          <w:rFonts w:hint="eastAsia" w:ascii="微软雅黑" w:hAnsi="微软雅黑" w:eastAsia="微软雅黑" w:cs="微软雅黑"/>
          <w:b/>
          <w:sz w:val="44"/>
        </w:rPr>
        <w:br w:type="page"/>
      </w:r>
    </w:p>
    <w:bookmarkEnd w:id="93"/>
    <w:bookmarkEnd w:id="94"/>
    <w:bookmarkEnd w:id="95"/>
    <w:p>
      <w:pPr>
        <w:pStyle w:val="2"/>
        <w:pageBreakBefore w:val="0"/>
        <w:spacing w:before="200" w:after="200" w:line="240" w:lineRule="auto"/>
        <w:jc w:val="center"/>
        <w:rPr>
          <w:rFonts w:hint="eastAsia" w:ascii="微软雅黑" w:hAnsi="微软雅黑" w:eastAsia="微软雅黑" w:cs="微软雅黑"/>
          <w:b/>
          <w:sz w:val="44"/>
          <w:szCs w:val="20"/>
        </w:rPr>
      </w:pPr>
      <w:bookmarkStart w:id="96" w:name="_Toc12791"/>
      <w:bookmarkStart w:id="97" w:name="_Toc641"/>
      <w:bookmarkStart w:id="98" w:name="_Toc1837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96"/>
      <w:bookmarkEnd w:id="97"/>
      <w:bookmarkEnd w:id="98"/>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99" w:name="_Toc18603"/>
      <w:bookmarkStart w:id="100" w:name="_Toc76462333"/>
      <w:bookmarkStart w:id="101" w:name="_Toc14958"/>
      <w:bookmarkStart w:id="102" w:name="_Toc106030888"/>
      <w:bookmarkStart w:id="103" w:name="_Toc537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9"/>
      <w:bookmarkEnd w:id="100"/>
      <w:bookmarkEnd w:id="101"/>
      <w:bookmarkEnd w:id="102"/>
      <w:bookmarkEnd w:id="10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4" w:name="_Toc4495"/>
      <w:bookmarkStart w:id="105" w:name="_Toc10843"/>
      <w:bookmarkStart w:id="106" w:name="_Toc25824"/>
      <w:bookmarkStart w:id="107" w:name="_Toc31497"/>
      <w:bookmarkStart w:id="108" w:name="_Toc106030890"/>
      <w:bookmarkStart w:id="109" w:name="_Toc76462335"/>
      <w:bookmarkStart w:id="110" w:name="_Toc342913394"/>
      <w:bookmarkStart w:id="111" w:name="_Toc102227320"/>
      <w:r>
        <w:rPr>
          <w:rFonts w:hint="eastAsia" w:ascii="微软雅黑" w:hAnsi="微软雅黑" w:eastAsia="微软雅黑" w:cs="微软雅黑"/>
          <w:color w:val="auto"/>
          <w:sz w:val="24"/>
          <w:lang w:val="en-US" w:eastAsia="zh-CN"/>
        </w:rPr>
        <w:t>二、报价方式</w:t>
      </w:r>
      <w:bookmarkEnd w:id="104"/>
      <w:bookmarkEnd w:id="105"/>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27607"/>
      <w:bookmarkStart w:id="113" w:name="_Toc27394"/>
      <w:r>
        <w:rPr>
          <w:rFonts w:hint="eastAsia" w:ascii="微软雅黑" w:hAnsi="微软雅黑" w:eastAsia="微软雅黑" w:cs="微软雅黑"/>
          <w:b w:val="0"/>
          <w:bCs/>
          <w:color w:val="auto"/>
          <w:sz w:val="24"/>
          <w:szCs w:val="24"/>
          <w:lang w:val="en-US" w:eastAsia="zh-CN"/>
        </w:rPr>
        <w:t>本项目可在开标现场进行二次报价。</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106"/>
      <w:bookmarkEnd w:id="112"/>
      <w:bookmarkEnd w:id="113"/>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2"/>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14" w:name="_Toc106030889"/>
      <w:bookmarkStart w:id="115" w:name="_Toc18577"/>
      <w:bookmarkStart w:id="116" w:name="_Toc24201"/>
      <w:bookmarkStart w:id="117" w:name="_Toc30944"/>
      <w:bookmarkStart w:id="118" w:name="_Toc5973"/>
      <w:bookmarkStart w:id="119" w:name="_Toc76462334"/>
      <w:r>
        <w:rPr>
          <w:rFonts w:hint="eastAsia" w:ascii="微软雅黑" w:hAnsi="微软雅黑" w:eastAsia="微软雅黑" w:cs="微软雅黑"/>
          <w:color w:val="auto"/>
          <w:sz w:val="24"/>
          <w:lang w:val="en-US" w:eastAsia="zh-CN"/>
        </w:rPr>
        <w:t>四、评审标准</w:t>
      </w:r>
      <w:bookmarkEnd w:id="114"/>
      <w:bookmarkEnd w:id="115"/>
      <w:bookmarkEnd w:id="116"/>
      <w:bookmarkEnd w:id="117"/>
      <w:bookmarkEnd w:id="118"/>
      <w:bookmarkEnd w:id="119"/>
    </w:p>
    <w:tbl>
      <w:tblPr>
        <w:tblStyle w:val="58"/>
        <w:tblW w:w="10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Layout w:type="fixed"/>
        <w:tblCellMar>
          <w:top w:w="0" w:type="dxa"/>
          <w:left w:w="108" w:type="dxa"/>
          <w:bottom w:w="0" w:type="dxa"/>
          <w:right w:w="108" w:type="dxa"/>
        </w:tblCellMar>
      </w:tblPr>
      <w:tblGrid>
        <w:gridCol w:w="506"/>
        <w:gridCol w:w="1265"/>
        <w:gridCol w:w="1070"/>
        <w:gridCol w:w="699"/>
        <w:gridCol w:w="4692"/>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bookmarkStart w:id="120" w:name="_Toc29489"/>
            <w:bookmarkStart w:id="121" w:name="_Toc15660"/>
            <w:r>
              <w:rPr>
                <w:rFonts w:hint="eastAsia" w:ascii="微软雅黑" w:hAnsi="微软雅黑" w:eastAsia="微软雅黑" w:cs="微软雅黑"/>
                <w:b/>
                <w:color w:val="auto"/>
                <w:sz w:val="21"/>
                <w:szCs w:val="21"/>
                <w:highlight w:val="none"/>
              </w:rPr>
              <w:t>序号</w:t>
            </w:r>
          </w:p>
        </w:tc>
        <w:tc>
          <w:tcPr>
            <w:tcW w:w="1265"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sz w:val="21"/>
                <w:szCs w:val="21"/>
                <w:highlight w:val="none"/>
                <w:lang w:eastAsia="zh-CN"/>
              </w:rPr>
            </w:pPr>
            <w:r>
              <w:rPr>
                <w:rFonts w:hint="eastAsia" w:ascii="微软雅黑" w:hAnsi="微软雅黑" w:eastAsia="微软雅黑" w:cs="微软雅黑"/>
                <w:b/>
                <w:color w:val="auto"/>
                <w:sz w:val="21"/>
                <w:szCs w:val="21"/>
                <w:highlight w:val="none"/>
                <w:lang w:eastAsia="zh-CN"/>
              </w:rPr>
              <w:t>需求分类</w:t>
            </w:r>
          </w:p>
        </w:tc>
        <w:tc>
          <w:tcPr>
            <w:tcW w:w="1070"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b/>
                <w:color w:val="auto"/>
                <w:sz w:val="21"/>
                <w:szCs w:val="21"/>
                <w:highlight w:val="none"/>
              </w:rPr>
              <w:t>评分因素及权重</w:t>
            </w:r>
          </w:p>
        </w:tc>
        <w:tc>
          <w:tcPr>
            <w:tcW w:w="699" w:type="dxa"/>
            <w:tcBorders>
              <w:top w:val="single" w:color="000000" w:sz="4" w:space="0"/>
              <w:left w:val="single" w:color="000000" w:sz="4" w:space="0"/>
              <w:bottom w:val="single" w:color="auto" w:sz="4" w:space="0"/>
              <w:right w:val="single" w:color="000000"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b/>
                <w:color w:val="auto"/>
                <w:sz w:val="21"/>
                <w:szCs w:val="21"/>
                <w:highlight w:val="none"/>
              </w:rPr>
              <w:t>分值</w:t>
            </w:r>
          </w:p>
        </w:tc>
        <w:tc>
          <w:tcPr>
            <w:tcW w:w="4692" w:type="dxa"/>
            <w:tcBorders>
              <w:top w:val="single" w:color="000000" w:sz="4" w:space="0"/>
              <w:left w:val="single" w:color="000000" w:sz="4" w:space="0"/>
              <w:bottom w:val="single" w:color="auto"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firstLineChars="0"/>
              <w:jc w:val="center"/>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b/>
                <w:color w:val="auto"/>
                <w:sz w:val="21"/>
                <w:szCs w:val="21"/>
                <w:highlight w:val="none"/>
              </w:rPr>
              <w:t>评分标准</w:t>
            </w:r>
          </w:p>
        </w:tc>
        <w:tc>
          <w:tcPr>
            <w:tcW w:w="2239" w:type="dxa"/>
            <w:tcBorders>
              <w:top w:val="single" w:color="000000" w:sz="4" w:space="0"/>
              <w:left w:val="single" w:color="000000" w:sz="4" w:space="0"/>
              <w:bottom w:val="single" w:color="auto" w:sz="4" w:space="0"/>
              <w:right w:val="single" w:color="auto" w:sz="4" w:space="0"/>
            </w:tcBorders>
            <w:shd w:val="clear" w:color="auto" w:fill="FFFFFF"/>
            <w:noWrap w:val="0"/>
            <w:vAlign w:val="center"/>
          </w:tcPr>
          <w:p>
            <w:pPr>
              <w:pStyle w:val="238"/>
              <w:keepNext w:val="0"/>
              <w:keepLines w:val="0"/>
              <w:pageBreakBefore w:val="0"/>
              <w:widowControl w:val="0"/>
              <w:suppressLineNumbers w:val="0"/>
              <w:kinsoku/>
              <w:wordWrap/>
              <w:overflowPunct/>
              <w:topLinePunct w:val="0"/>
              <w:autoSpaceDE/>
              <w:autoSpaceDN/>
              <w:bidi w:val="0"/>
              <w:adjustRightInd w:val="0"/>
              <w:snapToGrid w:val="0"/>
              <w:spacing w:before="0" w:beforeLines="0" w:after="0" w:afterLines="0" w:line="240" w:lineRule="auto"/>
              <w:ind w:left="0" w:right="0"/>
              <w:textAlignment w:val="auto"/>
              <w:rPr>
                <w:rFonts w:hint="eastAsia" w:ascii="微软雅黑" w:hAnsi="微软雅黑" w:eastAsia="微软雅黑" w:cs="微软雅黑"/>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1</w:t>
            </w:r>
          </w:p>
        </w:tc>
        <w:tc>
          <w:tcPr>
            <w:tcW w:w="1265"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投标报价</w:t>
            </w:r>
            <w:bookmarkStart w:id="184" w:name="_GoBack"/>
            <w:bookmarkEnd w:id="184"/>
            <w:r>
              <w:rPr>
                <w:rFonts w:hint="eastAsia" w:ascii="微软雅黑" w:hAnsi="微软雅黑" w:eastAsia="微软雅黑" w:cs="微软雅黑"/>
                <w:color w:val="auto"/>
                <w:sz w:val="21"/>
                <w:szCs w:val="21"/>
                <w:highlight w:val="none"/>
                <w:shd w:val="clear" w:color="auto" w:fill="auto"/>
                <w:lang w:val="en-US" w:eastAsia="zh-CN"/>
              </w:rPr>
              <w:t>（30%）</w:t>
            </w:r>
          </w:p>
        </w:tc>
        <w:tc>
          <w:tcPr>
            <w:tcW w:w="1070" w:type="dxa"/>
            <w:tcBorders>
              <w:top w:val="single" w:color="000000" w:sz="4" w:space="0"/>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投标报价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（30%）</w:t>
            </w:r>
          </w:p>
        </w:tc>
        <w:tc>
          <w:tcPr>
            <w:tcW w:w="699" w:type="dxa"/>
            <w:tcBorders>
              <w:top w:val="single" w:color="auto" w:sz="4" w:space="0"/>
              <w:left w:val="single" w:color="auto" w:sz="4" w:space="0"/>
              <w:bottom w:val="single" w:color="auto" w:sz="4" w:space="0"/>
              <w:right w:val="single" w:color="000000"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30</w:t>
            </w:r>
          </w:p>
        </w:tc>
        <w:tc>
          <w:tcPr>
            <w:tcW w:w="4692" w:type="dxa"/>
            <w:tcBorders>
              <w:top w:val="single" w:color="auto" w:sz="4" w:space="0"/>
              <w:left w:val="single" w:color="000000" w:sz="4" w:space="0"/>
              <w:bottom w:val="single" w:color="auto"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满足资格性、符合性要求且最后报价最低的投标人的价格为投标基准价，其价格分为满分。其他投标人的价格分统一按照下列公式计算：投标报价得分=（投标基准价/最后投标报价）×价格权值×100。</w:t>
            </w:r>
          </w:p>
        </w:tc>
        <w:tc>
          <w:tcPr>
            <w:tcW w:w="2239" w:type="dxa"/>
            <w:tcBorders>
              <w:top w:val="single" w:color="auto" w:sz="4" w:space="0"/>
              <w:left w:val="single" w:color="000000" w:sz="4" w:space="0"/>
              <w:bottom w:val="single" w:color="auto"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2</w:t>
            </w:r>
          </w:p>
        </w:tc>
        <w:tc>
          <w:tcPr>
            <w:tcW w:w="1265"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eastAsia="zh-CN"/>
              </w:rPr>
              <w:t>技术需求（</w:t>
            </w:r>
            <w:r>
              <w:rPr>
                <w:rFonts w:hint="eastAsia" w:ascii="微软雅黑" w:hAnsi="微软雅黑" w:eastAsia="微软雅黑" w:cs="微软雅黑"/>
                <w:color w:val="auto"/>
                <w:sz w:val="21"/>
                <w:szCs w:val="21"/>
                <w:highlight w:val="none"/>
                <w:shd w:val="clear" w:color="auto" w:fill="auto"/>
                <w:lang w:val="en-US" w:eastAsia="zh-CN"/>
              </w:rPr>
              <w:t>45%）</w:t>
            </w:r>
          </w:p>
        </w:tc>
        <w:tc>
          <w:tcPr>
            <w:tcW w:w="1070"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shd w:val="clear" w:color="auto" w:fill="auto"/>
                <w:lang w:eastAsia="zh-CN"/>
              </w:rPr>
            </w:pPr>
            <w:r>
              <w:rPr>
                <w:rFonts w:hint="eastAsia" w:ascii="微软雅黑" w:hAnsi="微软雅黑" w:eastAsia="微软雅黑" w:cs="微软雅黑"/>
                <w:sz w:val="21"/>
                <w:szCs w:val="21"/>
                <w:lang w:val="en-US" w:eastAsia="zh-CN"/>
              </w:rPr>
              <w:t>建设方案</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12</w:t>
            </w:r>
            <w:r>
              <w:rPr>
                <w:rFonts w:hint="eastAsia" w:ascii="微软雅黑" w:hAnsi="微软雅黑" w:eastAsia="微软雅黑" w:cs="微软雅黑"/>
                <w:sz w:val="21"/>
                <w:szCs w:val="21"/>
              </w:rPr>
              <w:t>%）</w:t>
            </w:r>
          </w:p>
        </w:tc>
        <w:tc>
          <w:tcPr>
            <w:tcW w:w="699" w:type="dxa"/>
            <w:tcBorders>
              <w:top w:val="single" w:color="000000" w:sz="4" w:space="0"/>
              <w:left w:val="single" w:color="000000" w:sz="4" w:space="0"/>
              <w:right w:val="single" w:color="000000"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12分</w:t>
            </w:r>
          </w:p>
        </w:tc>
        <w:tc>
          <w:tcPr>
            <w:tcW w:w="4692" w:type="dxa"/>
            <w:tcBorders>
              <w:top w:val="single" w:color="000000" w:sz="4" w:space="0"/>
              <w:left w:val="single" w:color="000000" w:sz="4" w:space="0"/>
              <w:bottom w:val="single" w:color="000000"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bookmarkStart w:id="122" w:name="_Hlk163563835"/>
            <w:r>
              <w:rPr>
                <w:rFonts w:hint="eastAsia" w:ascii="微软雅黑" w:hAnsi="微软雅黑" w:eastAsia="微软雅黑" w:cs="微软雅黑"/>
                <w:color w:val="auto"/>
                <w:sz w:val="21"/>
                <w:szCs w:val="21"/>
                <w:highlight w:val="none"/>
                <w:shd w:val="clear" w:color="auto" w:fill="auto"/>
                <w:lang w:val="en-US" w:eastAsia="zh-CN"/>
              </w:rPr>
              <w:t>建设方案包括建设目的、流程设计、实现功能等</w:t>
            </w:r>
            <w:bookmarkEnd w:id="122"/>
            <w:r>
              <w:rPr>
                <w:rFonts w:hint="eastAsia" w:ascii="微软雅黑" w:hAnsi="微软雅黑" w:eastAsia="微软雅黑" w:cs="微软雅黑"/>
                <w:color w:val="auto"/>
                <w:sz w:val="21"/>
                <w:szCs w:val="21"/>
                <w:highlight w:val="none"/>
                <w:shd w:val="clear" w:color="auto" w:fill="auto"/>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 xml:space="preserve">1.方案完整、科学、合理，充分考虑系统数据安全、数据交互、 数据扩展性，得10-12分；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 xml:space="preserve">2.方案较为完整、科学、合理，并考虑到系统数据安全、数据交互、数据扩展性，得8-9分；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 xml:space="preserve">3.方案欠缺完整、科学、合理，未能全面考虑到系统数据安全、 数据交互、数据扩展性，得3-7分； </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4.方案差或无提供方案得0分。</w:t>
            </w:r>
          </w:p>
        </w:tc>
        <w:tc>
          <w:tcPr>
            <w:tcW w:w="2239" w:type="dxa"/>
            <w:tcBorders>
              <w:top w:val="single" w:color="000000" w:sz="4" w:space="0"/>
              <w:left w:val="single" w:color="000000" w:sz="4" w:space="0"/>
              <w:right w:val="single" w:color="auto" w:sz="4" w:space="0"/>
            </w:tcBorders>
            <w:shd w:val="clear" w:color="auto" w:fill="FFFFFF"/>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提供技术方案文档（格式内容自拟）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rPr>
            </w:pPr>
          </w:p>
        </w:tc>
        <w:tc>
          <w:tcPr>
            <w:tcW w:w="1070"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实施方案（13%）</w:t>
            </w: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5分</w:t>
            </w:r>
          </w:p>
        </w:tc>
        <w:tc>
          <w:tcPr>
            <w:tcW w:w="4692" w:type="dxa"/>
            <w:tcBorders>
              <w:top w:val="single" w:color="000000" w:sz="4" w:space="0"/>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实施计划：包含需求调研、开发迭代、测试、试运行、上线切换等阶段，时间节点明确、可操作，得5分；基本合理得3分；未提供或不合理不得分。</w:t>
            </w:r>
          </w:p>
        </w:tc>
        <w:tc>
          <w:tcPr>
            <w:tcW w:w="2239" w:type="dxa"/>
            <w:vMerge w:val="restart"/>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提供实施方案文档（格式内容自拟）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5分</w:t>
            </w:r>
          </w:p>
        </w:tc>
        <w:tc>
          <w:tcPr>
            <w:tcW w:w="4692" w:type="dxa"/>
            <w:tcBorders>
              <w:top w:val="single" w:color="000000" w:sz="4" w:space="0"/>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培训方案：针对管理员、科室操作人员等提供详细培训计划，得5分；一般得3分；未提供或不合理不得分。</w:t>
            </w:r>
          </w:p>
        </w:tc>
        <w:tc>
          <w:tcPr>
            <w:tcW w:w="2239" w:type="dxa"/>
            <w:vMerge w:val="continue"/>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3分</w:t>
            </w:r>
          </w:p>
        </w:tc>
        <w:tc>
          <w:tcPr>
            <w:tcW w:w="4692" w:type="dxa"/>
            <w:tcBorders>
              <w:top w:val="single" w:color="000000" w:sz="4" w:space="0"/>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风险控制与应急方案：针对接口故障、并发高峰等有预案，得3分；基本有得1分；未提供或不合理不得分。</w:t>
            </w:r>
          </w:p>
        </w:tc>
        <w:tc>
          <w:tcPr>
            <w:tcW w:w="2239" w:type="dxa"/>
            <w:vMerge w:val="continue"/>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ascii="微软雅黑" w:hAnsi="微软雅黑" w:eastAsia="微软雅黑" w:cs="微软雅黑"/>
                <w:color w:val="auto"/>
                <w:sz w:val="21"/>
                <w:szCs w:val="21"/>
                <w:highlight w:val="none"/>
                <w:lang w:val="en-US" w:eastAsia="zh-CN"/>
              </w:rPr>
            </w:pPr>
          </w:p>
        </w:tc>
        <w:tc>
          <w:tcPr>
            <w:tcW w:w="1070"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技术能力</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（20%）</w:t>
            </w: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10分</w:t>
            </w:r>
          </w:p>
        </w:tc>
        <w:tc>
          <w:tcPr>
            <w:tcW w:w="469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功能完整性：响应市场调查文件中所有功能要求（公告展示、挂号须知、科室分级目录、医生详情、多院区号源融合、联合门诊、预约支付、退号、候补加号、签到、对账、查询、黑名单、首页整合等），每项得1分，最高得10分；</w:t>
            </w:r>
          </w:p>
        </w:tc>
        <w:tc>
          <w:tcPr>
            <w:tcW w:w="2239" w:type="dxa"/>
            <w:vMerge w:val="restart"/>
            <w:tcBorders>
              <w:left w:val="single" w:color="000000" w:sz="4" w:space="0"/>
              <w:right w:val="single" w:color="auto" w:sz="4" w:space="0"/>
            </w:tcBorders>
            <w:shd w:val="clear" w:color="auto" w:fill="auto"/>
            <w:noWrap w:val="0"/>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240" w:lineRule="auto"/>
              <w:ind w:right="0"/>
              <w:textAlignment w:val="auto"/>
              <w:rPr>
                <w:rFonts w:hint="eastAsia" w:ascii="微软雅黑" w:hAnsi="微软雅黑" w:eastAsia="微软雅黑" w:cs="微软雅黑"/>
                <w:bCs/>
                <w:sz w:val="21"/>
                <w:szCs w:val="21"/>
                <w:lang w:val="en-US" w:eastAsia="zh-CN"/>
              </w:rPr>
            </w:pPr>
            <w:r>
              <w:rPr>
                <w:rFonts w:hint="eastAsia" w:ascii="微软雅黑" w:hAnsi="微软雅黑" w:eastAsia="微软雅黑" w:cs="微软雅黑"/>
                <w:color w:val="auto"/>
                <w:sz w:val="21"/>
                <w:szCs w:val="21"/>
                <w:highlight w:val="none"/>
                <w:shd w:val="clear" w:color="auto" w:fill="auto"/>
                <w:lang w:val="en-US" w:eastAsia="zh-CN"/>
              </w:rPr>
              <w:t>提供技术方案文档（格式内容自拟）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560" w:firstLineChars="200"/>
              <w:textAlignment w:val="auto"/>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560" w:firstLineChars="200"/>
              <w:textAlignment w:val="auto"/>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560" w:firstLineChars="200"/>
              <w:textAlignment w:val="auto"/>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8分</w:t>
            </w:r>
          </w:p>
        </w:tc>
        <w:tc>
          <w:tcPr>
            <w:tcW w:w="469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关键功能完整性：</w:t>
            </w:r>
            <w:r>
              <w:rPr>
                <w:rFonts w:hint="eastAsia" w:ascii="微软雅黑" w:hAnsi="微软雅黑" w:eastAsia="微软雅黑" w:cs="微软雅黑"/>
                <w:color w:val="auto"/>
                <w:sz w:val="21"/>
                <w:szCs w:val="21"/>
                <w:highlight w:val="none"/>
                <w:shd w:val="clear" w:color="auto" w:fill="auto"/>
                <w:lang w:val="en-US" w:eastAsia="zh-CN"/>
              </w:rPr>
              <w:br w:type="textWrapping"/>
            </w:r>
            <w:r>
              <w:rPr>
                <w:rFonts w:hint="eastAsia" w:ascii="微软雅黑" w:hAnsi="微软雅黑" w:eastAsia="微软雅黑" w:cs="微软雅黑"/>
                <w:color w:val="auto"/>
                <w:sz w:val="21"/>
                <w:szCs w:val="21"/>
                <w:highlight w:val="none"/>
                <w:shd w:val="clear" w:color="auto" w:fill="auto"/>
                <w:lang w:val="en-US" w:eastAsia="zh-CN"/>
              </w:rPr>
              <w:t>- 候补加号机制（含号源池管理、预付款、自动匹配、互斥逻辑、时效控制、财务对账等）方案清晰可行，每一项得1分，最高得4分；</w:t>
            </w:r>
            <w:r>
              <w:rPr>
                <w:rFonts w:hint="eastAsia" w:ascii="微软雅黑" w:hAnsi="微软雅黑" w:eastAsia="微软雅黑" w:cs="微软雅黑"/>
                <w:color w:val="auto"/>
                <w:sz w:val="21"/>
                <w:szCs w:val="21"/>
                <w:highlight w:val="none"/>
                <w:shd w:val="clear" w:color="auto" w:fill="auto"/>
                <w:lang w:val="en-US" w:eastAsia="zh-CN"/>
              </w:rPr>
              <w:br w:type="textWrapping"/>
            </w:r>
            <w:r>
              <w:rPr>
                <w:rFonts w:hint="eastAsia" w:ascii="微软雅黑" w:hAnsi="微软雅黑" w:eastAsia="微软雅黑" w:cs="微软雅黑"/>
                <w:color w:val="auto"/>
                <w:sz w:val="21"/>
                <w:szCs w:val="21"/>
                <w:highlight w:val="none"/>
                <w:shd w:val="clear" w:color="auto" w:fill="auto"/>
                <w:lang w:val="en-US" w:eastAsia="zh-CN"/>
              </w:rPr>
              <w:t>- 多院区号源融合展示及自动刷新方案合理，得2分，无方案不得分；</w:t>
            </w:r>
            <w:r>
              <w:rPr>
                <w:rFonts w:hint="eastAsia" w:ascii="微软雅黑" w:hAnsi="微软雅黑" w:eastAsia="微软雅黑" w:cs="微软雅黑"/>
                <w:color w:val="auto"/>
                <w:sz w:val="21"/>
                <w:szCs w:val="21"/>
                <w:highlight w:val="none"/>
                <w:shd w:val="clear" w:color="auto" w:fill="auto"/>
                <w:lang w:val="en-US" w:eastAsia="zh-CN"/>
              </w:rPr>
              <w:br w:type="textWrapping"/>
            </w:r>
            <w:r>
              <w:rPr>
                <w:rFonts w:hint="eastAsia" w:ascii="微软雅黑" w:hAnsi="微软雅黑" w:eastAsia="微软雅黑" w:cs="微软雅黑"/>
                <w:color w:val="auto"/>
                <w:sz w:val="21"/>
                <w:szCs w:val="21"/>
                <w:highlight w:val="none"/>
                <w:shd w:val="clear" w:color="auto" w:fill="auto"/>
                <w:lang w:val="en-US" w:eastAsia="zh-CN"/>
              </w:rPr>
              <w:t>- 与医院现有系统（HIS、支付、黑名单等）接口对接方案详细可靠，得2分，无方案不得分。</w:t>
            </w:r>
          </w:p>
        </w:tc>
        <w:tc>
          <w:tcPr>
            <w:tcW w:w="2239" w:type="dxa"/>
            <w:vMerge w:val="continue"/>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2" w:firstLineChars="200"/>
              <w:textAlignment w:val="auto"/>
              <w:rPr>
                <w:rFonts w:hint="eastAsia" w:ascii="宋体" w:hAnsi="宋体" w:cs="宋体"/>
                <w:b/>
                <w:bCs/>
                <w:i w:val="0"/>
                <w:iCs w:val="0"/>
                <w:caps w:val="0"/>
                <w:color w:val="0F1115"/>
                <w:spacing w:val="0"/>
                <w:sz w:val="22"/>
                <w:szCs w:val="22"/>
                <w:shd w:val="clear"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2" w:firstLineChars="200"/>
              <w:textAlignment w:val="auto"/>
              <w:rPr>
                <w:rFonts w:hint="eastAsia" w:ascii="宋体" w:hAnsi="宋体" w:cs="宋体"/>
                <w:b/>
                <w:bCs/>
                <w:i w:val="0"/>
                <w:iCs w:val="0"/>
                <w:caps w:val="0"/>
                <w:color w:val="0F1115"/>
                <w:spacing w:val="0"/>
                <w:sz w:val="22"/>
                <w:szCs w:val="22"/>
                <w:shd w:val="clear" w:fill="FFFFFF"/>
                <w:lang w:val="en-US" w:eastAsia="zh-CN"/>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2" w:firstLineChars="200"/>
              <w:textAlignment w:val="auto"/>
              <w:rPr>
                <w:rFonts w:hint="eastAsia" w:ascii="宋体" w:hAnsi="宋体" w:cs="宋体"/>
                <w:b/>
                <w:bCs/>
                <w:i w:val="0"/>
                <w:iCs w:val="0"/>
                <w:caps w:val="0"/>
                <w:color w:val="0F1115"/>
                <w:spacing w:val="0"/>
                <w:sz w:val="22"/>
                <w:szCs w:val="22"/>
                <w:shd w:val="clear" w:fill="FFFFFF"/>
                <w:lang w:val="en-US" w:eastAsia="zh-CN"/>
              </w:rPr>
            </w:pPr>
          </w:p>
        </w:tc>
        <w:tc>
          <w:tcPr>
            <w:tcW w:w="1070"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2" w:firstLineChars="200"/>
              <w:textAlignment w:val="auto"/>
              <w:rPr>
                <w:rFonts w:hint="eastAsia" w:ascii="宋体" w:hAnsi="宋体" w:cs="宋体"/>
                <w:b/>
                <w:bCs/>
                <w:i w:val="0"/>
                <w:iCs w:val="0"/>
                <w:caps w:val="0"/>
                <w:color w:val="0F1115"/>
                <w:spacing w:val="0"/>
                <w:sz w:val="22"/>
                <w:szCs w:val="22"/>
                <w:shd w:val="clear" w:fill="FFFFFF"/>
                <w:lang w:val="en-US" w:eastAsia="zh-CN"/>
              </w:rPr>
            </w:pP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2分</w:t>
            </w:r>
          </w:p>
        </w:tc>
        <w:tc>
          <w:tcPr>
            <w:tcW w:w="469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3. 自主可控：所投产品为自主研发，承诺提供部署后的数据所有权及接口持续支持，得2分。</w:t>
            </w:r>
          </w:p>
        </w:tc>
        <w:tc>
          <w:tcPr>
            <w:tcW w:w="2239" w:type="dxa"/>
            <w:vMerge w:val="continue"/>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442" w:firstLineChars="200"/>
              <w:textAlignment w:val="auto"/>
              <w:rPr>
                <w:rFonts w:hint="eastAsia" w:ascii="宋体" w:hAnsi="宋体" w:cs="宋体"/>
                <w:b/>
                <w:bCs/>
                <w:i w:val="0"/>
                <w:iCs w:val="0"/>
                <w:caps w:val="0"/>
                <w:color w:val="0F1115"/>
                <w:spacing w:val="0"/>
                <w:sz w:val="22"/>
                <w:szCs w:val="22"/>
                <w:shd w:val="clear"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3</w:t>
            </w:r>
          </w:p>
        </w:tc>
        <w:tc>
          <w:tcPr>
            <w:tcW w:w="1265" w:type="dxa"/>
            <w:vMerge w:val="restart"/>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商务需求（25%）</w:t>
            </w:r>
          </w:p>
        </w:tc>
        <w:tc>
          <w:tcPr>
            <w:tcW w:w="1070"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项目过往业绩</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（10%）</w:t>
            </w: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10分</w:t>
            </w:r>
          </w:p>
        </w:tc>
        <w:tc>
          <w:tcPr>
            <w:tcW w:w="4692"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default"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投标人完成的三甲医院微信公众号或互联网医院系统类似项目业绩：</w:t>
            </w:r>
            <w:r>
              <w:rPr>
                <w:rFonts w:hint="eastAsia" w:ascii="微软雅黑" w:hAnsi="微软雅黑" w:eastAsia="微软雅黑" w:cs="微软雅黑"/>
                <w:color w:val="auto"/>
                <w:sz w:val="21"/>
                <w:szCs w:val="21"/>
                <w:highlight w:val="none"/>
                <w:shd w:val="clear" w:color="auto" w:fill="auto"/>
                <w:lang w:val="en-US" w:eastAsia="zh-CN"/>
              </w:rPr>
              <w:br w:type="textWrapping"/>
            </w:r>
            <w:r>
              <w:rPr>
                <w:rFonts w:hint="eastAsia" w:ascii="微软雅黑" w:hAnsi="微软雅黑" w:eastAsia="微软雅黑" w:cs="微软雅黑"/>
                <w:color w:val="auto"/>
                <w:sz w:val="21"/>
                <w:szCs w:val="21"/>
                <w:highlight w:val="none"/>
                <w:shd w:val="clear" w:color="auto" w:fill="auto"/>
                <w:lang w:val="en-US" w:eastAsia="zh-CN"/>
              </w:rPr>
              <w:t>- 每提供一个合同得2分，最高10分。</w:t>
            </w:r>
          </w:p>
        </w:tc>
        <w:tc>
          <w:tcPr>
            <w:tcW w:w="2239" w:type="dxa"/>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提供合同关键页复印件（含首页、标的页、签字盖章页），加盖公章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506"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p>
        </w:tc>
        <w:tc>
          <w:tcPr>
            <w:tcW w:w="1265"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ascii="微软雅黑" w:hAnsi="微软雅黑" w:eastAsia="微软雅黑" w:cs="微软雅黑"/>
                <w:color w:val="auto"/>
                <w:sz w:val="21"/>
                <w:szCs w:val="21"/>
                <w:highlight w:val="none"/>
                <w:lang w:val="en-US" w:eastAsia="zh-CN"/>
              </w:rPr>
            </w:pPr>
          </w:p>
        </w:tc>
        <w:tc>
          <w:tcPr>
            <w:tcW w:w="1070"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售后服务（15%）</w:t>
            </w:r>
          </w:p>
        </w:tc>
        <w:tc>
          <w:tcPr>
            <w:tcW w:w="699" w:type="dxa"/>
            <w:tcBorders>
              <w:left w:val="single" w:color="000000" w:sz="4" w:space="0"/>
              <w:right w:val="single" w:color="000000"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default"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15分</w:t>
            </w:r>
          </w:p>
        </w:tc>
        <w:tc>
          <w:tcPr>
            <w:tcW w:w="4692" w:type="dxa"/>
            <w:tcBorders>
              <w:top w:val="single" w:color="000000" w:sz="4" w:space="0"/>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1. 质保期（7分）满足医院招标文件质保要求得2分；除基础质保年限以外，提供额外质保期，每增加1年加1分，最高加7分。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2. 服务响应（3分）：承诺7×24小时技术支持，1小时内响应，4小时内到达现场（重庆本地），得3分。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3. 售后服务方案（5分）：包含人员配备、故障处理流程、定期巡检、系统升级维护等内容，方案详细可行得5分；较完善得3分；简单或缺失不得分。</w:t>
            </w:r>
          </w:p>
        </w:tc>
        <w:tc>
          <w:tcPr>
            <w:tcW w:w="2239" w:type="dxa"/>
            <w:tcBorders>
              <w:left w:val="single" w:color="000000" w:sz="4" w:space="0"/>
              <w:right w:val="single" w:color="auto" w:sz="4" w:space="0"/>
            </w:tcBorders>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left"/>
              <w:textAlignment w:val="auto"/>
              <w:rPr>
                <w:rFonts w:hint="eastAsia" w:ascii="微软雅黑" w:hAnsi="微软雅黑" w:eastAsia="微软雅黑" w:cs="微软雅黑"/>
                <w:color w:val="auto"/>
                <w:sz w:val="21"/>
                <w:szCs w:val="21"/>
                <w:highlight w:val="none"/>
                <w:shd w:val="clear" w:color="auto" w:fill="auto"/>
                <w:lang w:val="en-US" w:eastAsia="zh-CN"/>
              </w:rPr>
            </w:pPr>
            <w:r>
              <w:rPr>
                <w:rFonts w:hint="eastAsia" w:ascii="微软雅黑" w:hAnsi="微软雅黑" w:eastAsia="微软雅黑" w:cs="微软雅黑"/>
                <w:color w:val="auto"/>
                <w:sz w:val="21"/>
                <w:szCs w:val="21"/>
                <w:highlight w:val="none"/>
                <w:shd w:val="clear" w:color="auto" w:fill="auto"/>
                <w:lang w:val="en-US" w:eastAsia="zh-CN"/>
              </w:rPr>
              <w:t>提供质保期承诺函；售后服务方案</w:t>
            </w:r>
          </w:p>
        </w:tc>
      </w:tr>
    </w:tbl>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 xml:space="preserve"> 注：</w:t>
      </w:r>
      <w:r>
        <w:rPr>
          <w:rFonts w:hint="eastAsia" w:ascii="微软雅黑" w:hAnsi="微软雅黑" w:eastAsia="微软雅黑" w:cs="微软雅黑"/>
          <w:b w:val="0"/>
          <w:bCs w:val="0"/>
          <w:color w:val="auto"/>
          <w:sz w:val="24"/>
          <w:lang w:eastAsia="zh-CN"/>
        </w:rPr>
        <w:t>项目报价</w:t>
      </w:r>
      <w:r>
        <w:rPr>
          <w:rFonts w:hint="eastAsia" w:ascii="微软雅黑" w:hAnsi="微软雅黑" w:eastAsia="微软雅黑" w:cs="微软雅黑"/>
          <w:b w:val="0"/>
          <w:bCs w:val="0"/>
          <w:color w:val="auto"/>
          <w:sz w:val="24"/>
        </w:rPr>
        <w:t>异常低价问题有关事项的说明</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（一）</w:t>
      </w:r>
      <w:r>
        <w:rPr>
          <w:rFonts w:hint="eastAsia" w:ascii="微软雅黑" w:hAnsi="微软雅黑" w:eastAsia="微软雅黑" w:cs="微软雅黑"/>
          <w:b w:val="0"/>
          <w:bCs w:val="0"/>
          <w:color w:val="auto"/>
          <w:sz w:val="24"/>
          <w:lang w:val="en-US" w:eastAsia="zh-CN"/>
        </w:rPr>
        <w:t>该项目</w:t>
      </w:r>
      <w:r>
        <w:rPr>
          <w:rFonts w:hint="eastAsia" w:ascii="微软雅黑" w:hAnsi="微软雅黑" w:eastAsia="微软雅黑" w:cs="微软雅黑"/>
          <w:b w:val="0"/>
          <w:bCs w:val="0"/>
          <w:color w:val="auto"/>
          <w:sz w:val="24"/>
        </w:rPr>
        <w:t>采购评审中出现下列情形之一的，</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应当启动异常低价投标审查程序：</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1.</w:t>
      </w:r>
      <w:r>
        <w:rPr>
          <w:rFonts w:hint="eastAsia" w:ascii="微软雅黑" w:hAnsi="微软雅黑" w:eastAsia="微软雅黑" w:cs="微软雅黑"/>
          <w:b w:val="0"/>
          <w:bCs w:val="0"/>
          <w:color w:val="auto"/>
          <w:sz w:val="24"/>
          <w:lang w:eastAsia="zh-CN"/>
        </w:rPr>
        <w:t>项目</w:t>
      </w:r>
      <w:r>
        <w:rPr>
          <w:rFonts w:hint="eastAsia" w:ascii="微软雅黑" w:hAnsi="微软雅黑" w:eastAsia="微软雅黑" w:cs="微软雅黑"/>
          <w:b w:val="0"/>
          <w:bCs w:val="0"/>
          <w:color w:val="auto"/>
          <w:sz w:val="24"/>
        </w:rPr>
        <w:t>投标报价低于全部通过符合性审查投标人投标报价平均值50%的，即</w:t>
      </w:r>
      <w:r>
        <w:rPr>
          <w:rFonts w:hint="eastAsia" w:ascii="微软雅黑" w:hAnsi="微软雅黑" w:eastAsia="微软雅黑" w:cs="微软雅黑"/>
          <w:b w:val="0"/>
          <w:bCs w:val="0"/>
          <w:color w:val="auto"/>
          <w:sz w:val="24"/>
          <w:lang w:val="en-US" w:eastAsia="zh-CN"/>
        </w:rPr>
        <w:t>项目</w:t>
      </w:r>
      <w:r>
        <w:rPr>
          <w:rFonts w:hint="eastAsia" w:ascii="微软雅黑" w:hAnsi="微软雅黑" w:eastAsia="微软雅黑" w:cs="微软雅黑"/>
          <w:b w:val="0"/>
          <w:bCs w:val="0"/>
          <w:color w:val="auto"/>
          <w:sz w:val="24"/>
        </w:rPr>
        <w:t>投标报价＜全部通过符合性审查投标人投标报价平均值×50%；</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2.</w:t>
      </w:r>
      <w:r>
        <w:rPr>
          <w:rFonts w:hint="eastAsia" w:ascii="微软雅黑" w:hAnsi="微软雅黑" w:eastAsia="微软雅黑" w:cs="微软雅黑"/>
          <w:b w:val="0"/>
          <w:bCs w:val="0"/>
          <w:color w:val="auto"/>
          <w:sz w:val="24"/>
          <w:lang w:val="en-US" w:eastAsia="zh-CN"/>
        </w:rPr>
        <w:t>项目</w:t>
      </w:r>
      <w:r>
        <w:rPr>
          <w:rFonts w:hint="eastAsia" w:ascii="微软雅黑" w:hAnsi="微软雅黑" w:eastAsia="微软雅黑" w:cs="微软雅黑"/>
          <w:b w:val="0"/>
          <w:bCs w:val="0"/>
          <w:color w:val="auto"/>
          <w:sz w:val="24"/>
        </w:rPr>
        <w:t>投标报价低于通过符合性审查的次低报价投标人投标报价50%的，即</w:t>
      </w:r>
      <w:r>
        <w:rPr>
          <w:rFonts w:hint="eastAsia" w:ascii="微软雅黑" w:hAnsi="微软雅黑" w:eastAsia="微软雅黑" w:cs="微软雅黑"/>
          <w:b w:val="0"/>
          <w:bCs w:val="0"/>
          <w:color w:val="auto"/>
          <w:sz w:val="24"/>
          <w:lang w:val="en-US" w:eastAsia="zh-CN"/>
        </w:rPr>
        <w:t>项目</w:t>
      </w:r>
      <w:r>
        <w:rPr>
          <w:rFonts w:hint="eastAsia" w:ascii="微软雅黑" w:hAnsi="微软雅黑" w:eastAsia="微软雅黑" w:cs="微软雅黑"/>
          <w:b w:val="0"/>
          <w:bCs w:val="0"/>
          <w:color w:val="auto"/>
          <w:sz w:val="24"/>
        </w:rPr>
        <w:t>投标报价＜通过符合性审查的次低报价投标人投标报价×50%；</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3.</w:t>
      </w:r>
      <w:r>
        <w:rPr>
          <w:rFonts w:hint="eastAsia" w:ascii="微软雅黑" w:hAnsi="微软雅黑" w:eastAsia="微软雅黑" w:cs="微软雅黑"/>
          <w:b w:val="0"/>
          <w:bCs w:val="0"/>
          <w:color w:val="auto"/>
          <w:sz w:val="24"/>
          <w:lang w:val="en-US" w:eastAsia="zh-CN"/>
        </w:rPr>
        <w:t>项目</w:t>
      </w:r>
      <w:r>
        <w:rPr>
          <w:rFonts w:hint="eastAsia" w:ascii="微软雅黑" w:hAnsi="微软雅黑" w:eastAsia="微软雅黑" w:cs="微软雅黑"/>
          <w:b w:val="0"/>
          <w:bCs w:val="0"/>
          <w:color w:val="auto"/>
          <w:sz w:val="24"/>
        </w:rPr>
        <w:t>投标报价低于采购项目最高限价45%的，即</w:t>
      </w:r>
      <w:r>
        <w:rPr>
          <w:rFonts w:hint="eastAsia" w:ascii="微软雅黑" w:hAnsi="微软雅黑" w:eastAsia="微软雅黑" w:cs="微软雅黑"/>
          <w:b w:val="0"/>
          <w:bCs w:val="0"/>
          <w:color w:val="auto"/>
          <w:sz w:val="24"/>
          <w:lang w:val="en-US" w:eastAsia="zh-CN"/>
        </w:rPr>
        <w:t>项目</w:t>
      </w:r>
      <w:r>
        <w:rPr>
          <w:rFonts w:hint="eastAsia" w:ascii="微软雅黑" w:hAnsi="微软雅黑" w:eastAsia="微软雅黑" w:cs="微软雅黑"/>
          <w:b w:val="0"/>
          <w:bCs w:val="0"/>
          <w:color w:val="auto"/>
          <w:sz w:val="24"/>
        </w:rPr>
        <w:t>投标报价＜采购项目</w:t>
      </w:r>
      <w:r>
        <w:rPr>
          <w:rFonts w:hint="eastAsia" w:ascii="微软雅黑" w:hAnsi="微软雅黑" w:eastAsia="微软雅黑" w:cs="微软雅黑"/>
          <w:b w:val="0"/>
          <w:bCs w:val="0"/>
          <w:color w:val="auto"/>
          <w:sz w:val="24"/>
          <w:lang w:eastAsia="zh-CN"/>
        </w:rPr>
        <w:t>项目</w:t>
      </w:r>
      <w:r>
        <w:rPr>
          <w:rFonts w:hint="eastAsia" w:ascii="微软雅黑" w:hAnsi="微软雅黑" w:eastAsia="微软雅黑" w:cs="微软雅黑"/>
          <w:b w:val="0"/>
          <w:bCs w:val="0"/>
          <w:color w:val="auto"/>
          <w:sz w:val="24"/>
        </w:rPr>
        <w:t>最高限价×45%；</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4.</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基于专业判断，认为投标人</w:t>
      </w:r>
      <w:r>
        <w:rPr>
          <w:rFonts w:hint="eastAsia" w:ascii="微软雅黑" w:hAnsi="微软雅黑" w:eastAsia="微软雅黑" w:cs="微软雅黑"/>
          <w:b w:val="0"/>
          <w:bCs w:val="0"/>
          <w:color w:val="auto"/>
          <w:sz w:val="24"/>
          <w:lang w:eastAsia="zh-CN"/>
        </w:rPr>
        <w:t>项目</w:t>
      </w:r>
      <w:r>
        <w:rPr>
          <w:rFonts w:hint="eastAsia" w:ascii="微软雅黑" w:hAnsi="微软雅黑" w:eastAsia="微软雅黑" w:cs="微软雅黑"/>
          <w:b w:val="0"/>
          <w:bCs w:val="0"/>
          <w:color w:val="auto"/>
          <w:sz w:val="24"/>
        </w:rPr>
        <w:t>报价过低，有可能影响产品质量或者不能诚信履约的其他情形。</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（二）</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pPr>
        <w:pStyle w:val="2"/>
        <w:adjustRightInd w:val="0"/>
        <w:snapToGrid w:val="0"/>
        <w:spacing w:before="0" w:after="0" w:line="400" w:lineRule="exact"/>
        <w:ind w:firstLine="480" w:firstLineChars="200"/>
        <w:rPr>
          <w:rFonts w:hint="eastAsia" w:ascii="微软雅黑" w:hAnsi="微软雅黑" w:eastAsia="微软雅黑" w:cs="微软雅黑"/>
          <w:b w:val="0"/>
          <w:bCs w:val="0"/>
          <w:color w:val="auto"/>
          <w:sz w:val="24"/>
          <w:lang w:val="en-US" w:eastAsia="zh-CN"/>
        </w:rPr>
      </w:pP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应当将其作为无效投标处理。</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07"/>
      <w:bookmarkEnd w:id="108"/>
      <w:bookmarkEnd w:id="109"/>
      <w:bookmarkEnd w:id="120"/>
      <w:bookmarkEnd w:id="12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w:t>
      </w:r>
      <w:r>
        <w:rPr>
          <w:rFonts w:hint="eastAsia" w:ascii="微软雅黑" w:hAnsi="微软雅黑" w:eastAsia="微软雅黑" w:cs="微软雅黑"/>
          <w:color w:val="auto"/>
          <w:sz w:val="24"/>
          <w:szCs w:val="24"/>
          <w:lang w:val="en-US" w:eastAsia="zh-CN"/>
        </w:rPr>
        <w:t>最终</w:t>
      </w:r>
      <w:r>
        <w:rPr>
          <w:rFonts w:hint="eastAsia" w:ascii="微软雅黑" w:hAnsi="微软雅黑" w:eastAsia="微软雅黑" w:cs="微软雅黑"/>
          <w:color w:val="auto"/>
          <w:sz w:val="24"/>
          <w:szCs w:val="24"/>
        </w:rPr>
        <w:t>报价超过采购预算或最高限价的；</w:t>
      </w:r>
    </w:p>
    <w:p>
      <w:pPr>
        <w:snapToGrid w:val="0"/>
        <w:spacing w:line="400" w:lineRule="exact"/>
        <w:ind w:firstLine="465"/>
        <w:rPr>
          <w:rFonts w:hint="eastAsia" w:ascii="微软雅黑" w:hAnsi="微软雅黑" w:eastAsia="微软雅黑" w:cs="微软雅黑"/>
          <w:color w:val="auto"/>
          <w:sz w:val="24"/>
          <w:lang w:val="en-US" w:eastAsia="zh-CN"/>
        </w:rPr>
      </w:pPr>
      <w:r>
        <w:rPr>
          <w:rFonts w:hint="eastAsia" w:ascii="微软雅黑" w:hAnsi="微软雅黑" w:eastAsia="微软雅黑" w:cs="微软雅黑"/>
          <w:color w:val="auto"/>
          <w:sz w:val="24"/>
          <w:lang w:eastAsia="zh-CN"/>
        </w:rPr>
        <w:t>（</w:t>
      </w:r>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投标人的</w:t>
      </w:r>
      <w:r>
        <w:rPr>
          <w:rFonts w:hint="eastAsia" w:ascii="微软雅黑" w:hAnsi="微软雅黑" w:eastAsia="微软雅黑" w:cs="微软雅黑"/>
          <w:color w:val="auto"/>
          <w:sz w:val="24"/>
          <w:lang w:val="en-US" w:eastAsia="zh-CN"/>
        </w:rPr>
        <w:t>最终</w:t>
      </w:r>
      <w:r>
        <w:rPr>
          <w:rFonts w:hint="eastAsia" w:ascii="微软雅黑" w:hAnsi="微软雅黑" w:eastAsia="微软雅黑" w:cs="微软雅黑"/>
          <w:color w:val="auto"/>
          <w:sz w:val="24"/>
        </w:rPr>
        <w:t>报价</w:t>
      </w:r>
      <w:r>
        <w:rPr>
          <w:rFonts w:hint="eastAsia" w:ascii="微软雅黑" w:hAnsi="微软雅黑" w:eastAsia="微软雅黑" w:cs="微软雅黑"/>
          <w:color w:val="auto"/>
          <w:sz w:val="24"/>
          <w:lang w:val="en-US" w:eastAsia="zh-CN"/>
        </w:rPr>
        <w:t>被</w:t>
      </w:r>
      <w:r>
        <w:rPr>
          <w:rFonts w:hint="default" w:ascii="微软雅黑" w:hAnsi="微软雅黑" w:eastAsia="微软雅黑" w:cs="微软雅黑"/>
          <w:color w:val="auto"/>
          <w:sz w:val="24"/>
          <w:lang w:eastAsia="zh-CN"/>
        </w:rPr>
        <w:t>评标小组</w:t>
      </w:r>
      <w:r>
        <w:rPr>
          <w:rFonts w:hint="eastAsia" w:ascii="微软雅黑" w:hAnsi="微软雅黑" w:eastAsia="微软雅黑" w:cs="微软雅黑"/>
          <w:color w:val="auto"/>
          <w:sz w:val="24"/>
          <w:lang w:val="en-US" w:eastAsia="zh-CN"/>
        </w:rPr>
        <w:t>判定为异常低价的</w:t>
      </w:r>
      <w:r>
        <w:rPr>
          <w:rFonts w:hint="eastAsia" w:ascii="微软雅黑" w:hAnsi="微软雅黑" w:eastAsia="微软雅黑" w:cs="微软雅黑"/>
          <w:color w:val="auto"/>
          <w:sz w:val="24"/>
          <w:lang w:eastAsia="zh-CN"/>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七</w:t>
      </w:r>
      <w:r>
        <w:rPr>
          <w:rFonts w:hint="eastAsia" w:ascii="微软雅黑" w:hAnsi="微软雅黑" w:eastAsia="微软雅黑" w:cs="微软雅黑"/>
          <w:color w:val="auto"/>
          <w:sz w:val="24"/>
          <w:szCs w:val="24"/>
        </w:rPr>
        <w:t>）单位负责人为同一人或者存在直接控股、管理关系的不同投标人，参加同一合同项下的采购活动的；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八</w:t>
      </w:r>
      <w:r>
        <w:rPr>
          <w:rFonts w:hint="eastAsia" w:ascii="微软雅黑" w:hAnsi="微软雅黑" w:eastAsia="微软雅黑" w:cs="微软雅黑"/>
          <w:color w:val="auto"/>
          <w:sz w:val="24"/>
          <w:szCs w:val="24"/>
        </w:rPr>
        <w:t>）为采购项目提供整体设计、规范编制或者项目管理、监理、检测等服务的投标人，再参加该采购项目的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九</w:t>
      </w:r>
      <w:r>
        <w:rPr>
          <w:rFonts w:hint="eastAsia" w:ascii="微软雅黑" w:hAnsi="微软雅黑" w:eastAsia="微软雅黑" w:cs="微软雅黑"/>
          <w:color w:val="auto"/>
          <w:sz w:val="24"/>
          <w:szCs w:val="24"/>
        </w:rPr>
        <w:t>）投标人授权有效期不满足</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十</w:t>
      </w:r>
      <w:r>
        <w:rPr>
          <w:rFonts w:hint="eastAsia" w:ascii="微软雅黑" w:hAnsi="微软雅黑" w:eastAsia="微软雅黑" w:cs="微软雅黑"/>
          <w:color w:val="auto"/>
          <w:sz w:val="24"/>
          <w:szCs w:val="24"/>
        </w:rPr>
        <w:t>）投标人响应文件内容有与国家现行法律法规相违背的内容，或附有采购人无法接受的条件；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rPr>
        <w:t>）法律、法规和采购文件规定的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2"/>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23" w:name="_Toc10687"/>
      <w:bookmarkStart w:id="124" w:name="_Toc106030891"/>
      <w:bookmarkStart w:id="125" w:name="_Toc76462336"/>
      <w:bookmarkStart w:id="126" w:name="_Toc29702"/>
      <w:bookmarkStart w:id="127" w:name="_Toc15885"/>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10"/>
      <w:bookmarkEnd w:id="111"/>
      <w:bookmarkEnd w:id="123"/>
      <w:bookmarkEnd w:id="124"/>
      <w:bookmarkEnd w:id="125"/>
      <w:r>
        <w:rPr>
          <w:rFonts w:hint="eastAsia" w:ascii="微软雅黑" w:hAnsi="微软雅黑" w:eastAsia="微软雅黑" w:cs="微软雅黑"/>
          <w:sz w:val="24"/>
          <w:lang w:val="en-US" w:eastAsia="zh-CN"/>
        </w:rPr>
        <w:t>废标条款</w:t>
      </w:r>
      <w:bookmarkEnd w:id="126"/>
      <w:bookmarkEnd w:id="127"/>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2"/>
        <w:spacing w:before="200" w:after="200" w:line="240" w:lineRule="auto"/>
        <w:jc w:val="center"/>
        <w:rPr>
          <w:rFonts w:hint="eastAsia" w:ascii="微软雅黑" w:hAnsi="微软雅黑" w:eastAsia="微软雅黑" w:cs="微软雅黑"/>
          <w:sz w:val="44"/>
        </w:rPr>
      </w:pPr>
      <w:bookmarkStart w:id="128" w:name="_Toc13119"/>
      <w:bookmarkStart w:id="129" w:name="_Toc106030892"/>
      <w:bookmarkStart w:id="130" w:name="_Toc29948"/>
      <w:bookmarkStart w:id="131" w:name="_Toc76462337"/>
      <w:bookmarkStart w:id="132" w:name="_Toc102227313"/>
      <w:r>
        <w:rPr>
          <w:rFonts w:hint="eastAsia" w:ascii="微软雅黑" w:hAnsi="微软雅黑" w:eastAsia="微软雅黑" w:cs="微软雅黑"/>
          <w:sz w:val="44"/>
        </w:rPr>
        <w:t>第五篇  投标人须知</w:t>
      </w:r>
      <w:bookmarkEnd w:id="128"/>
      <w:bookmarkEnd w:id="129"/>
      <w:bookmarkEnd w:id="130"/>
      <w:bookmarkEnd w:id="131"/>
      <w:bookmarkEnd w:id="132"/>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33" w:name="_Toc76462338"/>
      <w:bookmarkStart w:id="134" w:name="_Toc342913389"/>
      <w:bookmarkStart w:id="135" w:name="_Toc26717"/>
      <w:bookmarkStart w:id="136" w:name="_Toc20271"/>
      <w:bookmarkStart w:id="137" w:name="_Toc106030893"/>
      <w:r>
        <w:rPr>
          <w:rFonts w:hint="eastAsia" w:ascii="微软雅黑" w:hAnsi="微软雅黑" w:eastAsia="微软雅黑" w:cs="微软雅黑"/>
          <w:sz w:val="24"/>
        </w:rPr>
        <w:t>一、公开比选费用</w:t>
      </w:r>
      <w:bookmarkEnd w:id="133"/>
      <w:bookmarkEnd w:id="134"/>
      <w:bookmarkEnd w:id="135"/>
      <w:bookmarkEnd w:id="136"/>
      <w:bookmarkEnd w:id="137"/>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76462339"/>
      <w:bookmarkStart w:id="139" w:name="_Toc106030894"/>
      <w:bookmarkStart w:id="140" w:name="_Toc15712"/>
      <w:bookmarkStart w:id="141" w:name="_Toc342913391"/>
      <w:bookmarkStart w:id="142" w:name="_Toc27891"/>
      <w:r>
        <w:rPr>
          <w:rFonts w:hint="eastAsia" w:ascii="微软雅黑" w:hAnsi="微软雅黑" w:eastAsia="微软雅黑" w:cs="微软雅黑"/>
          <w:sz w:val="24"/>
        </w:rPr>
        <w:t>二、公开比选采购文件</w:t>
      </w:r>
      <w:bookmarkEnd w:id="138"/>
      <w:bookmarkEnd w:id="139"/>
      <w:bookmarkEnd w:id="140"/>
      <w:bookmarkEnd w:id="141"/>
      <w:bookmarkEnd w:id="142"/>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3" w:name="_Toc318159160"/>
      <w:bookmarkStart w:id="144" w:name="_Toc318159349"/>
      <w:bookmarkStart w:id="145" w:name="_Toc318166429"/>
      <w:bookmarkStart w:id="146" w:name="_Toc318159780"/>
    </w:p>
    <w:bookmarkEnd w:id="143"/>
    <w:bookmarkEnd w:id="144"/>
    <w:bookmarkEnd w:id="145"/>
    <w:bookmarkEnd w:id="146"/>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76462340"/>
      <w:bookmarkStart w:id="148" w:name="_Toc179714297"/>
      <w:bookmarkStart w:id="149" w:name="_Toc342913392"/>
      <w:bookmarkStart w:id="150" w:name="_Toc20510"/>
      <w:bookmarkStart w:id="151" w:name="_Toc26007"/>
      <w:bookmarkStart w:id="152" w:name="_Toc106030895"/>
      <w:bookmarkStart w:id="153" w:name="_Toc102227318"/>
      <w:r>
        <w:rPr>
          <w:rFonts w:hint="eastAsia" w:ascii="微软雅黑" w:hAnsi="微软雅黑" w:eastAsia="微软雅黑" w:cs="微软雅黑"/>
          <w:sz w:val="24"/>
        </w:rPr>
        <w:t>三、比选要求</w:t>
      </w:r>
      <w:bookmarkEnd w:id="147"/>
      <w:bookmarkEnd w:id="148"/>
      <w:bookmarkEnd w:id="149"/>
      <w:bookmarkEnd w:id="150"/>
      <w:bookmarkEnd w:id="151"/>
      <w:bookmarkEnd w:id="152"/>
      <w:bookmarkEnd w:id="15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54" w:name="_Toc32166"/>
      <w:bookmarkStart w:id="155" w:name="_Toc106030896"/>
      <w:bookmarkStart w:id="156" w:name="_Toc6435"/>
      <w:bookmarkStart w:id="157"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4"/>
      <w:bookmarkEnd w:id="155"/>
      <w:bookmarkEnd w:id="156"/>
      <w:bookmarkEnd w:id="157"/>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58" w:name="_Toc76462342"/>
      <w:bookmarkStart w:id="159" w:name="_Toc2729"/>
      <w:bookmarkStart w:id="160" w:name="_Toc106030897"/>
      <w:bookmarkStart w:id="161" w:name="_Toc21532"/>
      <w:bookmarkStart w:id="162" w:name="_Toc342913395"/>
      <w:bookmarkStart w:id="163" w:name="_Toc102227321"/>
      <w:r>
        <w:rPr>
          <w:rFonts w:hint="eastAsia" w:ascii="微软雅黑" w:hAnsi="微软雅黑" w:eastAsia="微软雅黑" w:cs="微软雅黑"/>
          <w:sz w:val="24"/>
        </w:rPr>
        <w:t>五、成交通知</w:t>
      </w:r>
      <w:bookmarkEnd w:id="158"/>
      <w:bookmarkEnd w:id="159"/>
      <w:bookmarkEnd w:id="160"/>
      <w:bookmarkEnd w:id="161"/>
      <w:bookmarkEnd w:id="162"/>
      <w:bookmarkEnd w:id="16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64" w:name="_Toc21448"/>
      <w:bookmarkStart w:id="165" w:name="_Toc76462343"/>
      <w:bookmarkStart w:id="166" w:name="_Toc106030898"/>
      <w:bookmarkStart w:id="167" w:name="_Toc4796"/>
      <w:r>
        <w:rPr>
          <w:rFonts w:hint="eastAsia" w:ascii="微软雅黑" w:hAnsi="微软雅黑" w:eastAsia="微软雅黑" w:cs="微软雅黑"/>
          <w:sz w:val="24"/>
        </w:rPr>
        <w:t>六、质疑处理</w:t>
      </w:r>
      <w:bookmarkEnd w:id="164"/>
      <w:bookmarkEnd w:id="165"/>
      <w:bookmarkEnd w:id="166"/>
      <w:bookmarkEnd w:id="16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68" w:name="_Toc28334"/>
      <w:bookmarkStart w:id="169" w:name="_Toc106030899"/>
      <w:bookmarkStart w:id="170" w:name="_Toc76462344"/>
    </w:p>
    <w:p>
      <w:pPr>
        <w:pStyle w:val="2"/>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1" w:name="_Toc23896"/>
      <w:r>
        <w:rPr>
          <w:rFonts w:hint="eastAsia" w:ascii="微软雅黑" w:hAnsi="微软雅黑" w:eastAsia="微软雅黑" w:cs="微软雅黑"/>
          <w:sz w:val="24"/>
        </w:rPr>
        <w:t>七、</w:t>
      </w:r>
      <w:bookmarkEnd w:id="168"/>
      <w:bookmarkEnd w:id="169"/>
      <w:bookmarkEnd w:id="170"/>
      <w:bookmarkStart w:id="172" w:name="_Toc102227322"/>
      <w:bookmarkStart w:id="173" w:name="_Toc342913396"/>
      <w:bookmarkStart w:id="174" w:name="_Toc76462346"/>
      <w:bookmarkStart w:id="175" w:name="_Toc106030901"/>
      <w:bookmarkStart w:id="176" w:name="_Toc3372"/>
      <w:bookmarkStart w:id="177" w:name="_Toc11641055"/>
      <w:bookmarkStart w:id="178" w:name="_Toc12789059"/>
      <w:r>
        <w:rPr>
          <w:rFonts w:hint="eastAsia" w:ascii="微软雅黑" w:hAnsi="微软雅黑" w:eastAsia="微软雅黑" w:cs="微软雅黑"/>
          <w:sz w:val="24"/>
        </w:rPr>
        <w:t>签订</w:t>
      </w:r>
      <w:bookmarkEnd w:id="172"/>
      <w:r>
        <w:rPr>
          <w:rFonts w:hint="eastAsia" w:ascii="微软雅黑" w:hAnsi="微软雅黑" w:eastAsia="微软雅黑" w:cs="微软雅黑"/>
          <w:sz w:val="24"/>
        </w:rPr>
        <w:t>合同</w:t>
      </w:r>
      <w:bookmarkEnd w:id="171"/>
      <w:bookmarkEnd w:id="173"/>
      <w:bookmarkEnd w:id="174"/>
      <w:bookmarkEnd w:id="175"/>
      <w:bookmarkEnd w:id="176"/>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77"/>
      <w:bookmarkEnd w:id="178"/>
    </w:p>
    <w:p>
      <w:pPr>
        <w:pStyle w:val="2"/>
        <w:spacing w:before="200" w:after="200" w:line="240" w:lineRule="auto"/>
        <w:jc w:val="center"/>
        <w:rPr>
          <w:rFonts w:hint="eastAsia" w:ascii="微软雅黑" w:hAnsi="微软雅黑" w:eastAsia="微软雅黑" w:cs="微软雅黑"/>
          <w:b/>
          <w:sz w:val="44"/>
          <w:szCs w:val="20"/>
        </w:rPr>
      </w:pPr>
      <w:bookmarkStart w:id="179" w:name="_Hlt41879464"/>
      <w:bookmarkEnd w:id="179"/>
      <w:bookmarkStart w:id="180" w:name="_Toc76462349"/>
      <w:bookmarkStart w:id="181" w:name="_Toc106030905"/>
      <w:bookmarkStart w:id="182" w:name="_Toc27984"/>
      <w:bookmarkStart w:id="183" w:name="_Toc21717"/>
      <w:r>
        <w:rPr>
          <w:rFonts w:hint="eastAsia" w:ascii="微软雅黑" w:hAnsi="微软雅黑" w:eastAsia="微软雅黑" w:cs="微软雅黑"/>
          <w:b/>
          <w:sz w:val="44"/>
          <w:szCs w:val="20"/>
        </w:rPr>
        <w:t>第六篇  响应文件编制要求</w:t>
      </w:r>
      <w:bookmarkEnd w:id="180"/>
      <w:bookmarkEnd w:id="181"/>
      <w:bookmarkEnd w:id="182"/>
      <w:bookmarkEnd w:id="18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lang w:eastAsia="zh-CN"/>
        </w:rPr>
      </w:pPr>
      <w:r>
        <w:rPr>
          <w:rFonts w:hint="eastAsia" w:ascii="微软雅黑" w:hAnsi="微软雅黑" w:eastAsia="微软雅黑" w:cs="微软雅黑"/>
          <w:sz w:val="24"/>
          <w:szCs w:val="24"/>
        </w:rPr>
        <w:t>其他与项目有关的资料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1CD03B0"/>
    <w:rsid w:val="026C7369"/>
    <w:rsid w:val="030620E3"/>
    <w:rsid w:val="041E1336"/>
    <w:rsid w:val="04631E70"/>
    <w:rsid w:val="05986724"/>
    <w:rsid w:val="05B83278"/>
    <w:rsid w:val="079B568B"/>
    <w:rsid w:val="07F103E0"/>
    <w:rsid w:val="089E34BE"/>
    <w:rsid w:val="092E6FC0"/>
    <w:rsid w:val="093441FC"/>
    <w:rsid w:val="0BB87E47"/>
    <w:rsid w:val="0BDA1E53"/>
    <w:rsid w:val="0D1F249B"/>
    <w:rsid w:val="0D26388C"/>
    <w:rsid w:val="0D2D45FA"/>
    <w:rsid w:val="0F4F0F37"/>
    <w:rsid w:val="1009316D"/>
    <w:rsid w:val="128D10D0"/>
    <w:rsid w:val="1317485C"/>
    <w:rsid w:val="137173BB"/>
    <w:rsid w:val="13C7366D"/>
    <w:rsid w:val="143E2110"/>
    <w:rsid w:val="147A5E14"/>
    <w:rsid w:val="14D11CFB"/>
    <w:rsid w:val="15935DB5"/>
    <w:rsid w:val="15BB3449"/>
    <w:rsid w:val="16404E7B"/>
    <w:rsid w:val="167215B9"/>
    <w:rsid w:val="17324323"/>
    <w:rsid w:val="17A1211B"/>
    <w:rsid w:val="18ED7A84"/>
    <w:rsid w:val="19255AF5"/>
    <w:rsid w:val="1A7E6296"/>
    <w:rsid w:val="1F0D01CA"/>
    <w:rsid w:val="1FB21338"/>
    <w:rsid w:val="20CA13E8"/>
    <w:rsid w:val="21226BB2"/>
    <w:rsid w:val="21864056"/>
    <w:rsid w:val="222348FC"/>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8B7998"/>
    <w:rsid w:val="2E966F2B"/>
    <w:rsid w:val="2EB54030"/>
    <w:rsid w:val="2F1B1412"/>
    <w:rsid w:val="300C58E0"/>
    <w:rsid w:val="30607DAE"/>
    <w:rsid w:val="31093DAE"/>
    <w:rsid w:val="31DA5A58"/>
    <w:rsid w:val="32EF600F"/>
    <w:rsid w:val="32FD7152"/>
    <w:rsid w:val="332D1E43"/>
    <w:rsid w:val="33673EF7"/>
    <w:rsid w:val="35680ADC"/>
    <w:rsid w:val="361F2D7D"/>
    <w:rsid w:val="37556B60"/>
    <w:rsid w:val="38CD7FDC"/>
    <w:rsid w:val="38F51BEB"/>
    <w:rsid w:val="3ACE5D4F"/>
    <w:rsid w:val="3C55524B"/>
    <w:rsid w:val="3C740F54"/>
    <w:rsid w:val="3CCE1388"/>
    <w:rsid w:val="3DF6488D"/>
    <w:rsid w:val="3F1C71CA"/>
    <w:rsid w:val="406334F2"/>
    <w:rsid w:val="406D5057"/>
    <w:rsid w:val="409F14A1"/>
    <w:rsid w:val="415F6EA3"/>
    <w:rsid w:val="41E22EB6"/>
    <w:rsid w:val="4274546F"/>
    <w:rsid w:val="440F6794"/>
    <w:rsid w:val="446528DF"/>
    <w:rsid w:val="44890FF5"/>
    <w:rsid w:val="44F64ED7"/>
    <w:rsid w:val="452C7897"/>
    <w:rsid w:val="46151D23"/>
    <w:rsid w:val="46BB1B1D"/>
    <w:rsid w:val="46D026EE"/>
    <w:rsid w:val="475E104C"/>
    <w:rsid w:val="47AA1B14"/>
    <w:rsid w:val="47DF47C8"/>
    <w:rsid w:val="47E44DA2"/>
    <w:rsid w:val="494C6B8D"/>
    <w:rsid w:val="497B7CB3"/>
    <w:rsid w:val="4A8845CE"/>
    <w:rsid w:val="4AE01270"/>
    <w:rsid w:val="4B2D12E0"/>
    <w:rsid w:val="4BC960F2"/>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242DA9"/>
    <w:rsid w:val="584A30DD"/>
    <w:rsid w:val="58EA1C45"/>
    <w:rsid w:val="59A45271"/>
    <w:rsid w:val="59D52FEA"/>
    <w:rsid w:val="5ADA669A"/>
    <w:rsid w:val="5CA67F0E"/>
    <w:rsid w:val="5DAD4E7C"/>
    <w:rsid w:val="5E16050E"/>
    <w:rsid w:val="5E3D2C1E"/>
    <w:rsid w:val="5EE04623"/>
    <w:rsid w:val="5F7C4D42"/>
    <w:rsid w:val="60CB5C8F"/>
    <w:rsid w:val="61743609"/>
    <w:rsid w:val="61DB1F11"/>
    <w:rsid w:val="62772D29"/>
    <w:rsid w:val="628B5C92"/>
    <w:rsid w:val="63463B04"/>
    <w:rsid w:val="6379050D"/>
    <w:rsid w:val="648E3C9A"/>
    <w:rsid w:val="64DA4767"/>
    <w:rsid w:val="65170F5B"/>
    <w:rsid w:val="65215328"/>
    <w:rsid w:val="670A099E"/>
    <w:rsid w:val="68BD663A"/>
    <w:rsid w:val="68CA1C56"/>
    <w:rsid w:val="692F74C0"/>
    <w:rsid w:val="696405DD"/>
    <w:rsid w:val="69BE2355"/>
    <w:rsid w:val="6B75107A"/>
    <w:rsid w:val="6C641EBD"/>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AF5256C"/>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2">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2"/>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3"/>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1"/>
    <w:qFormat/>
    <w:uiPriority w:val="0"/>
    <w:rPr>
      <w:rFonts w:ascii="仿宋_GB2312" w:eastAsia="仿宋_GB2312"/>
      <w:sz w:val="32"/>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6"/>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19"/>
    <w:next w:val="19"/>
    <w:link w:val="78"/>
    <w:qFormat/>
    <w:uiPriority w:val="0"/>
    <w:pPr>
      <w:adjustRightInd/>
      <w:spacing w:line="240" w:lineRule="auto"/>
      <w:textAlignment w:val="auto"/>
    </w:pPr>
  </w:style>
  <w:style w:type="paragraph" w:styleId="56">
    <w:name w:val="Body Text First Indent"/>
    <w:basedOn w:val="2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2"/>
    <w:qFormat/>
    <w:uiPriority w:val="0"/>
    <w:rPr>
      <w:rFonts w:ascii="Arial" w:hAnsi="Arial" w:eastAsia="黑体"/>
      <w:b/>
      <w:kern w:val="2"/>
      <w:sz w:val="32"/>
    </w:rPr>
  </w:style>
  <w:style w:type="character" w:customStyle="1" w:styleId="72">
    <w:name w:val="标题 3 字符"/>
    <w:link w:val="4"/>
    <w:qFormat/>
    <w:uiPriority w:val="0"/>
    <w:rPr>
      <w:rFonts w:eastAsia="宋体"/>
      <w:b/>
      <w:kern w:val="2"/>
      <w:sz w:val="32"/>
      <w:lang w:val="en-US" w:eastAsia="zh-CN"/>
    </w:rPr>
  </w:style>
  <w:style w:type="character" w:customStyle="1" w:styleId="73">
    <w:name w:val="批注文字 字符"/>
    <w:link w:val="19"/>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4"/>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2"/>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5"/>
    <w:qFormat/>
    <w:uiPriority w:val="0"/>
    <w:pPr>
      <w:numPr>
        <w:ilvl w:val="0"/>
        <w:numId w:val="8"/>
      </w:numPr>
      <w:spacing w:before="560" w:line="400" w:lineRule="exact"/>
      <w:jc w:val="center"/>
      <w:outlineLvl w:val="0"/>
    </w:pPr>
    <w:rPr>
      <w:b w:val="0"/>
      <w:sz w:val="44"/>
    </w:rPr>
  </w:style>
  <w:style w:type="paragraph" w:customStyle="1" w:styleId="142">
    <w:name w:val="内容标题"/>
    <w:basedOn w:val="17"/>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7"/>
    <w:qFormat/>
    <w:uiPriority w:val="0"/>
    <w:rPr>
      <w:rFonts w:ascii="宋体" w:hAnsi="Tahoma"/>
    </w:rPr>
  </w:style>
  <w:style w:type="paragraph" w:customStyle="1" w:styleId="14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5"/>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4"/>
    <w:qFormat/>
    <w:uiPriority w:val="0"/>
    <w:pPr>
      <w:numPr>
        <w:ilvl w:val="2"/>
        <w:numId w:val="2"/>
      </w:numPr>
      <w:tabs>
        <w:tab w:val="left" w:pos="709"/>
        <w:tab w:val="left" w:pos="1620"/>
      </w:tabs>
    </w:pPr>
  </w:style>
  <w:style w:type="paragraph" w:customStyle="1" w:styleId="176">
    <w:name w:val="样式4"/>
    <w:basedOn w:val="5"/>
    <w:qFormat/>
    <w:uiPriority w:val="0"/>
    <w:pPr>
      <w:adjustRightInd w:val="0"/>
      <w:snapToGrid w:val="0"/>
    </w:pPr>
  </w:style>
  <w:style w:type="paragraph" w:customStyle="1" w:styleId="177">
    <w:name w:val="摘要"/>
    <w:basedOn w:val="1"/>
    <w:next w:val="2"/>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5"/>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 w:type="character" w:customStyle="1" w:styleId="246">
    <w:name w:val="font31"/>
    <w:basedOn w:val="6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18</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2026-07-24T07:52:12Z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8E5BF90D3D4C4F23A0E28395E305315E</vt:lpwstr>
  </property>
</Properties>
</file>