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8"/>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9"/>
        <w:rPr>
          <w:rFonts w:hint="eastAsia" w:ascii="微软雅黑" w:hAnsi="微软雅黑" w:eastAsia="微软雅黑" w:cs="微软雅黑"/>
          <w:b w:val="0"/>
          <w:kern w:val="2"/>
          <w:sz w:val="44"/>
          <w:szCs w:val="44"/>
          <w:lang w:val="en-US" w:eastAsia="zh-CN" w:bidi="ar-SA"/>
        </w:rPr>
      </w:pPr>
    </w:p>
    <w:p>
      <w:pPr>
        <w:spacing w:line="360" w:lineRule="auto"/>
        <w:ind w:firstLine="2520" w:firstLineChars="7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YXX260458</w:t>
      </w:r>
    </w:p>
    <w:p>
      <w:pPr>
        <w:spacing w:line="700" w:lineRule="exact"/>
        <w:ind w:left="4320" w:hanging="4320" w:hangingChars="1200"/>
        <w:jc w:val="both"/>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 xml:space="preserve">              项目名称</w:t>
      </w:r>
      <w:r>
        <w:rPr>
          <w:rFonts w:hint="eastAsia" w:ascii="微软雅黑" w:hAnsi="微软雅黑" w:eastAsia="微软雅黑" w:cs="微软雅黑"/>
          <w:sz w:val="36"/>
          <w:szCs w:val="36"/>
          <w:u w:val="none"/>
          <w:lang w:val="en-US" w:eastAsia="zh-CN"/>
        </w:rPr>
        <w:t>：</w:t>
      </w:r>
      <w:r>
        <w:rPr>
          <w:rFonts w:hint="eastAsia" w:ascii="微软雅黑" w:hAnsi="微软雅黑" w:eastAsia="微软雅黑" w:cs="微软雅黑"/>
          <w:sz w:val="36"/>
          <w:szCs w:val="36"/>
          <w:u w:val="single"/>
          <w:lang w:val="en-US" w:eastAsia="zh-CN"/>
        </w:rPr>
        <w:t>短信服务</w:t>
      </w:r>
    </w:p>
    <w:p>
      <w:pPr>
        <w:spacing w:line="700" w:lineRule="exact"/>
        <w:ind w:left="2880" w:hanging="2880" w:hangingChars="800"/>
        <w:jc w:val="both"/>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8</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_Toc29440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_Toc30227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_Toc22677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_Toc1570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_Toc23073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_Toc23073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_Toc22608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_Toc9327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_Toc19917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_Toc16738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_Toc5181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_Toc5181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_Toc22093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_Toc21990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_Toc25770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_Toc13026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_Toc13026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_Toc12066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_Toc12066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_Toc16988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_Toc31408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_Toc7643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_Toc10580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_Toc10580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_Toc23469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_Toc27460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_Toc6600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_Toc17106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_Toc1185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_Toc14434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_Toc25027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_Toc18208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_Toc9271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2"/>
        <w:spacing w:before="200" w:after="200" w:line="240" w:lineRule="auto"/>
        <w:jc w:val="center"/>
        <w:rPr>
          <w:rFonts w:hint="eastAsia" w:ascii="微软雅黑" w:hAnsi="微软雅黑" w:eastAsia="微软雅黑" w:cs="微软雅黑"/>
          <w:b/>
          <w:sz w:val="44"/>
          <w:szCs w:val="20"/>
        </w:rPr>
      </w:pPr>
      <w:bookmarkStart w:id="0" w:name="_Toc29440"/>
      <w:bookmarkStart w:id="1" w:name="_Toc12789052"/>
      <w:bookmarkStart w:id="2" w:name="_Toc106030870"/>
      <w:bookmarkStart w:id="3" w:name="_Toc24037"/>
      <w:bookmarkStart w:id="4" w:name="_Toc76462316"/>
      <w:bookmarkStart w:id="5" w:name="_Toc11641050"/>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keepNext w:val="0"/>
        <w:keepLines w:val="0"/>
        <w:pageBreakBefore w:val="0"/>
        <w:widowControl/>
        <w:kinsoku/>
        <w:wordWrap/>
        <w:overflowPunct/>
        <w:topLinePunct w:val="0"/>
        <w:autoSpaceDE/>
        <w:autoSpaceDN/>
        <w:bidi w:val="0"/>
        <w:adjustRightInd w:val="0"/>
        <w:snapToGrid w:val="0"/>
        <w:jc w:val="left"/>
        <w:textAlignment w:val="auto"/>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短信服务</w:t>
      </w:r>
      <w:r>
        <w:rPr>
          <w:rFonts w:hint="eastAsia" w:ascii="微软雅黑" w:hAnsi="微软雅黑" w:eastAsia="微软雅黑" w:cs="微软雅黑"/>
          <w:sz w:val="24"/>
          <w:szCs w:val="24"/>
          <w:u w:val="none"/>
          <w:lang w:val="en-US" w:eastAsia="zh-CN"/>
        </w:rPr>
        <w:t>项</w:t>
      </w:r>
      <w:r>
        <w:rPr>
          <w:rFonts w:hint="eastAsia" w:ascii="微软雅黑" w:hAnsi="微软雅黑" w:eastAsia="微软雅黑" w:cs="微软雅黑"/>
          <w:sz w:val="24"/>
          <w:szCs w:val="24"/>
        </w:rPr>
        <w:t>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313893526"/>
      <w:bookmarkStart w:id="7" w:name="_Toc3856"/>
      <w:bookmarkStart w:id="8" w:name="_Toc106030871"/>
      <w:bookmarkStart w:id="9" w:name="_Toc30227"/>
      <w:bookmarkStart w:id="10" w:name="_Toc317775175"/>
      <w:bookmarkStart w:id="11" w:name="_Toc764623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554"/>
        <w:gridCol w:w="2695"/>
        <w:gridCol w:w="89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42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5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highlight w:val="none"/>
                <w:lang w:val="en-US" w:eastAsia="zh-CN"/>
              </w:rPr>
              <w:t>最高限价</w:t>
            </w:r>
          </w:p>
        </w:tc>
        <w:tc>
          <w:tcPr>
            <w:tcW w:w="5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65"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YXX260458</w:t>
            </w:r>
          </w:p>
        </w:tc>
        <w:tc>
          <w:tcPr>
            <w:tcW w:w="14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color w:val="auto"/>
                <w:kern w:val="0"/>
                <w:sz w:val="21"/>
                <w:szCs w:val="21"/>
                <w:lang w:val="en-US" w:eastAsia="zh-CN"/>
              </w:rPr>
            </w:pPr>
            <w:r>
              <w:rPr>
                <w:rFonts w:hint="eastAsia" w:ascii="微软雅黑" w:hAnsi="微软雅黑" w:eastAsia="微软雅黑" w:cs="微软雅黑"/>
                <w:color w:val="auto"/>
                <w:kern w:val="0"/>
                <w:sz w:val="21"/>
                <w:szCs w:val="21"/>
                <w:lang w:val="en-US" w:eastAsia="zh-CN"/>
              </w:rPr>
              <w:t>短信服务</w:t>
            </w:r>
          </w:p>
        </w:tc>
        <w:tc>
          <w:tcPr>
            <w:tcW w:w="15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420" w:firstLineChars="200"/>
              <w:jc w:val="both"/>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color w:val="auto"/>
                <w:kern w:val="0"/>
                <w:sz w:val="21"/>
                <w:szCs w:val="21"/>
                <w:lang w:val="en-US" w:eastAsia="zh-CN"/>
              </w:rPr>
              <w:t>0.0245元/条</w:t>
            </w:r>
          </w:p>
        </w:tc>
        <w:tc>
          <w:tcPr>
            <w:tcW w:w="5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7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2677"/>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投标人特定资格条件</w:t>
      </w:r>
      <w:r>
        <w:rPr>
          <w:rFonts w:hint="eastAsia" w:ascii="微软雅黑" w:hAnsi="微软雅黑" w:eastAsia="微软雅黑" w:cs="微软雅黑"/>
          <w:sz w:val="24"/>
          <w:szCs w:val="24"/>
          <w:lang w:val="en-US" w:eastAsia="zh-CN"/>
        </w:rPr>
        <w:t>：无</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13324"/>
      <w:bookmarkStart w:id="22" w:name="_Toc106030874"/>
      <w:bookmarkStart w:id="23" w:name="_Toc76462320"/>
      <w:bookmarkStart w:id="24" w:name="_Toc2795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5047161"/>
      <w:bookmarkStart w:id="26" w:name="_Toc12841"/>
      <w:bookmarkStart w:id="27" w:name="_Toc11956"/>
      <w:bookmarkStart w:id="28" w:name="_Toc521053053"/>
      <w:bookmarkStart w:id="29" w:name="_Toc1570"/>
      <w:bookmarkStart w:id="30" w:name="_Toc65660334"/>
      <w:bookmarkStart w:id="31" w:name="_Toc106034625"/>
      <w:bookmarkStart w:id="32" w:name="_Toc6178"/>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"mailto:2.中标人的保证金，将在与我院完成签订本项目合同并提交采购管理处（将合同扫描文件发送至zbb63632469@qq.com）之后60个工作日内，无息退还至项目报名时所填写的投标人对公账户。"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r>
        <w:rPr>
          <w:rFonts w:hint="eastAsia" w:ascii="微软雅黑" w:hAnsi="微软雅黑" w:eastAsia="微软雅黑" w:cs="微软雅黑"/>
          <w:sz w:val="24"/>
          <w:szCs w:val="24"/>
        </w:rPr>
        <w:fldChar w:fldCharType="end"/>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525047162"/>
      <w:bookmarkStart w:id="35" w:name="_Toc521053054"/>
      <w:bookmarkStart w:id="36" w:name="_Toc106034626"/>
      <w:bookmarkStart w:id="37" w:name="_Toc65660335"/>
      <w:bookmarkStart w:id="38" w:name="_Toc2945"/>
      <w:bookmarkStart w:id="39" w:name="_Toc1546"/>
      <w:bookmarkStart w:id="40" w:name="_Toc23073"/>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525047163"/>
      <w:bookmarkStart w:id="42" w:name="_Toc6563"/>
      <w:bookmarkStart w:id="43" w:name="_Toc521053055"/>
      <w:bookmarkStart w:id="44" w:name="_Toc16269"/>
      <w:bookmarkStart w:id="45" w:name="_Toc106034627"/>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65660337"/>
      <w:bookmarkStart w:id="48" w:name="_Toc10415"/>
      <w:bookmarkStart w:id="49" w:name="_Toc24901"/>
      <w:bookmarkStart w:id="50" w:name="_Toc106034628"/>
      <w:bookmarkStart w:id="51" w:name="_Toc1733"/>
      <w:bookmarkStart w:id="52" w:name="_Toc525047164"/>
      <w:bookmarkStart w:id="53" w:name="_Toc521053056"/>
      <w:bookmarkStart w:id="54" w:name="_Toc22608"/>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11017"/>
      <w:bookmarkStart w:id="56" w:name="_Toc23143"/>
      <w:bookmarkStart w:id="57" w:name="_Toc25639"/>
      <w:bookmarkStart w:id="58" w:name="_Toc2422"/>
      <w:bookmarkStart w:id="59" w:name="_Toc19886"/>
      <w:bookmarkStart w:id="60" w:name="_Toc8649"/>
      <w:bookmarkStart w:id="61" w:name="_Toc2070"/>
      <w:bookmarkStart w:id="62" w:name="_Toc1492"/>
      <w:bookmarkStart w:id="63" w:name="_Toc26176"/>
      <w:bookmarkStart w:id="64" w:name="_Toc5461"/>
      <w:bookmarkStart w:id="65" w:name="_Toc32686"/>
      <w:bookmarkStart w:id="66" w:name="_Toc12959"/>
      <w:bookmarkStart w:id="67" w:name="_Toc725"/>
      <w:bookmarkStart w:id="68" w:name="_Toc1625"/>
      <w:bookmarkStart w:id="69" w:name="_Toc75793504"/>
      <w:bookmarkStart w:id="70" w:name="_Toc106030380"/>
      <w:bookmarkStart w:id="71" w:name="_Toc9327"/>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866"/>
      <w:bookmarkStart w:id="74" w:name="_Toc3196"/>
      <w:bookmarkStart w:id="75" w:name="_Toc32516"/>
      <w:bookmarkStart w:id="76" w:name="_Toc106030879"/>
      <w:bookmarkStart w:id="77" w:name="_Toc76462325"/>
      <w:bookmarkStart w:id="78" w:name="_Toc18470"/>
      <w:bookmarkStart w:id="79" w:name="_Toc106030882"/>
      <w:bookmarkStart w:id="80" w:name="_Toc76462327"/>
      <w:bookmarkStart w:id="81" w:name="_Toc7791"/>
      <w:r>
        <w:rPr>
          <w:rFonts w:hint="eastAsia" w:ascii="微软雅黑" w:hAnsi="微软雅黑" w:eastAsia="微软雅黑" w:cs="微软雅黑"/>
          <w:sz w:val="24"/>
        </w:rPr>
        <w:t>一、项目基本概况介绍</w:t>
      </w:r>
      <w:bookmarkEnd w:id="73"/>
      <w:bookmarkEnd w:id="74"/>
      <w:bookmarkEnd w:id="75"/>
      <w:bookmarkEnd w:id="76"/>
      <w:bookmarkEnd w:id="77"/>
      <w:bookmarkEnd w:id="78"/>
    </w:p>
    <w:tbl>
      <w:tblPr>
        <w:tblStyle w:val="57"/>
        <w:tblW w:w="41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5"/>
        <w:gridCol w:w="1892"/>
        <w:gridCol w:w="1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616"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bookmarkStart w:id="82" w:name="_Toc25495"/>
            <w:bookmarkStart w:id="83" w:name="_Toc106030880"/>
            <w:bookmarkStart w:id="84" w:name="_Toc12384"/>
            <w:r>
              <w:rPr>
                <w:rFonts w:hint="eastAsia" w:ascii="微软雅黑" w:hAnsi="微软雅黑" w:eastAsia="微软雅黑" w:cs="微软雅黑"/>
                <w:b/>
                <w:bCs/>
                <w:kern w:val="0"/>
                <w:sz w:val="28"/>
                <w:szCs w:val="28"/>
              </w:rPr>
              <w:t>项目</w:t>
            </w:r>
            <w:r>
              <w:rPr>
                <w:rFonts w:hint="eastAsia" w:ascii="微软雅黑" w:hAnsi="微软雅黑" w:eastAsia="微软雅黑" w:cs="微软雅黑"/>
                <w:b/>
                <w:bCs/>
                <w:kern w:val="0"/>
                <w:sz w:val="28"/>
                <w:szCs w:val="28"/>
                <w:lang w:eastAsia="zh-CN"/>
              </w:rPr>
              <w:t>名称</w:t>
            </w:r>
          </w:p>
        </w:tc>
        <w:tc>
          <w:tcPr>
            <w:tcW w:w="1174"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服务期</w:t>
            </w:r>
          </w:p>
        </w:tc>
        <w:tc>
          <w:tcPr>
            <w:tcW w:w="1209"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备</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616"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rPr>
            </w:pPr>
            <w:r>
              <w:rPr>
                <w:rFonts w:hint="eastAsia" w:ascii="微软雅黑" w:hAnsi="微软雅黑" w:eastAsia="微软雅黑" w:cs="微软雅黑"/>
                <w:sz w:val="21"/>
                <w:szCs w:val="21"/>
                <w:lang w:val="en-US" w:eastAsia="zh-CN"/>
              </w:rPr>
              <w:t>短信服务</w:t>
            </w:r>
          </w:p>
        </w:tc>
        <w:tc>
          <w:tcPr>
            <w:tcW w:w="1174"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2年</w:t>
            </w:r>
          </w:p>
        </w:tc>
        <w:tc>
          <w:tcPr>
            <w:tcW w:w="1209"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82"/>
      <w:bookmarkEnd w:id="83"/>
      <w:bookmarkEnd w:id="84"/>
    </w:tbl>
    <w:p>
      <w:pPr>
        <w:numPr>
          <w:ilvl w:val="0"/>
          <w:numId w:val="0"/>
        </w:numPr>
        <w:spacing w:line="400" w:lineRule="exact"/>
        <w:ind w:firstLine="480" w:firstLineChars="200"/>
        <w:rPr>
          <w:rFonts w:hint="eastAsia"/>
          <w:lang w:val="en-US" w:eastAsia="zh-CN"/>
        </w:rPr>
      </w:pPr>
      <w:r>
        <w:rPr>
          <w:rFonts w:hint="eastAsia" w:ascii="微软雅黑" w:hAnsi="微软雅黑" w:eastAsia="微软雅黑" w:cs="微软雅黑"/>
          <w:b/>
          <w:bCs/>
          <w:sz w:val="24"/>
          <w:szCs w:val="24"/>
          <w:lang w:val="en-US" w:eastAsia="zh-CN"/>
        </w:rPr>
        <w:t>二、项目内容及要求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85" w:name="_Toc19917"/>
      <w:r>
        <w:rPr>
          <w:rFonts w:hint="eastAsia" w:ascii="微软雅黑" w:hAnsi="微软雅黑" w:eastAsia="微软雅黑" w:cs="微软雅黑"/>
          <w:sz w:val="24"/>
          <w:szCs w:val="24"/>
          <w:lang w:val="en-US" w:eastAsia="zh-CN"/>
        </w:rPr>
        <w:t>（一）项目描述</w:t>
      </w:r>
      <w:bookmarkStart w:id="171" w:name="_GoBack"/>
      <w:bookmarkEnd w:id="171"/>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为提升医院信息化服务水平，优化患者就医体验，通过短信方式与医院各信息系统进行对接，将患者诊疗信息、验证信息及时告知相关人员，通过提供统一对接的短信接口进行短信发送，确保数据传输安全合规。</w:t>
      </w:r>
    </w:p>
    <w:p>
      <w:pPr>
        <w:numPr>
          <w:ilvl w:val="0"/>
          <w:numId w:val="0"/>
        </w:num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（二）项目要求</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1.提供短信管理平台，支持根据不同渠道创建账号，并进行统一管理；支持短信发送功能，支持模版短信、定时发送等功能。</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2.提供短信发送数量、发送成功数量、发送失败数量的统计和查询功能。</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3.可对发送的短信按账号进行分类统计、汇总统计（支持每天、每月以及自定义时间段进行统计）。</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4.提供对每条发送短信的监控，支持实时查询每条发送短信的账号、手机号码、发送时间、发送内容、发送状态、失败原因等。</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5.提供统一的Web Service接口或API接口，在医院部署统一对外短信发送接口，可供医院信息系统（HIS、HRP、GCP、人事系统、OA、医技预约平台、微信公众号、互联网医院、支付宝小程序、自助机等）调用，对传输过程中的短信发送内容进行加密。</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6.短信到达率需达到99%以上（排除停机、欠费、手机号码错误、接收端信号异常等客观因素）。</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7.支持短信全网发送，支持接收方为联通、移动、电信等所有运营商的手机号码。</w:t>
      </w:r>
    </w:p>
    <w:p>
      <w:pPr>
        <w:numPr>
          <w:ilvl w:val="0"/>
          <w:numId w:val="0"/>
        </w:num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8.接口支持并发调用：≥1000条/秒；接口调用相应时间：≤20毫秒。</w:t>
      </w:r>
    </w:p>
    <w:p>
      <w:pPr>
        <w:numPr>
          <w:ilvl w:val="0"/>
          <w:numId w:val="0"/>
        </w:num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9.提供短信内容免审或号码免审功能，保证医院通过本平台发送的正常短信确保不被监管部门误识别为敏感信息而拦截。</w:t>
      </w:r>
      <w:r>
        <w:rPr>
          <w:rFonts w:hint="eastAsia" w:ascii="微软雅黑" w:hAnsi="微软雅黑" w:eastAsia="微软雅黑" w:cs="微软雅黑"/>
          <w:sz w:val="24"/>
          <w:szCs w:val="24"/>
          <w:lang w:val="en-US" w:eastAsia="zh-CN"/>
        </w:rPr>
        <w:br w:type="page"/>
      </w:r>
    </w:p>
    <w:p>
      <w:pPr>
        <w:pStyle w:val="2"/>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79"/>
      <w:bookmarkEnd w:id="80"/>
      <w:bookmarkEnd w:id="81"/>
      <w:bookmarkEnd w:id="85"/>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实施期限/施工期限、交货地点及验收方式</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实施期限：具体实施开始时间以采购人通知为准，自实施通知当日起计算60个日历日内，中标人完成部署、联调、测试、上线。</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服务期：完成部署、联调、测试、上线并通过验收之日起，服务期限2年。</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服务地点：重庆医科大学附属儿童医院。</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验收方式：按合同约定内容验收。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1.本项目自通过验收之日起，服务期限2年。</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2.在线服务：通过即时通信工具(如 QQ、微信、邮件等)为医院提供提交问题、查询问题、解决问题的服务。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3.电话服务：通过电话为医院提供解决问题的服务。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4.远程服务：通过远程连接对系统进行远程调试并解决问题。</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5.现场服务：派遣技术人员到医院现场解决问题，并对系统进行系统保障服务。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6.当系统出现故障，又无法在在线服务、电话服务、远程服务形式下解决故障，必须在2小时内提出解决方案。如需要到现场解决，应派经验丰富的维护工程师在4小时内到达现场，进行故障检测、定位、维护与排除，保证系统正常运行。</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7.服务周期内，提供</w:t>
            </w:r>
            <w:r>
              <w:rPr>
                <w:rFonts w:hint="default" w:ascii="微软雅黑" w:hAnsi="微软雅黑" w:eastAsia="微软雅黑" w:cs="微软雅黑"/>
                <w:b w:val="0"/>
                <w:bCs w:val="0"/>
                <w:color w:val="auto"/>
                <w:kern w:val="0"/>
                <w:sz w:val="21"/>
                <w:szCs w:val="21"/>
                <w:lang w:val="en-US" w:eastAsia="zh-CN"/>
              </w:rPr>
              <w:t>7×24小时不间断服务响应</w:t>
            </w:r>
            <w:r>
              <w:rPr>
                <w:rFonts w:hint="eastAsia" w:ascii="微软雅黑" w:hAnsi="微软雅黑" w:eastAsia="微软雅黑" w:cs="微软雅黑"/>
                <w:b w:val="0"/>
                <w:bCs w:val="0"/>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1.该项目可在投标现场进行二次报价。</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2.本次报价包括：按每条短信单价进行报价（年预估短信约600万条）。</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3.报价须为人民币报价，包含：服务费、车旅费、运输费（含装卸费）、保险费、安装调试费、医院信息系统对接接口改造费、税费、培训费、专用维修设备的使用费等所有费用。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结算与付款方式</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结算要求：按每6个月短信实际发送成功数量*单价金额进行结算。</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付款方式</w:t>
            </w:r>
            <w:bookmarkStart w:id="86" w:name="OLE_LINK1"/>
            <w:r>
              <w:rPr>
                <w:rFonts w:hint="eastAsia" w:ascii="微软雅黑" w:hAnsi="微软雅黑" w:eastAsia="微软雅黑" w:cs="微软雅黑"/>
                <w:b w:val="0"/>
                <w:bCs w:val="0"/>
                <w:color w:val="auto"/>
                <w:kern w:val="0"/>
                <w:sz w:val="21"/>
                <w:szCs w:val="21"/>
                <w:lang w:val="en-US" w:eastAsia="zh-CN"/>
              </w:rPr>
              <w:t>：</w:t>
            </w:r>
            <w:bookmarkEnd w:id="86"/>
            <w:r>
              <w:rPr>
                <w:rFonts w:hint="eastAsia" w:ascii="微软雅黑" w:hAnsi="微软雅黑" w:eastAsia="微软雅黑" w:cs="微软雅黑"/>
                <w:b w:val="0"/>
                <w:bCs w:val="0"/>
                <w:color w:val="auto"/>
                <w:kern w:val="0"/>
                <w:sz w:val="21"/>
                <w:szCs w:val="21"/>
                <w:lang w:val="en-US" w:eastAsia="zh-CN"/>
              </w:rPr>
              <w:t>通过双方开户银行进行结算。每6个月为一个服务周期，经采购人验收合格后，每服务完一个服务周期且中标人完全履行合同义务，向采购人开具上一服务周期全额发票，采购人收到付款申请材料后30日内启动办理支付手续，采购人以转账方式向中标人支付对应服务费用款项。</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bookmarkStart w:id="87" w:name="OLE_LINK2"/>
            <w:r>
              <w:rPr>
                <w:rFonts w:hint="eastAsia" w:ascii="微软雅黑" w:hAnsi="微软雅黑" w:eastAsia="微软雅黑" w:cs="微软雅黑"/>
                <w:b w:val="0"/>
                <w:bCs w:val="0"/>
                <w:color w:val="auto"/>
                <w:kern w:val="0"/>
                <w:sz w:val="21"/>
                <w:szCs w:val="21"/>
                <w:lang w:val="en-US" w:eastAsia="zh-CN"/>
              </w:rPr>
              <w:t>短信服务自项目验收合格之日起，服务期限2年，短信成功发送累计费用总额上限38万元。若服务未满2年即达到费用上限，中标人可选择终止合同，如中标人自愿持续提供服务至2年期满，超出38万元额度产生的全部短信费用由中标人自行承担；若服务满2年无论费用是否达到38万元，合同自动终止。</w:t>
            </w:r>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宋体" w:hAnsi="宋体" w:cs="宋体"/>
                <w:b/>
                <w:bCs/>
                <w:color w:val="333333"/>
                <w:kern w:val="0"/>
                <w:sz w:val="24"/>
                <w:szCs w:val="24"/>
                <w:lang w:val="en-US" w:eastAsia="zh-CN"/>
              </w:rPr>
              <w:t>网络及信息安全要求</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1</w:t>
            </w:r>
            <w:r>
              <w:rPr>
                <w:rFonts w:hint="default" w:ascii="微软雅黑" w:hAnsi="微软雅黑" w:eastAsia="微软雅黑" w:cs="微软雅黑"/>
                <w:b w:val="0"/>
                <w:bCs w:val="0"/>
                <w:color w:val="auto"/>
                <w:kern w:val="0"/>
                <w:sz w:val="21"/>
                <w:szCs w:val="21"/>
                <w:lang w:val="en-US" w:eastAsia="zh-CN"/>
              </w:rPr>
              <w:t>.供应商须遵守医院各项网络安全、数据安全及个人信息保护管理制度。</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2</w:t>
            </w:r>
            <w:r>
              <w:rPr>
                <w:rFonts w:hint="default" w:ascii="微软雅黑" w:hAnsi="微软雅黑" w:eastAsia="微软雅黑" w:cs="微软雅黑"/>
                <w:b w:val="0"/>
                <w:bCs w:val="0"/>
                <w:color w:val="auto"/>
                <w:kern w:val="0"/>
                <w:sz w:val="21"/>
                <w:szCs w:val="21"/>
                <w:lang w:val="en-US" w:eastAsia="zh-CN"/>
              </w:rPr>
              <w:t>.</w:t>
            </w:r>
            <w:r>
              <w:rPr>
                <w:rFonts w:hint="eastAsia" w:ascii="微软雅黑" w:hAnsi="微软雅黑" w:eastAsia="微软雅黑" w:cs="微软雅黑"/>
                <w:b w:val="0"/>
                <w:bCs w:val="0"/>
                <w:color w:val="auto"/>
                <w:kern w:val="0"/>
                <w:sz w:val="21"/>
                <w:szCs w:val="21"/>
                <w:lang w:val="en-US" w:eastAsia="zh-CN"/>
              </w:rPr>
              <w:t>项目开工前供应商须提供《项目建设方案》，项目验收时供应商须提供《项目运维方案》，其中须包含独立的网络安全与数据安全章节。</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3</w:t>
            </w:r>
            <w:r>
              <w:rPr>
                <w:rFonts w:hint="default" w:ascii="微软雅黑" w:hAnsi="微软雅黑" w:eastAsia="微软雅黑" w:cs="微软雅黑"/>
                <w:b w:val="0"/>
                <w:bCs w:val="0"/>
                <w:color w:val="auto"/>
                <w:kern w:val="0"/>
                <w:sz w:val="21"/>
                <w:szCs w:val="21"/>
                <w:lang w:val="en-US" w:eastAsia="zh-CN"/>
              </w:rPr>
              <w:t>.</w:t>
            </w:r>
            <w:r>
              <w:rPr>
                <w:rFonts w:hint="eastAsia" w:ascii="微软雅黑" w:hAnsi="微软雅黑" w:eastAsia="微软雅黑" w:cs="微软雅黑"/>
                <w:b w:val="0"/>
                <w:bCs w:val="0"/>
                <w:color w:val="auto"/>
                <w:kern w:val="0"/>
                <w:sz w:val="21"/>
                <w:szCs w:val="21"/>
                <w:lang w:val="en-US" w:eastAsia="zh-CN"/>
              </w:rPr>
              <w:t>供应商须配合医院完成安全测试，对发现的漏洞按医院要求限期整改。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1.投标人必须在响应文件中对以上条款和服务承诺明确列出，承诺内容必须达到本篇及协商文件其他条款的要求。</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微软雅黑" w:hAnsi="微软雅黑" w:eastAsia="微软雅黑" w:cs="微软雅黑"/>
                <w:b w:val="0"/>
                <w:bCs w:val="0"/>
                <w:color w:val="auto"/>
                <w:kern w:val="0"/>
                <w:sz w:val="21"/>
                <w:szCs w:val="21"/>
                <w:lang w:val="en-US" w:eastAsia="zh-CN"/>
              </w:rPr>
            </w:pPr>
            <w:r>
              <w:rPr>
                <w:rFonts w:hint="eastAsia" w:ascii="微软雅黑" w:hAnsi="微软雅黑" w:eastAsia="微软雅黑" w:cs="微软雅黑"/>
                <w:b w:val="0"/>
                <w:bCs w:val="0"/>
                <w:color w:val="auto"/>
                <w:kern w:val="0"/>
                <w:sz w:val="21"/>
                <w:szCs w:val="21"/>
                <w:lang w:val="en-US" w:eastAsia="zh-CN"/>
              </w:rPr>
              <w:t>2.其他未尽事宜由供需双方在采购合同中详细约定。</w:t>
            </w:r>
          </w:p>
        </w:tc>
      </w:tr>
    </w:tbl>
    <w:p>
      <w:pPr>
        <w:rPr>
          <w:rFonts w:hint="eastAsia" w:ascii="微软雅黑" w:hAnsi="微软雅黑" w:eastAsia="微软雅黑" w:cs="微软雅黑"/>
          <w:b/>
          <w:sz w:val="44"/>
          <w:szCs w:val="20"/>
        </w:rPr>
      </w:pPr>
      <w:bookmarkStart w:id="88" w:name="_Toc6692"/>
      <w:bookmarkStart w:id="89" w:name="_Toc76462332"/>
      <w:bookmarkStart w:id="90" w:name="_Toc106030887"/>
      <w:r>
        <w:rPr>
          <w:rFonts w:hint="eastAsia" w:ascii="微软雅黑" w:hAnsi="微软雅黑" w:eastAsia="微软雅黑" w:cs="微软雅黑"/>
          <w:b/>
          <w:sz w:val="44"/>
          <w:szCs w:val="20"/>
        </w:rPr>
        <w:br w:type="page"/>
      </w:r>
    </w:p>
    <w:bookmarkEnd w:id="88"/>
    <w:bookmarkEnd w:id="89"/>
    <w:bookmarkEnd w:id="90"/>
    <w:p>
      <w:pPr>
        <w:pStyle w:val="2"/>
        <w:pageBreakBefore w:val="0"/>
        <w:spacing w:before="200" w:after="200" w:line="240" w:lineRule="auto"/>
        <w:jc w:val="center"/>
        <w:rPr>
          <w:rFonts w:hint="eastAsia" w:ascii="微软雅黑" w:hAnsi="微软雅黑" w:eastAsia="微软雅黑" w:cs="微软雅黑"/>
          <w:b/>
          <w:sz w:val="44"/>
          <w:szCs w:val="20"/>
        </w:rPr>
      </w:pPr>
      <w:bookmarkStart w:id="91" w:name="_Toc641"/>
      <w:bookmarkStart w:id="92" w:name="_Toc16738"/>
      <w:bookmarkStart w:id="93" w:name="_Toc32163"/>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91"/>
      <w:bookmarkEnd w:id="92"/>
      <w:bookmarkEnd w:id="93"/>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94" w:name="_Toc14958"/>
      <w:bookmarkStart w:id="95" w:name="_Toc5181"/>
      <w:bookmarkStart w:id="96" w:name="_Toc5379"/>
      <w:bookmarkStart w:id="97" w:name="_Toc26698"/>
      <w:bookmarkStart w:id="98" w:name="_Toc76462333"/>
      <w:bookmarkStart w:id="99" w:name="_Toc10603088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4"/>
      <w:bookmarkEnd w:id="95"/>
      <w:bookmarkEnd w:id="96"/>
      <w:bookmarkEnd w:id="97"/>
      <w:bookmarkEnd w:id="98"/>
      <w:bookmarkEnd w:id="9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00" w:name="_Toc27374"/>
      <w:r>
        <w:rPr>
          <w:rFonts w:hint="eastAsia" w:ascii="微软雅黑" w:hAnsi="微软雅黑" w:eastAsia="微软雅黑" w:cs="微软雅黑"/>
          <w:sz w:val="24"/>
        </w:rPr>
        <w:t>二、评标方法</w:t>
      </w:r>
      <w:bookmarkEnd w:id="100"/>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101" w:name="_Toc76462334"/>
      <w:bookmarkStart w:id="102" w:name="_Toc24315"/>
      <w:bookmarkStart w:id="103" w:name="_Toc30944"/>
      <w:bookmarkStart w:id="104" w:name="_Toc106030889"/>
      <w:bookmarkStart w:id="105" w:name="_Toc342913394"/>
      <w:bookmarkStart w:id="106" w:name="_Toc102227320"/>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该项目可在投标现场进行二次报价。</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01"/>
      <w:bookmarkEnd w:id="102"/>
      <w:bookmarkEnd w:id="103"/>
      <w:bookmarkEnd w:id="104"/>
    </w:p>
    <w:p>
      <w:pPr>
        <w:snapToGrid w:val="0"/>
        <w:spacing w:line="400" w:lineRule="exact"/>
        <w:ind w:firstLine="480" w:firstLineChars="200"/>
        <w:rPr>
          <w:rFonts w:hint="eastAsia" w:ascii="微软雅黑" w:hAnsi="微软雅黑" w:eastAsia="微软雅黑" w:cs="微软雅黑"/>
          <w:sz w:val="24"/>
          <w:szCs w:val="24"/>
        </w:rPr>
      </w:pPr>
      <w:bookmarkStart w:id="107" w:name="_Toc31497"/>
      <w:bookmarkStart w:id="108" w:name="_Toc106030890"/>
      <w:bookmarkStart w:id="109"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10" w:name="_Toc17606"/>
      <w:r>
        <w:rPr>
          <w:rFonts w:hint="eastAsia" w:ascii="微软雅黑" w:hAnsi="微软雅黑" w:eastAsia="微软雅黑" w:cs="微软雅黑"/>
          <w:sz w:val="24"/>
        </w:rPr>
        <w:t>四、无效响应</w:t>
      </w:r>
      <w:bookmarkEnd w:id="107"/>
      <w:bookmarkEnd w:id="108"/>
      <w:bookmarkEnd w:id="109"/>
      <w:bookmarkEnd w:id="11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11" w:name="_Toc76462336"/>
      <w:bookmarkStart w:id="112" w:name="_Toc10687"/>
      <w:bookmarkStart w:id="113" w:name="_Toc12222"/>
      <w:bookmarkStart w:id="114" w:name="_Toc106030891"/>
      <w:r>
        <w:rPr>
          <w:rFonts w:hint="eastAsia" w:ascii="微软雅黑" w:hAnsi="微软雅黑" w:eastAsia="微软雅黑" w:cs="微软雅黑"/>
          <w:sz w:val="24"/>
        </w:rPr>
        <w:t>五、</w:t>
      </w:r>
      <w:bookmarkEnd w:id="105"/>
      <w:bookmarkEnd w:id="106"/>
      <w:bookmarkEnd w:id="111"/>
      <w:bookmarkEnd w:id="112"/>
      <w:bookmarkEnd w:id="113"/>
      <w:bookmarkEnd w:id="114"/>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2"/>
        <w:pageBreakBefore w:val="0"/>
        <w:spacing w:before="200" w:after="200" w:line="240" w:lineRule="auto"/>
        <w:jc w:val="center"/>
        <w:rPr>
          <w:rFonts w:hint="eastAsia" w:ascii="微软雅黑" w:hAnsi="微软雅黑" w:eastAsia="微软雅黑" w:cs="微软雅黑"/>
          <w:b/>
          <w:bCs w:val="0"/>
          <w:sz w:val="44"/>
          <w:szCs w:val="20"/>
        </w:rPr>
      </w:pPr>
      <w:bookmarkStart w:id="115" w:name="_Toc102227313"/>
      <w:bookmarkStart w:id="116" w:name="_Toc106030892"/>
      <w:bookmarkStart w:id="117" w:name="_Toc12066"/>
      <w:bookmarkStart w:id="118" w:name="_Toc29948"/>
      <w:bookmarkStart w:id="119" w:name="_Toc76462337"/>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5"/>
      <w:bookmarkEnd w:id="116"/>
      <w:bookmarkEnd w:id="117"/>
      <w:bookmarkEnd w:id="118"/>
      <w:bookmarkEnd w:id="119"/>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20" w:name="_Toc26717"/>
      <w:bookmarkStart w:id="121" w:name="_Toc342913389"/>
      <w:bookmarkStart w:id="122" w:name="_Toc76462338"/>
      <w:bookmarkStart w:id="123" w:name="_Toc16988"/>
      <w:bookmarkStart w:id="124" w:name="_Toc10603089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20"/>
      <w:bookmarkEnd w:id="121"/>
      <w:bookmarkEnd w:id="122"/>
      <w:bookmarkEnd w:id="123"/>
      <w:bookmarkEnd w:id="124"/>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15712"/>
      <w:bookmarkStart w:id="126" w:name="_Toc31408"/>
      <w:bookmarkStart w:id="127" w:name="_Toc342913391"/>
      <w:bookmarkStart w:id="128" w:name="_Toc76462339"/>
      <w:bookmarkStart w:id="129" w:name="_Toc106030894"/>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5"/>
      <w:bookmarkEnd w:id="126"/>
      <w:bookmarkEnd w:id="127"/>
      <w:bookmarkEnd w:id="128"/>
      <w:bookmarkEnd w:id="129"/>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30" w:name="_Toc318159349"/>
      <w:bookmarkStart w:id="131" w:name="_Toc318166429"/>
      <w:bookmarkStart w:id="132" w:name="_Toc318159780"/>
      <w:bookmarkStart w:id="133" w:name="_Toc318159160"/>
    </w:p>
    <w:bookmarkEnd w:id="130"/>
    <w:bookmarkEnd w:id="131"/>
    <w:bookmarkEnd w:id="132"/>
    <w:bookmarkEnd w:id="133"/>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34" w:name="_Toc342913392"/>
      <w:bookmarkStart w:id="135" w:name="_Toc7643"/>
      <w:bookmarkStart w:id="136" w:name="_Toc102227318"/>
      <w:bookmarkStart w:id="137" w:name="_Toc76462340"/>
      <w:bookmarkStart w:id="138" w:name="_Toc106030895"/>
      <w:bookmarkStart w:id="139" w:name="_Toc26007"/>
      <w:bookmarkStart w:id="140" w:name="_Toc17971429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4"/>
      <w:bookmarkEnd w:id="135"/>
      <w:bookmarkEnd w:id="136"/>
      <w:bookmarkEnd w:id="137"/>
      <w:bookmarkEnd w:id="138"/>
      <w:bookmarkEnd w:id="139"/>
      <w:bookmarkEnd w:id="14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kern w:val="2"/>
          <w:sz w:val="24"/>
          <w:szCs w:val="20"/>
          <w:lang w:val="en-US" w:eastAsia="zh-CN" w:bidi="ar"/>
        </w:rPr>
        <w:t>1.响应文件一式六份，其中正本一份，副本五份，电子文档一份</w:t>
      </w:r>
      <w:r>
        <w:rPr>
          <w:rFonts w:hint="eastAsia" w:ascii="微软雅黑" w:hAnsi="微软雅黑" w:eastAsia="微软雅黑" w:cs="微软雅黑"/>
          <w:sz w:val="24"/>
          <w:szCs w:val="24"/>
        </w:rPr>
        <w:t>（</w:t>
      </w:r>
      <w:r>
        <w:rPr>
          <w:rFonts w:hint="eastAsia" w:ascii="微软雅黑" w:hAnsi="微软雅黑" w:eastAsia="微软雅黑" w:cs="微软雅黑"/>
          <w:b/>
          <w:bCs/>
          <w:sz w:val="24"/>
          <w:szCs w:val="24"/>
          <w:u w:val="single"/>
          <w:lang w:val="en-US" w:eastAsia="zh-CN"/>
        </w:rPr>
        <w:t>电子文档须将完整的响应文件</w:t>
      </w:r>
      <w:r>
        <w:rPr>
          <w:rFonts w:hint="eastAsia" w:ascii="微软雅黑" w:hAnsi="微软雅黑" w:eastAsia="微软雅黑" w:cs="微软雅黑"/>
          <w:b/>
          <w:bCs/>
          <w:sz w:val="24"/>
          <w:szCs w:val="24"/>
          <w:u w:val="single"/>
        </w:rPr>
        <w:t>正本PDF版上传到电子招投标平台</w:t>
      </w:r>
      <w:r>
        <w:rPr>
          <w:rFonts w:hint="eastAsia" w:ascii="微软雅黑" w:hAnsi="微软雅黑" w:eastAsia="微软雅黑" w:cs="微软雅黑"/>
          <w:b/>
          <w:bCs/>
          <w:sz w:val="24"/>
          <w:szCs w:val="24"/>
          <w:u w:val="single"/>
          <w:lang w:eastAsia="zh-CN"/>
        </w:rPr>
        <w:t>，</w:t>
      </w:r>
      <w:r>
        <w:rPr>
          <w:rFonts w:hint="eastAsia" w:ascii="微软雅黑" w:hAnsi="微软雅黑" w:eastAsia="微软雅黑" w:cs="微软雅黑"/>
          <w:b/>
          <w:bCs/>
          <w:sz w:val="24"/>
          <w:szCs w:val="24"/>
          <w:u w:val="single"/>
          <w:lang w:val="en-US" w:eastAsia="zh-CN"/>
        </w:rPr>
        <w:t>如电子文档与纸质响应文件的实质性内容出现差异，则视为未报名成功</w:t>
      </w:r>
      <w:r>
        <w:rPr>
          <w:rFonts w:hint="eastAsia" w:ascii="微软雅黑" w:hAnsi="微软雅黑" w:eastAsia="微软雅黑" w:cs="微软雅黑"/>
          <w:sz w:val="24"/>
          <w:szCs w:val="24"/>
        </w:rPr>
        <w:t>）</w:t>
      </w:r>
      <w:r>
        <w:rPr>
          <w:rFonts w:hint="eastAsia" w:ascii="微软雅黑" w:hAnsi="微软雅黑" w:eastAsia="微软雅黑" w:cs="微软雅黑"/>
          <w:kern w:val="2"/>
          <w:sz w:val="24"/>
          <w:szCs w:val="20"/>
          <w:lang w:val="en-US" w:eastAsia="zh-CN" w:bidi="ar"/>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106030896"/>
      <w:bookmarkStart w:id="142" w:name="_Toc10580"/>
      <w:bookmarkStart w:id="143" w:name="_Toc6435"/>
      <w:bookmarkStart w:id="144"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1"/>
      <w:bookmarkEnd w:id="142"/>
      <w:bookmarkEnd w:id="143"/>
      <w:bookmarkEnd w:id="144"/>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45" w:name="_Toc102227321"/>
      <w:bookmarkStart w:id="146" w:name="_Toc106030897"/>
      <w:bookmarkStart w:id="147" w:name="_Toc342913395"/>
      <w:bookmarkStart w:id="148" w:name="_Toc76462342"/>
      <w:bookmarkStart w:id="149" w:name="_Toc21532"/>
      <w:bookmarkStart w:id="150" w:name="_Toc23469"/>
      <w:r>
        <w:rPr>
          <w:rFonts w:hint="eastAsia" w:ascii="微软雅黑" w:hAnsi="微软雅黑" w:eastAsia="微软雅黑" w:cs="微软雅黑"/>
          <w:sz w:val="24"/>
        </w:rPr>
        <w:t>五、成交通知</w:t>
      </w:r>
      <w:bookmarkEnd w:id="145"/>
      <w:bookmarkEnd w:id="146"/>
      <w:bookmarkEnd w:id="147"/>
      <w:bookmarkEnd w:id="148"/>
      <w:bookmarkEnd w:id="149"/>
      <w:bookmarkEnd w:id="15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2"/>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21448"/>
      <w:bookmarkStart w:id="152" w:name="_Toc27460"/>
      <w:bookmarkStart w:id="153" w:name="_Toc76462343"/>
      <w:bookmarkStart w:id="154" w:name="_Toc106030898"/>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1"/>
      <w:bookmarkEnd w:id="152"/>
      <w:bookmarkEnd w:id="153"/>
      <w:bookmarkEnd w:id="1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5" w:name="_Toc76462344"/>
      <w:bookmarkStart w:id="156" w:name="_Toc106030899"/>
      <w:bookmarkStart w:id="157" w:name="_Toc28334"/>
    </w:p>
    <w:p>
      <w:pPr>
        <w:pStyle w:val="2"/>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8" w:name="_Toc660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5"/>
      <w:bookmarkEnd w:id="156"/>
      <w:bookmarkEnd w:id="157"/>
      <w:bookmarkStart w:id="159" w:name="_Toc102227322"/>
      <w:bookmarkStart w:id="160" w:name="_Toc3372"/>
      <w:bookmarkStart w:id="161" w:name="_Toc342913396"/>
      <w:bookmarkStart w:id="162" w:name="_Toc76462346"/>
      <w:bookmarkStart w:id="163" w:name="_Toc106030901"/>
      <w:bookmarkStart w:id="164" w:name="_Toc12789059"/>
      <w:bookmarkStart w:id="165" w:name="_Toc11641055"/>
      <w:r>
        <w:rPr>
          <w:rFonts w:hint="eastAsia" w:ascii="微软雅黑" w:hAnsi="微软雅黑" w:eastAsia="微软雅黑" w:cs="微软雅黑"/>
          <w:color w:val="auto"/>
          <w:sz w:val="24"/>
        </w:rPr>
        <w:t>签订</w:t>
      </w:r>
      <w:bookmarkEnd w:id="159"/>
      <w:r>
        <w:rPr>
          <w:rFonts w:hint="eastAsia" w:ascii="微软雅黑" w:hAnsi="微软雅黑" w:eastAsia="微软雅黑" w:cs="微软雅黑"/>
          <w:color w:val="auto"/>
          <w:sz w:val="24"/>
        </w:rPr>
        <w:t>合同</w:t>
      </w:r>
      <w:bookmarkEnd w:id="158"/>
      <w:bookmarkEnd w:id="160"/>
      <w:bookmarkEnd w:id="161"/>
      <w:bookmarkEnd w:id="162"/>
      <w:bookmarkEnd w:id="163"/>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4"/>
      <w:bookmarkEnd w:id="165"/>
    </w:p>
    <w:p>
      <w:pPr>
        <w:pStyle w:val="2"/>
        <w:spacing w:before="200" w:after="200" w:line="240" w:lineRule="auto"/>
        <w:jc w:val="center"/>
        <w:rPr>
          <w:rFonts w:hint="eastAsia" w:ascii="微软雅黑" w:hAnsi="微软雅黑" w:eastAsia="微软雅黑" w:cs="微软雅黑"/>
          <w:b/>
          <w:sz w:val="44"/>
          <w:szCs w:val="20"/>
        </w:rPr>
      </w:pPr>
      <w:bookmarkStart w:id="166" w:name="_Hlt41879464"/>
      <w:bookmarkEnd w:id="166"/>
      <w:bookmarkStart w:id="167" w:name="_Toc76462349"/>
      <w:bookmarkStart w:id="168" w:name="_Toc106030905"/>
      <w:bookmarkStart w:id="169" w:name="_Toc17106"/>
      <w:bookmarkStart w:id="170" w:name="_Toc27984"/>
      <w:r>
        <w:rPr>
          <w:rFonts w:hint="eastAsia" w:ascii="微软雅黑" w:hAnsi="微软雅黑" w:eastAsia="微软雅黑" w:cs="微软雅黑"/>
          <w:b/>
          <w:sz w:val="44"/>
          <w:szCs w:val="20"/>
        </w:rPr>
        <w:t>第六篇  响应文件编制要求</w:t>
      </w:r>
      <w:bookmarkEnd w:id="167"/>
      <w:bookmarkEnd w:id="168"/>
      <w:bookmarkEnd w:id="169"/>
      <w:bookmarkEnd w:id="17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3"/>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79B568B"/>
    <w:rsid w:val="07F103E0"/>
    <w:rsid w:val="092E6FC0"/>
    <w:rsid w:val="0A823A37"/>
    <w:rsid w:val="0AC159DE"/>
    <w:rsid w:val="0ACD0F93"/>
    <w:rsid w:val="0B264DAA"/>
    <w:rsid w:val="0B4077B6"/>
    <w:rsid w:val="0B51119F"/>
    <w:rsid w:val="0BB87E47"/>
    <w:rsid w:val="0BC54681"/>
    <w:rsid w:val="0D1F249B"/>
    <w:rsid w:val="0E727B5D"/>
    <w:rsid w:val="10DB6AB4"/>
    <w:rsid w:val="11EB1626"/>
    <w:rsid w:val="147A5E14"/>
    <w:rsid w:val="14D956BC"/>
    <w:rsid w:val="15935DB5"/>
    <w:rsid w:val="15BB3449"/>
    <w:rsid w:val="17351C20"/>
    <w:rsid w:val="1788079A"/>
    <w:rsid w:val="178B1D79"/>
    <w:rsid w:val="17A1211B"/>
    <w:rsid w:val="17AB7425"/>
    <w:rsid w:val="18ED7A84"/>
    <w:rsid w:val="19255AF5"/>
    <w:rsid w:val="193B151F"/>
    <w:rsid w:val="198C43BA"/>
    <w:rsid w:val="1A7E6296"/>
    <w:rsid w:val="1C5F6A76"/>
    <w:rsid w:val="1D004156"/>
    <w:rsid w:val="1F0D01CA"/>
    <w:rsid w:val="1FB23339"/>
    <w:rsid w:val="20FD7945"/>
    <w:rsid w:val="210746C9"/>
    <w:rsid w:val="21084818"/>
    <w:rsid w:val="21667FDB"/>
    <w:rsid w:val="21864056"/>
    <w:rsid w:val="21F05643"/>
    <w:rsid w:val="223427F4"/>
    <w:rsid w:val="224815AE"/>
    <w:rsid w:val="2486441F"/>
    <w:rsid w:val="25707285"/>
    <w:rsid w:val="271F65A2"/>
    <w:rsid w:val="2A7C79AC"/>
    <w:rsid w:val="2AA01F44"/>
    <w:rsid w:val="2CC005E5"/>
    <w:rsid w:val="2E2D3EDF"/>
    <w:rsid w:val="300C58E0"/>
    <w:rsid w:val="30B221E5"/>
    <w:rsid w:val="312A07C2"/>
    <w:rsid w:val="31ED6DCC"/>
    <w:rsid w:val="332D1E43"/>
    <w:rsid w:val="33564527"/>
    <w:rsid w:val="34CF6884"/>
    <w:rsid w:val="35397720"/>
    <w:rsid w:val="359927BC"/>
    <w:rsid w:val="38141CAD"/>
    <w:rsid w:val="39AA75C6"/>
    <w:rsid w:val="39C353F8"/>
    <w:rsid w:val="3AA74FA8"/>
    <w:rsid w:val="3AC32089"/>
    <w:rsid w:val="3ACE5D4F"/>
    <w:rsid w:val="3AE823A9"/>
    <w:rsid w:val="3B2B6884"/>
    <w:rsid w:val="3C045DD1"/>
    <w:rsid w:val="3C55524B"/>
    <w:rsid w:val="3CD2331B"/>
    <w:rsid w:val="3D175F93"/>
    <w:rsid w:val="3D525F31"/>
    <w:rsid w:val="3DF6488D"/>
    <w:rsid w:val="3E3B40E7"/>
    <w:rsid w:val="3EEC6CD3"/>
    <w:rsid w:val="3F120674"/>
    <w:rsid w:val="3F1C71CA"/>
    <w:rsid w:val="3FDB0AF9"/>
    <w:rsid w:val="406334F2"/>
    <w:rsid w:val="409F14A1"/>
    <w:rsid w:val="415F6EA3"/>
    <w:rsid w:val="41B20BF4"/>
    <w:rsid w:val="42395B6E"/>
    <w:rsid w:val="423A7D1B"/>
    <w:rsid w:val="452C7897"/>
    <w:rsid w:val="45C76B65"/>
    <w:rsid w:val="47690EAD"/>
    <w:rsid w:val="479F10AA"/>
    <w:rsid w:val="48794403"/>
    <w:rsid w:val="487A6880"/>
    <w:rsid w:val="48CC3872"/>
    <w:rsid w:val="492B622D"/>
    <w:rsid w:val="494B5EE6"/>
    <w:rsid w:val="494C6B8D"/>
    <w:rsid w:val="497B7CB3"/>
    <w:rsid w:val="49DD37B6"/>
    <w:rsid w:val="4AA8351C"/>
    <w:rsid w:val="4B2D12E0"/>
    <w:rsid w:val="4B303151"/>
    <w:rsid w:val="4BEB6B31"/>
    <w:rsid w:val="4D4E307F"/>
    <w:rsid w:val="4DD36371"/>
    <w:rsid w:val="4F070047"/>
    <w:rsid w:val="4F3C244F"/>
    <w:rsid w:val="50F458C0"/>
    <w:rsid w:val="51073809"/>
    <w:rsid w:val="5115115D"/>
    <w:rsid w:val="521E4A24"/>
    <w:rsid w:val="52D92ACB"/>
    <w:rsid w:val="52D93D20"/>
    <w:rsid w:val="53B4776F"/>
    <w:rsid w:val="53DF1E3A"/>
    <w:rsid w:val="558E730F"/>
    <w:rsid w:val="568C5652"/>
    <w:rsid w:val="57857077"/>
    <w:rsid w:val="57EF5962"/>
    <w:rsid w:val="591D2811"/>
    <w:rsid w:val="596B5247"/>
    <w:rsid w:val="5B9C3E91"/>
    <w:rsid w:val="5CA67F0E"/>
    <w:rsid w:val="5FD8265A"/>
    <w:rsid w:val="600122C5"/>
    <w:rsid w:val="60E05AE3"/>
    <w:rsid w:val="614516F9"/>
    <w:rsid w:val="61625D90"/>
    <w:rsid w:val="632C5478"/>
    <w:rsid w:val="632D2DD6"/>
    <w:rsid w:val="63741655"/>
    <w:rsid w:val="63771B5C"/>
    <w:rsid w:val="639D20F7"/>
    <w:rsid w:val="65C328F3"/>
    <w:rsid w:val="66246E50"/>
    <w:rsid w:val="67A04914"/>
    <w:rsid w:val="68BD663A"/>
    <w:rsid w:val="692F74C0"/>
    <w:rsid w:val="69537A0E"/>
    <w:rsid w:val="696405DD"/>
    <w:rsid w:val="6A232BBB"/>
    <w:rsid w:val="6B26444A"/>
    <w:rsid w:val="6B2E5407"/>
    <w:rsid w:val="6C836C74"/>
    <w:rsid w:val="6D934B95"/>
    <w:rsid w:val="6DDF6239"/>
    <w:rsid w:val="6F4859CD"/>
    <w:rsid w:val="6FE969BF"/>
    <w:rsid w:val="70003319"/>
    <w:rsid w:val="701245F9"/>
    <w:rsid w:val="71175C34"/>
    <w:rsid w:val="71342D51"/>
    <w:rsid w:val="71844469"/>
    <w:rsid w:val="747D277F"/>
    <w:rsid w:val="74D70DF7"/>
    <w:rsid w:val="750950F5"/>
    <w:rsid w:val="750D16CF"/>
    <w:rsid w:val="77557570"/>
    <w:rsid w:val="789F3DA6"/>
    <w:rsid w:val="78A52377"/>
    <w:rsid w:val="78EF15F1"/>
    <w:rsid w:val="79082185"/>
    <w:rsid w:val="7A6F77AB"/>
    <w:rsid w:val="7A98155F"/>
    <w:rsid w:val="7AAC4823"/>
    <w:rsid w:val="7B5B7497"/>
    <w:rsid w:val="7BEF5F10"/>
    <w:rsid w:val="7DF1049E"/>
    <w:rsid w:val="7E2157D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2">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adjustRightInd w:val="0"/>
      <w:snapToGrid w:val="0"/>
      <w:spacing w:line="360" w:lineRule="auto"/>
      <w:ind w:left="100" w:leftChars="400" w:hanging="200" w:hangingChars="200"/>
    </w:pPr>
    <w:rPr>
      <w:sz w:val="24"/>
    </w:rPr>
  </w:style>
  <w:style w:type="paragraph" w:styleId="12">
    <w:name w:val="toc 7"/>
    <w:basedOn w:val="1"/>
    <w:next w:val="1"/>
    <w:qFormat/>
    <w:uiPriority w:val="0"/>
    <w:pPr>
      <w:ind w:left="2520" w:leftChars="1200"/>
    </w:pPr>
  </w:style>
  <w:style w:type="paragraph" w:styleId="13">
    <w:name w:val="List Number 2"/>
    <w:basedOn w:val="1"/>
    <w:qFormat/>
    <w:uiPriority w:val="0"/>
    <w:pPr>
      <w:numPr>
        <w:ilvl w:val="0"/>
        <w:numId w:val="1"/>
      </w:numPr>
      <w:tabs>
        <w:tab w:val="left" w:pos="780"/>
        <w:tab w:val="clear" w:pos="425"/>
      </w:tabs>
      <w:spacing w:line="360" w:lineRule="auto"/>
    </w:pPr>
    <w:rPr>
      <w:sz w:val="24"/>
    </w:rPr>
  </w:style>
  <w:style w:type="paragraph" w:styleId="14">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5">
    <w:name w:val="Normal Indent"/>
    <w:basedOn w:val="1"/>
    <w:qFormat/>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qFormat/>
    <w:uiPriority w:val="0"/>
    <w:pPr>
      <w:shd w:val="clear" w:color="auto" w:fill="000080"/>
    </w:pPr>
  </w:style>
  <w:style w:type="paragraph" w:styleId="18">
    <w:name w:val="toa heading"/>
    <w:basedOn w:val="1"/>
    <w:next w:val="1"/>
    <w:qFormat/>
    <w:uiPriority w:val="0"/>
    <w:pPr>
      <w:spacing w:before="120" w:beforeLines="0"/>
    </w:pPr>
    <w:rPr>
      <w:rFonts w:ascii="Arial" w:hAnsi="Arial"/>
      <w:sz w:val="24"/>
    </w:rPr>
  </w:style>
  <w:style w:type="paragraph" w:styleId="19">
    <w:name w:val="annotation text"/>
    <w:basedOn w:val="1"/>
    <w:link w:val="72"/>
    <w:qFormat/>
    <w:uiPriority w:val="0"/>
    <w:pPr>
      <w:adjustRightInd w:val="0"/>
      <w:spacing w:line="360" w:lineRule="atLeast"/>
      <w:jc w:val="left"/>
      <w:textAlignment w:val="baseline"/>
    </w:pPr>
    <w:rPr>
      <w:kern w:val="0"/>
      <w:sz w:val="24"/>
    </w:rPr>
  </w:style>
  <w:style w:type="paragraph" w:styleId="20">
    <w:name w:val="Body Text 3"/>
    <w:basedOn w:val="1"/>
    <w:qFormat/>
    <w:uiPriority w:val="0"/>
    <w:pPr>
      <w:adjustRightInd w:val="0"/>
      <w:snapToGrid w:val="0"/>
      <w:spacing w:after="120" w:afterLines="0" w:afterAutospacing="0" w:line="360" w:lineRule="auto"/>
    </w:pPr>
    <w:rPr>
      <w:sz w:val="16"/>
    </w:rPr>
  </w:style>
  <w:style w:type="paragraph" w:styleId="21">
    <w:name w:val="List Bullet 3"/>
    <w:basedOn w:val="1"/>
    <w:qFormat/>
    <w:uiPriority w:val="0"/>
    <w:pPr>
      <w:numPr>
        <w:ilvl w:val="0"/>
        <w:numId w:val="3"/>
      </w:numPr>
      <w:adjustRightInd w:val="0"/>
      <w:snapToGrid w:val="0"/>
      <w:spacing w:line="360" w:lineRule="auto"/>
    </w:pPr>
    <w:rPr>
      <w:sz w:val="24"/>
    </w:rPr>
  </w:style>
  <w:style w:type="paragraph" w:styleId="22">
    <w:name w:val="Body Text"/>
    <w:basedOn w:val="1"/>
    <w:next w:val="1"/>
    <w:qFormat/>
    <w:uiPriority w:val="0"/>
    <w:rPr>
      <w:rFonts w:ascii="仿宋_GB2312" w:eastAsia="仿宋_GB2312"/>
      <w:sz w:val="32"/>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6"/>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19"/>
    <w:next w:val="19"/>
    <w:link w:val="77"/>
    <w:qFormat/>
    <w:uiPriority w:val="0"/>
    <w:pPr>
      <w:adjustRightInd/>
      <w:spacing w:line="240" w:lineRule="auto"/>
      <w:textAlignment w:val="auto"/>
    </w:pPr>
  </w:style>
  <w:style w:type="paragraph" w:styleId="55">
    <w:name w:val="Body Text First Indent"/>
    <w:basedOn w:val="1"/>
    <w:next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2"/>
    <w:qFormat/>
    <w:uiPriority w:val="0"/>
    <w:rPr>
      <w:rFonts w:ascii="Arial" w:hAnsi="Arial" w:eastAsia="黑体"/>
      <w:b/>
      <w:kern w:val="2"/>
      <w:sz w:val="32"/>
    </w:rPr>
  </w:style>
  <w:style w:type="character" w:customStyle="1" w:styleId="71">
    <w:name w:val="标题 3 Char"/>
    <w:link w:val="4"/>
    <w:qFormat/>
    <w:uiPriority w:val="0"/>
    <w:rPr>
      <w:rFonts w:eastAsia="宋体"/>
      <w:b/>
      <w:kern w:val="2"/>
      <w:sz w:val="32"/>
      <w:lang w:val="en-US" w:eastAsia="zh-CN"/>
    </w:rPr>
  </w:style>
  <w:style w:type="character" w:customStyle="1" w:styleId="72">
    <w:name w:val="批注文字 Char"/>
    <w:link w:val="19"/>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4"/>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2"/>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5"/>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7"/>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7"/>
    <w:qFormat/>
    <w:uiPriority w:val="0"/>
    <w:rPr>
      <w:rFonts w:ascii="宋体" w:hAnsi="Tahoma"/>
    </w:rPr>
  </w:style>
  <w:style w:type="paragraph" w:customStyle="1" w:styleId="147">
    <w:name w:val="样式 标题 6第五层条 + 三号 段前: 0.5 行"/>
    <w:basedOn w:val="7"/>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5"/>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4"/>
    <w:qFormat/>
    <w:uiPriority w:val="0"/>
    <w:pPr>
      <w:numPr>
        <w:ilvl w:val="2"/>
        <w:numId w:val="2"/>
      </w:numPr>
      <w:tabs>
        <w:tab w:val="left" w:pos="709"/>
        <w:tab w:val="left" w:pos="1620"/>
      </w:tabs>
      <w:spacing w:line="413" w:lineRule="auto"/>
    </w:pPr>
  </w:style>
  <w:style w:type="paragraph" w:customStyle="1" w:styleId="175">
    <w:name w:val="样式4"/>
    <w:basedOn w:val="5"/>
    <w:qFormat/>
    <w:uiPriority w:val="0"/>
    <w:pPr>
      <w:adjustRightInd w:val="0"/>
      <w:snapToGrid w:val="0"/>
    </w:pPr>
  </w:style>
  <w:style w:type="paragraph" w:customStyle="1" w:styleId="176">
    <w:name w:val="摘要"/>
    <w:basedOn w:val="1"/>
    <w:next w:val="2"/>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5"/>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11</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2026-09-03T01:33:48Z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6B5EB5377A2141929531074515C26EFD</vt:lpwstr>
  </property>
</Properties>
</file>