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BBA0FF3">
      <w:pPr>
        <w:jc w:val="center"/>
        <w:rPr>
          <w:rFonts w:hint="eastAsia" w:ascii="微软雅黑" w:hAnsi="微软雅黑" w:eastAsia="微软雅黑" w:cs="微软雅黑"/>
        </w:rPr>
      </w:pPr>
    </w:p>
    <w:p w14:paraId="31D60E1E">
      <w:pPr>
        <w:spacing w:line="1600" w:lineRule="exact"/>
        <w:jc w:val="center"/>
        <w:outlineLvl w:val="0"/>
        <w:rPr>
          <w:rFonts w:hint="eastAsia" w:ascii="微软雅黑" w:hAnsi="微软雅黑" w:eastAsia="微软雅黑" w:cs="微软雅黑"/>
          <w:sz w:val="100"/>
        </w:rPr>
      </w:pPr>
    </w:p>
    <w:p w14:paraId="45661CB9">
      <w:pPr>
        <w:pStyle w:val="69"/>
        <w:rPr>
          <w:rFonts w:hint="eastAsia" w:ascii="微软雅黑" w:hAnsi="微软雅黑" w:eastAsia="微软雅黑" w:cs="微软雅黑"/>
        </w:rPr>
      </w:pPr>
    </w:p>
    <w:p w14:paraId="56CA9396">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14:paraId="2C419E99">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14:paraId="0F8A6458">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b w:val="0"/>
          <w:kern w:val="2"/>
          <w:sz w:val="44"/>
          <w:szCs w:val="44"/>
          <w:lang w:val="en-US" w:eastAsia="zh-CN" w:bidi="ar-SA"/>
        </w:rPr>
      </w:pPr>
      <w:r>
        <w:rPr>
          <w:rFonts w:hint="eastAsia" w:ascii="微软雅黑" w:hAnsi="微软雅黑" w:eastAsia="微软雅黑" w:cs="微软雅黑"/>
          <w:b w:val="0"/>
          <w:kern w:val="2"/>
          <w:sz w:val="130"/>
          <w:szCs w:val="130"/>
          <w:lang w:val="en-US" w:eastAsia="zh-CN" w:bidi="ar-SA"/>
        </w:rPr>
        <w:t xml:space="preserve">   </w:t>
      </w:r>
    </w:p>
    <w:p w14:paraId="4CD937E1">
      <w:pPr>
        <w:pStyle w:val="70"/>
        <w:rPr>
          <w:rFonts w:hint="eastAsia" w:ascii="微软雅黑" w:hAnsi="微软雅黑" w:eastAsia="微软雅黑" w:cs="微软雅黑"/>
          <w:b w:val="0"/>
          <w:kern w:val="2"/>
          <w:sz w:val="44"/>
          <w:szCs w:val="44"/>
          <w:lang w:val="en-US" w:eastAsia="zh-CN" w:bidi="ar-SA"/>
        </w:rPr>
      </w:pPr>
    </w:p>
    <w:p w14:paraId="1A18BB9A">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YXX260525</w:t>
      </w:r>
    </w:p>
    <w:p w14:paraId="4D0CA029">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儿童语言障碍测量管理系统报告</w:t>
      </w:r>
    </w:p>
    <w:p w14:paraId="5FAA8D0E">
      <w:pPr>
        <w:spacing w:line="700" w:lineRule="exact"/>
        <w:jc w:val="both"/>
        <w:rPr>
          <w:rFonts w:hint="eastAsia" w:ascii="微软雅黑" w:hAnsi="微软雅黑" w:eastAsia="微软雅黑" w:cs="微软雅黑"/>
          <w:b/>
          <w:sz w:val="36"/>
          <w:szCs w:val="36"/>
        </w:rPr>
      </w:pPr>
    </w:p>
    <w:p w14:paraId="16B0979B">
      <w:pPr>
        <w:spacing w:line="500" w:lineRule="exact"/>
        <w:jc w:val="center"/>
        <w:outlineLvl w:val="0"/>
        <w:rPr>
          <w:rFonts w:hint="eastAsia" w:ascii="微软雅黑" w:hAnsi="微软雅黑" w:eastAsia="微软雅黑" w:cs="微软雅黑"/>
          <w:sz w:val="36"/>
          <w:szCs w:val="36"/>
        </w:rPr>
      </w:pPr>
    </w:p>
    <w:p w14:paraId="6161106E">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14:paraId="627F1653">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10</w:t>
      </w:r>
      <w:r>
        <w:rPr>
          <w:rFonts w:hint="eastAsia" w:ascii="微软雅黑" w:hAnsi="微软雅黑" w:eastAsia="微软雅黑" w:cs="微软雅黑"/>
          <w:sz w:val="36"/>
          <w:szCs w:val="36"/>
        </w:rPr>
        <w:t>月</w:t>
      </w:r>
    </w:p>
    <w:p w14:paraId="693EEAC8">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14:paraId="51D325A6">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14:paraId="63ABE0C6">
      <w:pPr>
        <w:pStyle w:val="46"/>
        <w:tabs>
          <w:tab w:val="right" w:leader="dot" w:pos="9412"/>
        </w:tabs>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7621F29C">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6EE6602">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AF18059">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E9EC568">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0CBC2444">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553E1A73">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7852619">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7697A4B">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2227C4D">
      <w:pPr>
        <w:pStyle w:val="46"/>
        <w:tabs>
          <w:tab w:val="right" w:leader="dot" w:pos="9412"/>
        </w:tabs>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5BA67400">
      <w:pPr>
        <w:pStyle w:val="46"/>
        <w:tabs>
          <w:tab w:val="right" w:leader="dot" w:pos="9412"/>
        </w:tabs>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82F540E">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1897E22">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517A48C">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eastAsia="zh-CN"/>
        </w:rPr>
        <w:t>本</w:t>
      </w:r>
      <w:r>
        <w:rPr>
          <w:rFonts w:hint="eastAsia" w:ascii="微软雅黑" w:hAnsi="微软雅黑" w:eastAsia="微软雅黑" w:cs="微软雅黑"/>
          <w:bCs w:val="0"/>
          <w:sz w:val="24"/>
          <w:szCs w:val="24"/>
          <w:lang w:val="en-US" w:eastAsia="zh-CN"/>
        </w:rPr>
        <w:t>项目投标人可在投标现场进行第二次报价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_Toc28037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0F63AA87">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6BBDE19">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6EE7B7F">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B18C6B3">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B2372B7">
      <w:pPr>
        <w:pStyle w:val="46"/>
        <w:tabs>
          <w:tab w:val="right" w:leader="dot" w:pos="9412"/>
        </w:tabs>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B1BD788">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D0078D0">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554732E2">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742E8378">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4007702">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BFF8A50">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7C15F49">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721AA8F">
      <w:pPr>
        <w:pStyle w:val="46"/>
        <w:tabs>
          <w:tab w:val="right" w:leader="dot" w:pos="9412"/>
        </w:tabs>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B4E5864">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D029F50">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C39C953">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B4CBAF2">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524F5FC">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61FA4D8">
      <w:pPr>
        <w:pStyle w:val="46"/>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14:paraId="2AABBF3B">
      <w:pPr>
        <w:pStyle w:val="5"/>
        <w:spacing w:before="200" w:after="200" w:line="240" w:lineRule="auto"/>
        <w:jc w:val="center"/>
        <w:rPr>
          <w:rFonts w:hint="eastAsia" w:ascii="微软雅黑" w:hAnsi="微软雅黑" w:eastAsia="微软雅黑" w:cs="微软雅黑"/>
          <w:b/>
          <w:sz w:val="44"/>
          <w:szCs w:val="20"/>
        </w:rPr>
      </w:pPr>
      <w:bookmarkStart w:id="0" w:name="_Toc11153"/>
      <w:bookmarkStart w:id="1" w:name="_Toc76462316"/>
      <w:bookmarkStart w:id="2" w:name="_Toc11641050"/>
      <w:bookmarkStart w:id="3" w:name="_Toc12789052"/>
      <w:bookmarkStart w:id="4" w:name="_Toc106030870"/>
      <w:bookmarkStart w:id="5" w:name="_Toc24037"/>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14:paraId="5F04E28F">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儿童语言障碍测量管理系统报告</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14:paraId="5F50C08B">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106030871"/>
      <w:bookmarkStart w:id="7" w:name="_Toc3856"/>
      <w:bookmarkStart w:id="8" w:name="_Toc22314"/>
      <w:bookmarkStart w:id="9" w:name="_Toc76462317"/>
      <w:bookmarkStart w:id="10" w:name="_Toc313893526"/>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468"/>
        <w:gridCol w:w="2002"/>
        <w:gridCol w:w="1155"/>
        <w:gridCol w:w="1905"/>
      </w:tblGrid>
      <w:tr w14:paraId="7405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5" w:type="pct"/>
            <w:tcBorders>
              <w:top w:val="single" w:color="auto" w:sz="4" w:space="0"/>
              <w:left w:val="single" w:color="auto" w:sz="4" w:space="0"/>
              <w:right w:val="single" w:color="auto" w:sz="4" w:space="0"/>
            </w:tcBorders>
            <w:noWrap w:val="0"/>
            <w:vAlign w:val="center"/>
          </w:tcPr>
          <w:p w14:paraId="34B7606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378" w:type="pct"/>
            <w:tcBorders>
              <w:top w:val="single" w:color="auto" w:sz="4" w:space="0"/>
              <w:left w:val="single" w:color="auto" w:sz="4" w:space="0"/>
              <w:right w:val="single" w:color="auto" w:sz="4" w:space="0"/>
            </w:tcBorders>
            <w:noWrap w:val="0"/>
            <w:vAlign w:val="center"/>
          </w:tcPr>
          <w:p w14:paraId="0309730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117" w:type="pct"/>
            <w:tcBorders>
              <w:top w:val="single" w:color="auto" w:sz="4" w:space="0"/>
              <w:left w:val="single" w:color="auto" w:sz="4" w:space="0"/>
              <w:right w:val="single" w:color="auto" w:sz="4" w:space="0"/>
            </w:tcBorders>
            <w:noWrap w:val="0"/>
            <w:vAlign w:val="center"/>
          </w:tcPr>
          <w:p w14:paraId="2020B4AA">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r>
              <w:rPr>
                <w:rFonts w:hint="eastAsia" w:ascii="微软雅黑" w:hAnsi="微软雅黑" w:eastAsia="微软雅黑" w:cs="微软雅黑"/>
                <w:b/>
                <w:bCs/>
                <w:kern w:val="0"/>
                <w:sz w:val="21"/>
                <w:szCs w:val="24"/>
                <w:lang w:val="en-US" w:eastAsia="zh-CN"/>
              </w:rPr>
              <w:t>最高限价（万元）</w:t>
            </w:r>
          </w:p>
        </w:tc>
        <w:tc>
          <w:tcPr>
            <w:tcW w:w="644" w:type="pct"/>
            <w:tcBorders>
              <w:top w:val="single" w:color="auto" w:sz="4" w:space="0"/>
              <w:left w:val="single" w:color="auto" w:sz="4" w:space="0"/>
              <w:right w:val="single" w:color="auto" w:sz="4" w:space="0"/>
            </w:tcBorders>
            <w:noWrap w:val="0"/>
            <w:vAlign w:val="center"/>
          </w:tcPr>
          <w:p w14:paraId="09A179C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14:paraId="36985263">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63" w:type="pct"/>
            <w:tcBorders>
              <w:top w:val="single" w:color="auto" w:sz="4" w:space="0"/>
              <w:left w:val="single" w:color="auto" w:sz="4" w:space="0"/>
              <w:right w:val="single" w:color="auto" w:sz="4" w:space="0"/>
            </w:tcBorders>
            <w:noWrap w:val="0"/>
            <w:vAlign w:val="center"/>
          </w:tcPr>
          <w:p w14:paraId="502D358F">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14:paraId="6A9A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2AE5FCF3">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YXX260525</w:t>
            </w:r>
          </w:p>
        </w:tc>
        <w:tc>
          <w:tcPr>
            <w:tcW w:w="1378" w:type="pct"/>
            <w:tcBorders>
              <w:top w:val="single" w:color="auto" w:sz="4" w:space="0"/>
              <w:left w:val="single" w:color="auto" w:sz="4" w:space="0"/>
              <w:bottom w:val="single" w:color="auto" w:sz="4" w:space="0"/>
              <w:right w:val="single" w:color="auto" w:sz="4" w:space="0"/>
            </w:tcBorders>
            <w:noWrap w:val="0"/>
            <w:vAlign w:val="center"/>
          </w:tcPr>
          <w:p w14:paraId="4BE9C8B3">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儿童语言障碍测量管理系统报告</w:t>
            </w:r>
          </w:p>
        </w:tc>
        <w:tc>
          <w:tcPr>
            <w:tcW w:w="1117" w:type="pct"/>
            <w:tcBorders>
              <w:top w:val="single" w:color="auto" w:sz="4" w:space="0"/>
              <w:left w:val="single" w:color="auto" w:sz="4" w:space="0"/>
              <w:bottom w:val="single" w:color="auto" w:sz="4" w:space="0"/>
              <w:right w:val="single" w:color="auto" w:sz="4" w:space="0"/>
            </w:tcBorders>
            <w:noWrap w:val="0"/>
            <w:vAlign w:val="center"/>
          </w:tcPr>
          <w:p w14:paraId="7CE5259F">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color w:val="auto"/>
                <w:sz w:val="21"/>
                <w:szCs w:val="21"/>
                <w:lang w:val="en-US" w:eastAsia="zh-CN"/>
              </w:rPr>
              <w:t>47</w:t>
            </w:r>
          </w:p>
        </w:tc>
        <w:tc>
          <w:tcPr>
            <w:tcW w:w="644" w:type="pct"/>
            <w:tcBorders>
              <w:top w:val="single" w:color="auto" w:sz="4" w:space="0"/>
              <w:left w:val="single" w:color="auto" w:sz="4" w:space="0"/>
              <w:bottom w:val="single" w:color="auto" w:sz="4" w:space="0"/>
              <w:right w:val="single" w:color="auto" w:sz="4" w:space="0"/>
            </w:tcBorders>
            <w:noWrap w:val="0"/>
            <w:vAlign w:val="center"/>
          </w:tcPr>
          <w:p w14:paraId="1B711448">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2000</w:t>
            </w:r>
          </w:p>
        </w:tc>
        <w:tc>
          <w:tcPr>
            <w:tcW w:w="1063" w:type="pct"/>
            <w:tcBorders>
              <w:top w:val="single" w:color="auto" w:sz="4" w:space="0"/>
              <w:left w:val="single" w:color="auto" w:sz="4" w:space="0"/>
              <w:bottom w:val="single" w:color="auto" w:sz="4" w:space="0"/>
              <w:right w:val="single" w:color="auto" w:sz="4" w:space="0"/>
            </w:tcBorders>
            <w:noWrap w:val="0"/>
            <w:vAlign w:val="center"/>
          </w:tcPr>
          <w:p w14:paraId="3734825F">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1</w:t>
            </w:r>
          </w:p>
        </w:tc>
      </w:tr>
    </w:tbl>
    <w:p w14:paraId="61CAC4D9">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14:paraId="4A810B7C">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14:paraId="26826CBA">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（二）本项目的特定资格要求：无</w:t>
      </w:r>
    </w:p>
    <w:p w14:paraId="1E696121">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27954"/>
      <w:bookmarkStart w:id="23" w:name="_Toc12821"/>
      <w:bookmarkStart w:id="24"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14:paraId="688DF711">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14:paraId="5C58B7E9">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14:paraId="03F1ABC4">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14:paraId="285D04DE">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14:paraId="3DF57203">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14:paraId="416C6E34">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14:paraId="724C0037">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14:paraId="2441EE53">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106034625"/>
      <w:bookmarkStart w:id="27" w:name="_Toc65660334"/>
      <w:bookmarkStart w:id="28" w:name="_Toc12841"/>
      <w:bookmarkStart w:id="29" w:name="_Toc29385"/>
      <w:bookmarkStart w:id="30" w:name="_Toc525047161"/>
      <w:bookmarkStart w:id="31" w:name="_Toc6178"/>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14:paraId="1195D851">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14:paraId="3833B976">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14:paraId="4F5C990B">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14:paraId="3331C972">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14:paraId="4DAEBAE8">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14:paraId="41CEB1F8">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"mailto:2.中标人的保证金，将在与我院完成签订本项目合同并提交采购管理处公室（将合同扫描文件发送至zbb63632469@qq.com）之后60个工作日内，无息退还至项目报名时所填写的投标单位对公账户。"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r>
        <w:rPr>
          <w:rFonts w:hint="eastAsia" w:ascii="微软雅黑" w:hAnsi="微软雅黑" w:eastAsia="微软雅黑" w:cs="微软雅黑"/>
          <w:sz w:val="24"/>
          <w:szCs w:val="24"/>
        </w:rPr>
        <w:fldChar w:fldCharType="end"/>
      </w:r>
    </w:p>
    <w:p w14:paraId="5B435BD6">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14:paraId="45E9E8AD">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14:paraId="2FABA08B">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14:paraId="77945CE5">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14:paraId="13AD938C">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14:paraId="443F8AA4">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14:paraId="1A25CCC9">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45"/>
      <w:bookmarkStart w:id="34" w:name="_Toc106034626"/>
      <w:bookmarkStart w:id="35" w:name="_Toc525047162"/>
      <w:bookmarkStart w:id="36" w:name="_Toc65660335"/>
      <w:bookmarkStart w:id="37" w:name="_Toc4355"/>
      <w:bookmarkStart w:id="38" w:name="_Toc521053054"/>
      <w:bookmarkStart w:id="39" w:name="_Toc21937"/>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06034627"/>
      <w:bookmarkStart w:id="42" w:name="_Toc521053055"/>
      <w:bookmarkStart w:id="43" w:name="_Toc65660336"/>
      <w:bookmarkStart w:id="44" w:name="_Toc525047163"/>
      <w:bookmarkStart w:id="45" w:name="_Toc6563"/>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14:paraId="3B43474C">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14:paraId="78139E83">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14:paraId="25DFCAFE">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14:paraId="7C4D4946">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65660337"/>
      <w:bookmarkStart w:id="49" w:name="_Toc106034628"/>
      <w:bookmarkStart w:id="50" w:name="_Toc10415"/>
      <w:bookmarkStart w:id="51" w:name="_Toc32668"/>
      <w:bookmarkStart w:id="52" w:name="_Toc24901"/>
      <w:bookmarkStart w:id="53" w:name="_Toc521053056"/>
      <w:bookmarkStart w:id="54" w:name="_Toc525047164"/>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14:paraId="6A7644B5">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14:paraId="09E117D3">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14:paraId="1D28B205">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14:paraId="6176ED4A">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14:paraId="02064A12">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75793504"/>
      <w:bookmarkStart w:id="56" w:name="_Toc32686"/>
      <w:bookmarkStart w:id="57" w:name="_Toc725"/>
      <w:bookmarkStart w:id="58" w:name="_Toc1625"/>
      <w:bookmarkStart w:id="59" w:name="_Toc23143"/>
      <w:bookmarkStart w:id="60" w:name="_Toc11017"/>
      <w:bookmarkStart w:id="61" w:name="_Toc26176"/>
      <w:bookmarkStart w:id="62" w:name="_Toc5461"/>
      <w:bookmarkStart w:id="63" w:name="_Toc2070"/>
      <w:bookmarkStart w:id="64" w:name="_Toc19886"/>
      <w:bookmarkStart w:id="65" w:name="_Toc1492"/>
      <w:bookmarkStart w:id="66" w:name="_Toc25639"/>
      <w:bookmarkStart w:id="67" w:name="_Toc2422"/>
      <w:bookmarkStart w:id="68" w:name="_Toc12959"/>
      <w:bookmarkStart w:id="69" w:name="_Toc8649"/>
      <w:bookmarkStart w:id="70" w:name="_Toc1255"/>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14:paraId="181EFEA5">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66"/>
      <w:bookmarkStart w:id="74" w:name="_Toc76462325"/>
      <w:bookmarkStart w:id="75" w:name="_Toc3117"/>
      <w:bookmarkStart w:id="76" w:name="_Toc18470"/>
      <w:bookmarkStart w:id="77" w:name="_Toc3196"/>
      <w:bookmarkStart w:id="78" w:name="_Toc15127"/>
      <w:bookmarkStart w:id="79" w:name="_Toc106030879"/>
      <w:bookmarkStart w:id="80" w:name="_Toc32516"/>
      <w:bookmarkStart w:id="81" w:name="_Toc76462327"/>
      <w:bookmarkStart w:id="82" w:name="_Toc106030882"/>
      <w:bookmarkStart w:id="83" w:name="_Toc7791"/>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671"/>
        <w:gridCol w:w="2179"/>
      </w:tblGrid>
      <w:tr w14:paraId="4128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81" w:type="pct"/>
            <w:noWrap w:val="0"/>
            <w:vAlign w:val="center"/>
          </w:tcPr>
          <w:p w14:paraId="580B668E">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项目名称</w:t>
            </w:r>
          </w:p>
        </w:tc>
        <w:tc>
          <w:tcPr>
            <w:tcW w:w="1387" w:type="pct"/>
            <w:noWrap w:val="0"/>
            <w:vAlign w:val="center"/>
          </w:tcPr>
          <w:p w14:paraId="0F89F01D">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数量</w:t>
            </w:r>
          </w:p>
        </w:tc>
        <w:tc>
          <w:tcPr>
            <w:tcW w:w="1131" w:type="pct"/>
            <w:noWrap w:val="0"/>
            <w:vAlign w:val="center"/>
          </w:tcPr>
          <w:p w14:paraId="571B5B5E">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14:paraId="2317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noWrap w:val="0"/>
            <w:vAlign w:val="center"/>
          </w:tcPr>
          <w:p w14:paraId="21245E1B">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儿童语言障碍测量管理系统报告</w:t>
            </w:r>
          </w:p>
        </w:tc>
        <w:tc>
          <w:tcPr>
            <w:tcW w:w="1387" w:type="pct"/>
            <w:noWrap w:val="0"/>
            <w:vAlign w:val="center"/>
          </w:tcPr>
          <w:p w14:paraId="75A23D5F">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1套</w:t>
            </w:r>
          </w:p>
        </w:tc>
        <w:tc>
          <w:tcPr>
            <w:tcW w:w="1131" w:type="pct"/>
            <w:noWrap w:val="0"/>
            <w:vAlign w:val="center"/>
          </w:tcPr>
          <w:p w14:paraId="44B0BE47">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14:paraId="69A7BCC0">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bookmarkStart w:id="84" w:name="_Toc6337"/>
    </w:p>
    <w:p w14:paraId="138CDC35">
      <w:pPr>
        <w:snapToGrid w:val="0"/>
        <w:spacing w:line="400" w:lineRule="exact"/>
        <w:ind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1.适应人群：0-8岁正常发育儿童、语言发育迟缓、语言和语音障碍、自闭症谱系障碍、遗传综合症、听力障碍、整体发育障碍、学习障碍、其他语言障碍相关障碍儿童。</w:t>
      </w:r>
    </w:p>
    <w:p w14:paraId="0A17385F">
      <w:pPr>
        <w:snapToGrid w:val="0"/>
        <w:spacing w:line="400" w:lineRule="exact"/>
        <w:ind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2.技术原理是依据国际DSM-V版本，《精神疾病诊断与统计手册》是国际诊断的标准，并被写进国家卫生健康委《精神障碍诊疗规范（2020）》。</w:t>
      </w:r>
    </w:p>
    <w:p w14:paraId="3C7F5D51">
      <w:pPr>
        <w:snapToGrid w:val="0"/>
        <w:spacing w:line="400" w:lineRule="exact"/>
        <w:ind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3.0-3岁家长问卷式、2.5-8岁为患儿测评式</w:t>
      </w:r>
    </w:p>
    <w:p w14:paraId="5E5191D4">
      <w:pPr>
        <w:snapToGrid w:val="0"/>
        <w:spacing w:line="400" w:lineRule="exact"/>
        <w:ind w:firstLine="240" w:firstLineChars="1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4.有相</w:t>
      </w:r>
      <w:r>
        <w:rPr>
          <w:rFonts w:hint="eastAsia" w:ascii="微软雅黑" w:hAnsi="微软雅黑" w:eastAsia="微软雅黑" w:cs="微软雅黑"/>
          <w:sz w:val="24"/>
          <w:szCs w:val="24"/>
        </w:rPr>
        <w:t>关的软件著作权证书</w:t>
      </w:r>
    </w:p>
    <w:p w14:paraId="00268AAA">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5.报告要求</w:t>
      </w:r>
    </w:p>
    <w:p w14:paraId="72D48889">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0-3岁婴幼儿语言沟通筛查报告：从语言理解、语言表达、认知玩耍、和社交沟通四个方面，以家长问卷的形式来实现的筛查测试。系统将根据儿童月龄自动匹配筛查题目。筛查后即时自动生成报告，筛查报告可以在电脑端打印。</w:t>
      </w:r>
    </w:p>
    <w:p w14:paraId="6B5CD0E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0-3岁婴幼儿语言沟通测评报告：从语言理解、语言表达、认知玩耍、和社交沟通四个方面，以家长问卷的形式，进行全面详细的评估测试，并自动制定干预指导方案。</w:t>
      </w:r>
    </w:p>
    <w:p w14:paraId="665A681D">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2.5岁-8岁儿童语言能力筛查报告：筛查从听力理解和语言表达，语义、句法、以及语用等方面全面筛查该年龄段儿童的语言能力。</w:t>
      </w:r>
    </w:p>
    <w:p w14:paraId="7DD41672">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2.5岁-8岁儿童语言能力标准化评估报告：从整体语言，听力理解，语言表达，词义，句法5个方面全面考察儿童语言能力，可显示测试儿童具体落后的语言技能，并自动制定个体化干预指导方案。</w:t>
      </w:r>
    </w:p>
    <w:p w14:paraId="7E750330">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6.基础信息与数据对接</w:t>
      </w:r>
    </w:p>
    <w:p w14:paraId="3EA0B7E8">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用户信息管理</w:t>
      </w:r>
    </w:p>
    <w:p w14:paraId="2F8F934F">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○（1）支持全生命周期操作（新增、删除、编辑、保存、排序），可设置启用/禁用状态。</w:t>
      </w:r>
    </w:p>
    <w:p w14:paraId="5E5F514A">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○（2）需保留信息变更全记录，含操作人、时间、变更内容，支持追溯。</w:t>
      </w:r>
    </w:p>
    <w:p w14:paraId="4499CD0F">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○（3）实现医生、管理人员等人员信息的增删改查，需完善姓名、职称、所属科室等基础信息。</w:t>
      </w:r>
    </w:p>
    <w:p w14:paraId="3995C5A1">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○（4）需与医院HIS系统实现数据同步。</w:t>
      </w:r>
    </w:p>
    <w:p w14:paraId="7D236A8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用户与权限管理</w:t>
      </w:r>
    </w:p>
    <w:p w14:paraId="2D4F6D7A">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○（1）支持系统用户增删改及密码重置，划分业务科室用户、医院领导、系统管理员等角色。</w:t>
      </w:r>
    </w:p>
    <w:p w14:paraId="2E85B45A">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○（2）按角色精准分配模块访问、操作权限，支持权限批量管理。</w:t>
      </w:r>
    </w:p>
    <w:p w14:paraId="6708A87C">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○（3）记录用户所有操作日志，管理用户启用/禁用状态，支持登录IP限制、密码复杂度设置。</w:t>
      </w:r>
    </w:p>
    <w:p w14:paraId="33E1130C">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数据对接</w:t>
      </w:r>
    </w:p>
    <w:p w14:paraId="26B8451B">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▲（1）所有数据接口需遵循医院统一接口规范，支持与HIS系统实现治疗申请和报告等同步，保证全院数据一致性。</w:t>
      </w:r>
    </w:p>
    <w:p w14:paraId="41BD2D73">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▲（2）提供完整接口文档，明确参数、调用方式、返回结果。</w:t>
      </w:r>
    </w:p>
    <w:p w14:paraId="3EE430D6">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▲（3）支持接口调试、测试，确保稳定可靠。</w:t>
      </w:r>
    </w:p>
    <w:p w14:paraId="47B2AB1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7.数据统计分析与报表管理</w:t>
      </w:r>
    </w:p>
    <w:p w14:paraId="699B9D36">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○（1）支持按科室、月份、医生等多维度统计。</w:t>
      </w:r>
    </w:p>
    <w:p w14:paraId="6B79A149">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○（2）统计数据需实时更新，保证准确及时。</w:t>
      </w:r>
    </w:p>
    <w:p w14:paraId="484F2760">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○（3）支持每年科室自定义报表维度，根据科室需要新增。</w:t>
      </w:r>
    </w:p>
    <w:p w14:paraId="05AEA42C">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○（4）支持报表自定义配置、数据导出及打印。</w:t>
      </w:r>
    </w:p>
    <w:p w14:paraId="78A8BD7C">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※8.网络及信息安全要求：</w:t>
      </w:r>
    </w:p>
    <w:p w14:paraId="01A5CB1C">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77" w:name="_GoBack"/>
      <w:bookmarkEnd w:id="177"/>
      <w:r>
        <w:rPr>
          <w:rFonts w:hint="eastAsia" w:ascii="微软雅黑" w:hAnsi="微软雅黑" w:eastAsia="微软雅黑" w:cs="微软雅黑"/>
          <w:sz w:val="24"/>
          <w:szCs w:val="24"/>
          <w:lang w:val="en-US" w:eastAsia="zh-CN"/>
        </w:rPr>
        <w:t>（1）供应商须遵守医院各项网络安全、数据安全及个人信息保护管理制度。</w:t>
      </w:r>
    </w:p>
    <w:p w14:paraId="685D5890">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（2）项目开工前供应商须提供《项目建设方案》，项目验收时供应商须提供《项目运维方案》，其中须包含独立的网络安全与数据安全章节。</w:t>
      </w:r>
    </w:p>
    <w:p w14:paraId="6E0FCA92">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（3）供应商须配合医院完成安全测试，对发现的漏洞按医院要求限期整改。</w:t>
      </w:r>
    </w:p>
    <w:p w14:paraId="304B11F0">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（4）须配合医院完成数据分类分级及重要数据识别认定。</w:t>
      </w:r>
    </w:p>
    <w:p w14:paraId="5B2D881D">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（5）数据库须部署在院内并提供表结构，应用须部署在院内或院方指定云资源。</w:t>
      </w:r>
    </w:p>
    <w:p w14:paraId="3A7B4A67">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（6）供应商提供源代码审计报告或配合院方完成源代码审计。</w:t>
      </w:r>
    </w:p>
    <w:p w14:paraId="6A3E6D45">
      <w:pPr>
        <w:snapToGrid w:val="0"/>
        <w:spacing w:line="400" w:lineRule="exact"/>
        <w:ind w:firstLine="480" w:firstLineChars="200"/>
        <w:rPr>
          <w:rFonts w:hint="eastAsia" w:ascii="微软雅黑" w:hAnsi="微软雅黑" w:eastAsia="微软雅黑" w:cs="微软雅黑"/>
          <w:sz w:val="24"/>
          <w:szCs w:val="24"/>
          <w:lang w:val="en-US" w:eastAsia="zh-CN"/>
        </w:rPr>
      </w:pPr>
    </w:p>
    <w:p w14:paraId="490AF11B">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14:paraId="5FF0FAEB">
      <w:pPr>
        <w:pStyle w:val="5"/>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14:paraId="6B07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14:paraId="3FBBE04C">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6692"/>
            <w:bookmarkStart w:id="86" w:name="_Toc106030887"/>
            <w:bookmarkStart w:id="87" w:name="_Toc76462332"/>
            <w:r>
              <w:rPr>
                <w:rFonts w:hint="eastAsia" w:ascii="微软雅黑" w:hAnsi="微软雅黑" w:eastAsia="微软雅黑" w:cs="微软雅黑"/>
                <w:b/>
                <w:bCs/>
                <w:sz w:val="28"/>
                <w:szCs w:val="28"/>
                <w:lang w:val="en-US" w:eastAsia="zh-CN"/>
              </w:rPr>
              <w:t>商务需求表</w:t>
            </w:r>
          </w:p>
        </w:tc>
      </w:tr>
      <w:tr w14:paraId="191E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pct"/>
            <w:vAlign w:val="center"/>
          </w:tcPr>
          <w:p w14:paraId="4A4685A4">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交货期、交货地点及验收方式</w:t>
            </w:r>
          </w:p>
        </w:tc>
        <w:tc>
          <w:tcPr>
            <w:tcW w:w="4271" w:type="pct"/>
            <w:vAlign w:val="center"/>
          </w:tcPr>
          <w:p w14:paraId="513EC96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交货期：中标人在收到采购人通知后在360个日历日内（或者在采购人临时具体书面指定天数内）将设备运到采购人指定交货地点。</w:t>
            </w:r>
          </w:p>
          <w:p w14:paraId="70C1F49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交货地点：重庆医科大学附属儿童医院</w:t>
            </w:r>
          </w:p>
          <w:p w14:paraId="14B7225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验收方式：产品安装调试完毕，且正常运行一周后，即证明产品满足要求，符合验收条件，中标人应正式提出验收申请并出具《验收报告》，采购方根据验收标准给予项目验收签字。</w:t>
            </w:r>
          </w:p>
        </w:tc>
      </w:tr>
      <w:tr w14:paraId="1902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28" w:type="pct"/>
            <w:vAlign w:val="center"/>
          </w:tcPr>
          <w:p w14:paraId="2F715E72">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71" w:type="pct"/>
            <w:vAlign w:val="center"/>
          </w:tcPr>
          <w:p w14:paraId="5652169F">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1.该项目可在投标现场进行二次报价。</w:t>
            </w:r>
          </w:p>
          <w:p w14:paraId="14FF97F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2.该项目报价须对项目包干总价和项目明细分别进行报价，包括完成货物、运输、验收及其他本项目所需的所有费用及各种应纳的税费。因中标人自身原因造成漏报、少报皆由其自行承担责任，采购人不再补偿。</w:t>
            </w:r>
          </w:p>
        </w:tc>
      </w:tr>
      <w:tr w14:paraId="5693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327144E5">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14:paraId="60698F02">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1.质保期：免费质保期3年。免费质保期后，每年维保费按照不超过合同金额的8%收取。</w:t>
            </w:r>
          </w:p>
          <w:p w14:paraId="5CC1F28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2.中标人对投标产品对应参数需要满足，验收时根据投标响应文件中的技术参数一一验收，如果有一条或者多条不满足，采购人有权取消合同，所产生的损失由中标人承担。</w:t>
            </w:r>
          </w:p>
        </w:tc>
      </w:tr>
      <w:tr w14:paraId="283C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6A946000">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71" w:type="pct"/>
            <w:vAlign w:val="center"/>
          </w:tcPr>
          <w:p w14:paraId="7136E69A">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1.中标人按采购合同交货并安装调试完成，经验收合格后采购人出具项目验收报告；</w:t>
            </w:r>
          </w:p>
          <w:p w14:paraId="2C998B73">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2.中标人向采购人开具发票，采购人于2个月内以转账方式向中标人支付合同全款。</w:t>
            </w:r>
          </w:p>
        </w:tc>
      </w:tr>
      <w:tr w14:paraId="37F27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4712284B">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14:paraId="2E57DC9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1.投标人必须在响应文件中对以上条款和服务承诺明确列出，承诺内容必须达到本篇及协商文件其他条款的要求。</w:t>
            </w:r>
          </w:p>
          <w:p w14:paraId="54FA39D3">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2.其他未尽事宜由供需双方在采购合同中详细约定。</w:t>
            </w:r>
          </w:p>
        </w:tc>
      </w:tr>
    </w:tbl>
    <w:p w14:paraId="30EC0888">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5"/>
    <w:bookmarkEnd w:id="86"/>
    <w:bookmarkEnd w:id="87"/>
    <w:p w14:paraId="64785BC2">
      <w:pPr>
        <w:pStyle w:val="5"/>
        <w:pageBreakBefore w:val="0"/>
        <w:spacing w:before="200" w:after="200" w:line="240" w:lineRule="auto"/>
        <w:jc w:val="center"/>
        <w:rPr>
          <w:rFonts w:hint="eastAsia" w:ascii="微软雅黑" w:hAnsi="微软雅黑" w:eastAsia="微软雅黑" w:cs="微软雅黑"/>
          <w:b/>
          <w:sz w:val="44"/>
          <w:szCs w:val="20"/>
        </w:rPr>
      </w:pPr>
      <w:bookmarkStart w:id="88" w:name="_Toc12791"/>
      <w:bookmarkStart w:id="89" w:name="_Toc641"/>
      <w:bookmarkStart w:id="90" w:name="_Toc1837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14:paraId="513C21A0">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06030888"/>
      <w:bookmarkStart w:id="92" w:name="_Toc76462333"/>
      <w:bookmarkStart w:id="93" w:name="_Toc5379"/>
      <w:bookmarkStart w:id="94" w:name="_Toc18603"/>
      <w:bookmarkStart w:id="95" w:name="_Toc1495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14:paraId="18F7D0FE">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14:paraId="0F88D4A5">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14:paraId="7CBAD4C4">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3261"/>
        <w:gridCol w:w="4659"/>
      </w:tblGrid>
      <w:tr w14:paraId="3D38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15D3EDF5">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4152" w:type="dxa"/>
            <w:gridSpan w:val="2"/>
            <w:tcBorders>
              <w:top w:val="single" w:color="auto" w:sz="4" w:space="0"/>
              <w:left w:val="single" w:color="auto" w:sz="4" w:space="0"/>
              <w:bottom w:val="single" w:color="auto" w:sz="4" w:space="0"/>
              <w:right w:val="single" w:color="auto" w:sz="4" w:space="0"/>
            </w:tcBorders>
            <w:noWrap w:val="0"/>
            <w:vAlign w:val="center"/>
          </w:tcPr>
          <w:p w14:paraId="6521F290">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4659" w:type="dxa"/>
            <w:tcBorders>
              <w:top w:val="single" w:color="auto" w:sz="4" w:space="0"/>
              <w:left w:val="single" w:color="auto" w:sz="4" w:space="0"/>
              <w:bottom w:val="single" w:color="auto" w:sz="4" w:space="0"/>
              <w:right w:val="single" w:color="auto" w:sz="4" w:space="0"/>
            </w:tcBorders>
            <w:noWrap w:val="0"/>
            <w:vAlign w:val="center"/>
          </w:tcPr>
          <w:p w14:paraId="66B22F9A">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14:paraId="7487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449A1FC4">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14:paraId="43409630">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3261" w:type="dxa"/>
            <w:noWrap w:val="0"/>
            <w:vAlign w:val="center"/>
          </w:tcPr>
          <w:p w14:paraId="4D61CB62">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4659" w:type="dxa"/>
            <w:noWrap w:val="0"/>
            <w:vAlign w:val="center"/>
          </w:tcPr>
          <w:p w14:paraId="7323988E">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14:paraId="3487D3AD">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14:paraId="575B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5254543">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61818483">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3261" w:type="dxa"/>
            <w:noWrap w:val="0"/>
            <w:vAlign w:val="center"/>
          </w:tcPr>
          <w:p w14:paraId="5CD8D416">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4659" w:type="dxa"/>
            <w:vMerge w:val="restart"/>
            <w:noWrap w:val="0"/>
            <w:vAlign w:val="center"/>
          </w:tcPr>
          <w:p w14:paraId="5F492F97">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14:paraId="63CA6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5EEF7971">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118109BB">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3261" w:type="dxa"/>
            <w:noWrap w:val="0"/>
            <w:vAlign w:val="center"/>
          </w:tcPr>
          <w:p w14:paraId="33D7927D">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4659" w:type="dxa"/>
            <w:vMerge w:val="continue"/>
            <w:noWrap w:val="0"/>
            <w:vAlign w:val="center"/>
          </w:tcPr>
          <w:p w14:paraId="43ADFB2E">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6AF1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11860A41">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5661F201">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3261" w:type="dxa"/>
            <w:noWrap w:val="0"/>
            <w:vAlign w:val="center"/>
          </w:tcPr>
          <w:p w14:paraId="40352041">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4659" w:type="dxa"/>
            <w:vMerge w:val="continue"/>
            <w:noWrap w:val="0"/>
            <w:vAlign w:val="center"/>
          </w:tcPr>
          <w:p w14:paraId="5EA57DB7">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784F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16162E6C">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54C9B3DC">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3261" w:type="dxa"/>
            <w:noWrap w:val="0"/>
            <w:vAlign w:val="center"/>
          </w:tcPr>
          <w:p w14:paraId="22C27C56">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4659" w:type="dxa"/>
            <w:vMerge w:val="continue"/>
            <w:noWrap w:val="0"/>
            <w:vAlign w:val="center"/>
          </w:tcPr>
          <w:p w14:paraId="5E079592">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6368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071B0A40">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653EB57A">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3261" w:type="dxa"/>
            <w:noWrap w:val="0"/>
            <w:vAlign w:val="center"/>
          </w:tcPr>
          <w:p w14:paraId="05797A4B">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4659" w:type="dxa"/>
            <w:noWrap w:val="0"/>
            <w:vAlign w:val="center"/>
          </w:tcPr>
          <w:p w14:paraId="19BC2B7A">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77C4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4E34C4D9">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22781173">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3261" w:type="dxa"/>
            <w:noWrap w:val="0"/>
            <w:vAlign w:val="center"/>
          </w:tcPr>
          <w:p w14:paraId="05BC1404">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4659" w:type="dxa"/>
            <w:noWrap w:val="0"/>
            <w:vAlign w:val="center"/>
          </w:tcPr>
          <w:p w14:paraId="15871ECC">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14:paraId="2C15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14:paraId="657C635B">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14:paraId="62FAE683">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3261" w:type="dxa"/>
            <w:noWrap w:val="0"/>
            <w:vAlign w:val="top"/>
          </w:tcPr>
          <w:p w14:paraId="069413AB">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4659" w:type="dxa"/>
            <w:noWrap w:val="0"/>
            <w:vAlign w:val="top"/>
          </w:tcPr>
          <w:p w14:paraId="46BF0F22">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14:paraId="39F4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14:paraId="65B8B94E">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14:paraId="67BEEBCA">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3261" w:type="dxa"/>
            <w:noWrap w:val="0"/>
            <w:vAlign w:val="top"/>
          </w:tcPr>
          <w:p w14:paraId="7CB122D7">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4659" w:type="dxa"/>
            <w:noWrap w:val="0"/>
            <w:vAlign w:val="top"/>
          </w:tcPr>
          <w:p w14:paraId="3438C193">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14:paraId="567135A0">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14:paraId="6FEFD01C">
      <w:pPr>
        <w:pStyle w:val="2"/>
        <w:rPr>
          <w:rFonts w:hint="eastAsia"/>
        </w:rPr>
      </w:pPr>
    </w:p>
    <w:p w14:paraId="0A96DC7D">
      <w:pPr>
        <w:pStyle w:val="5"/>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4495"/>
      <w:bookmarkStart w:id="97" w:name="_Toc10843"/>
      <w:bookmarkStart w:id="98" w:name="_Toc25824"/>
      <w:bookmarkStart w:id="99" w:name="_Toc106030890"/>
      <w:bookmarkStart w:id="100" w:name="_Toc76462335"/>
      <w:bookmarkStart w:id="101" w:name="_Toc31497"/>
      <w:bookmarkStart w:id="102" w:name="_Toc342913394"/>
      <w:bookmarkStart w:id="103" w:name="_Toc102227320"/>
      <w:r>
        <w:rPr>
          <w:rFonts w:hint="eastAsia" w:ascii="微软雅黑" w:hAnsi="微软雅黑" w:eastAsia="微软雅黑" w:cs="微软雅黑"/>
          <w:color w:val="auto"/>
          <w:sz w:val="24"/>
          <w:lang w:val="en-US" w:eastAsia="zh-CN"/>
        </w:rPr>
        <w:t>二、报价方式</w:t>
      </w:r>
      <w:bookmarkEnd w:id="96"/>
      <w:bookmarkEnd w:id="97"/>
    </w:p>
    <w:p w14:paraId="00B9E269">
      <w:pPr>
        <w:pStyle w:val="5"/>
        <w:adjustRightInd w:val="0"/>
        <w:snapToGrid w:val="0"/>
        <w:spacing w:before="0" w:after="0" w:line="400" w:lineRule="exact"/>
        <w:ind w:firstLine="480" w:firstLineChars="200"/>
        <w:rPr>
          <w:rFonts w:hint="eastAsia" w:ascii="微软雅黑" w:hAnsi="微软雅黑" w:eastAsia="微软雅黑" w:cs="微软雅黑"/>
          <w:b w:val="0"/>
          <w:bCs/>
          <w:sz w:val="24"/>
          <w:szCs w:val="24"/>
        </w:rPr>
      </w:pPr>
      <w:bookmarkStart w:id="104" w:name="_Toc5837"/>
      <w:bookmarkStart w:id="105" w:name="_Toc6455"/>
      <w:bookmarkStart w:id="106" w:name="_Toc27394"/>
      <w:bookmarkStart w:id="107" w:name="_Toc27607"/>
      <w:r>
        <w:rPr>
          <w:rFonts w:hint="eastAsia" w:ascii="微软雅黑" w:hAnsi="微软雅黑" w:eastAsia="微软雅黑" w:cs="微软雅黑"/>
          <w:b w:val="0"/>
          <w:bCs/>
          <w:sz w:val="24"/>
          <w:szCs w:val="24"/>
        </w:rPr>
        <w:t>本项目投标人可在投标现场进行第二次报价。</w:t>
      </w:r>
      <w:bookmarkEnd w:id="104"/>
      <w:bookmarkEnd w:id="105"/>
    </w:p>
    <w:p w14:paraId="30DCDC2B">
      <w:pPr>
        <w:rPr>
          <w:rFonts w:hint="eastAsia"/>
        </w:rPr>
      </w:pPr>
    </w:p>
    <w:p w14:paraId="6D404E09">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8"/>
      <w:bookmarkEnd w:id="106"/>
      <w:bookmarkEnd w:id="107"/>
    </w:p>
    <w:p w14:paraId="2FB3E0D0">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14:paraId="68E58B31">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14:paraId="042593C2">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14:paraId="5152827C">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14:paraId="1EC5EF89">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14:paraId="16D28C51">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14:paraId="532329E6">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14:paraId="63F56DEB">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14:paraId="59BB63AA">
      <w:pPr>
        <w:pStyle w:val="2"/>
        <w:rPr>
          <w:rFonts w:hint="eastAsia"/>
        </w:rPr>
      </w:pPr>
    </w:p>
    <w:p w14:paraId="4663BAA6">
      <w:pPr>
        <w:pStyle w:val="5"/>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8" w:name="_Toc24201"/>
      <w:bookmarkStart w:id="109" w:name="_Toc30944"/>
      <w:bookmarkStart w:id="110" w:name="_Toc5973"/>
      <w:bookmarkStart w:id="111" w:name="_Toc18577"/>
      <w:bookmarkStart w:id="112" w:name="_Toc76462334"/>
      <w:bookmarkStart w:id="113" w:name="_Toc106030889"/>
      <w:r>
        <w:rPr>
          <w:rFonts w:hint="eastAsia" w:ascii="微软雅黑" w:hAnsi="微软雅黑" w:eastAsia="微软雅黑" w:cs="微软雅黑"/>
          <w:color w:val="auto"/>
          <w:sz w:val="24"/>
          <w:lang w:val="en-US" w:eastAsia="zh-CN"/>
        </w:rPr>
        <w:t>四、评审标准</w:t>
      </w:r>
      <w:bookmarkEnd w:id="108"/>
      <w:bookmarkEnd w:id="109"/>
      <w:bookmarkEnd w:id="110"/>
      <w:bookmarkEnd w:id="111"/>
      <w:bookmarkEnd w:id="112"/>
      <w:bookmarkEnd w:id="113"/>
    </w:p>
    <w:tbl>
      <w:tblPr>
        <w:tblStyle w:val="57"/>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396"/>
        <w:gridCol w:w="855"/>
        <w:gridCol w:w="4880"/>
        <w:gridCol w:w="2043"/>
      </w:tblGrid>
      <w:tr w14:paraId="6AEA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62" w:type="dxa"/>
            <w:vAlign w:val="center"/>
          </w:tcPr>
          <w:p w14:paraId="64755CC6">
            <w:pPr>
              <w:keepNext w:val="0"/>
              <w:keepLines w:val="0"/>
              <w:widowControl/>
              <w:suppressLineNumbers w:val="0"/>
              <w:adjustRightInd w:val="0"/>
              <w:snapToGrid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b/>
                <w:bCs/>
                <w:color w:val="000000" w:themeColor="text1"/>
                <w:kern w:val="2"/>
                <w:sz w:val="21"/>
                <w:szCs w:val="21"/>
                <w:lang w:val="en-US" w:eastAsia="zh-CN" w:bidi="ar-SA"/>
                <w14:textFill>
                  <w14:solidFill>
                    <w14:schemeClr w14:val="tx1"/>
                  </w14:solidFill>
                </w14:textFill>
              </w:rPr>
              <w:t>序号</w:t>
            </w:r>
          </w:p>
        </w:tc>
        <w:tc>
          <w:tcPr>
            <w:tcW w:w="1396" w:type="dxa"/>
            <w:vAlign w:val="center"/>
          </w:tcPr>
          <w:p w14:paraId="7261F111">
            <w:pPr>
              <w:keepNext w:val="0"/>
              <w:keepLines w:val="0"/>
              <w:widowControl/>
              <w:suppressLineNumbers w:val="0"/>
              <w:adjustRightInd w:val="0"/>
              <w:snapToGrid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b/>
                <w:bCs/>
                <w:color w:val="000000" w:themeColor="text1"/>
                <w:kern w:val="2"/>
                <w:sz w:val="21"/>
                <w:szCs w:val="21"/>
                <w:lang w:val="en-US" w:eastAsia="zh-CN" w:bidi="ar-SA"/>
                <w14:textFill>
                  <w14:solidFill>
                    <w14:schemeClr w14:val="tx1"/>
                  </w14:solidFill>
                </w14:textFill>
              </w:rPr>
              <w:t>评分因素及权值</w:t>
            </w:r>
          </w:p>
        </w:tc>
        <w:tc>
          <w:tcPr>
            <w:tcW w:w="855" w:type="dxa"/>
            <w:vAlign w:val="center"/>
          </w:tcPr>
          <w:p w14:paraId="5F1FA0BC">
            <w:pPr>
              <w:keepNext w:val="0"/>
              <w:keepLines w:val="0"/>
              <w:widowControl/>
              <w:suppressLineNumbers w:val="0"/>
              <w:adjustRightInd w:val="0"/>
              <w:snapToGrid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b/>
                <w:bCs/>
                <w:color w:val="000000" w:themeColor="text1"/>
                <w:kern w:val="2"/>
                <w:sz w:val="21"/>
                <w:szCs w:val="21"/>
                <w:lang w:val="en-US" w:eastAsia="zh-CN" w:bidi="ar-SA"/>
                <w14:textFill>
                  <w14:solidFill>
                    <w14:schemeClr w14:val="tx1"/>
                  </w14:solidFill>
                </w14:textFill>
              </w:rPr>
              <w:t>分值</w:t>
            </w:r>
          </w:p>
        </w:tc>
        <w:tc>
          <w:tcPr>
            <w:tcW w:w="4880" w:type="dxa"/>
            <w:vAlign w:val="center"/>
          </w:tcPr>
          <w:p w14:paraId="6AC8C08F">
            <w:pPr>
              <w:keepNext w:val="0"/>
              <w:keepLines w:val="0"/>
              <w:widowControl/>
              <w:suppressLineNumbers w:val="0"/>
              <w:adjustRightInd w:val="0"/>
              <w:snapToGrid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b/>
                <w:bCs/>
                <w:color w:val="000000" w:themeColor="text1"/>
                <w:kern w:val="2"/>
                <w:sz w:val="21"/>
                <w:szCs w:val="21"/>
                <w:lang w:val="en-US" w:eastAsia="zh-CN" w:bidi="ar-SA"/>
                <w14:textFill>
                  <w14:solidFill>
                    <w14:schemeClr w14:val="tx1"/>
                  </w14:solidFill>
                </w14:textFill>
              </w:rPr>
              <w:t>评分标准</w:t>
            </w:r>
          </w:p>
        </w:tc>
        <w:tc>
          <w:tcPr>
            <w:tcW w:w="2043" w:type="dxa"/>
            <w:vAlign w:val="center"/>
          </w:tcPr>
          <w:p w14:paraId="27055AE6">
            <w:pPr>
              <w:keepNext w:val="0"/>
              <w:keepLines w:val="0"/>
              <w:widowControl/>
              <w:suppressLineNumbers w:val="0"/>
              <w:adjustRightInd w:val="0"/>
              <w:snapToGrid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b/>
                <w:bCs/>
                <w:color w:val="000000" w:themeColor="text1"/>
                <w:kern w:val="2"/>
                <w:sz w:val="21"/>
                <w:szCs w:val="21"/>
                <w:lang w:val="en-US" w:eastAsia="zh-CN" w:bidi="ar-SA"/>
                <w14:textFill>
                  <w14:solidFill>
                    <w14:schemeClr w14:val="tx1"/>
                  </w14:solidFill>
                </w14:textFill>
              </w:rPr>
              <w:t>说明</w:t>
            </w:r>
          </w:p>
        </w:tc>
      </w:tr>
      <w:tr w14:paraId="5677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Align w:val="center"/>
          </w:tcPr>
          <w:p w14:paraId="7D9521B6">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1</w:t>
            </w:r>
          </w:p>
        </w:tc>
        <w:tc>
          <w:tcPr>
            <w:tcW w:w="1396" w:type="dxa"/>
            <w:vAlign w:val="center"/>
          </w:tcPr>
          <w:p w14:paraId="5C78C83D">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投标报价</w:t>
            </w:r>
          </w:p>
          <w:p w14:paraId="55347EE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0%）</w:t>
            </w:r>
          </w:p>
        </w:tc>
        <w:tc>
          <w:tcPr>
            <w:tcW w:w="855" w:type="dxa"/>
            <w:vAlign w:val="center"/>
          </w:tcPr>
          <w:p w14:paraId="60C77EE7">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30分</w:t>
            </w:r>
          </w:p>
        </w:tc>
        <w:tc>
          <w:tcPr>
            <w:tcW w:w="4880" w:type="dxa"/>
          </w:tcPr>
          <w:p w14:paraId="374425A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有效的投标报价中的最低价为评标基准价，其价格分为满分。其他投标人的价格分统一按照下列公式计算：</w:t>
            </w:r>
          </w:p>
          <w:p w14:paraId="3161CA8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投标报价得分＝（评标基准价/投标报价）×</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p>
        </w:tc>
        <w:tc>
          <w:tcPr>
            <w:tcW w:w="2043" w:type="dxa"/>
          </w:tcPr>
          <w:p w14:paraId="5EEF1DB9">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报价须包含清单内所有硬件、软件、接口费、安装调试及培训等全部费用。</w:t>
            </w:r>
          </w:p>
        </w:tc>
      </w:tr>
      <w:tr w14:paraId="65A2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6" w:type="dxa"/>
            <w:gridSpan w:val="5"/>
            <w:tcBorders>
              <w:bottom w:val="nil"/>
            </w:tcBorders>
            <w:vAlign w:val="center"/>
          </w:tcPr>
          <w:p w14:paraId="4CBCA70A">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采购文件“技术（质量）需求”中“※”标注的技术需求为符合性审查中的实质性要求，若不满足按无效投标处理。</w:t>
            </w:r>
          </w:p>
        </w:tc>
      </w:tr>
      <w:tr w14:paraId="655C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vMerge w:val="restart"/>
            <w:vAlign w:val="center"/>
          </w:tcPr>
          <w:p w14:paraId="284CA56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2</w:t>
            </w:r>
          </w:p>
        </w:tc>
        <w:tc>
          <w:tcPr>
            <w:tcW w:w="1396" w:type="dxa"/>
            <w:vMerge w:val="restart"/>
            <w:vAlign w:val="center"/>
          </w:tcPr>
          <w:p w14:paraId="5E3EB8A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74C8FF8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8EC670F">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3E7B21D">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2B76F3D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74B1D2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3BEFB7A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9AFD47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3012536">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F9B5BC5">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EA91F5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F026B9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F4ECC9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2C116FC7">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676B52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28D6E8ED">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技术</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部分</w:t>
            </w:r>
          </w:p>
          <w:p w14:paraId="467FC2DB">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50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p>
          <w:p w14:paraId="64AE5F9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BBE2AA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7F19983">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9D6317A">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D8A71E9">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3B6BEF6">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1253CC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88FA877">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C1EAFF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8EE927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7ABBBAA5">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5912F9A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FDCF38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253AAD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21AFDA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778F9AC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CC1CA9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7AADCDE7">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110B1F7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47E1A17">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479DE23">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7A6EF34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583159F">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15C09F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43CE847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868028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67BD9D48">
            <w:pPr>
              <w:keepNext w:val="0"/>
              <w:keepLines w:val="0"/>
              <w:widowControl/>
              <w:suppressLineNumbers w:val="0"/>
              <w:adjustRightInd w:val="0"/>
              <w:snapToGrid w:val="0"/>
              <w:spacing w:before="0" w:beforeAutospacing="0" w:after="0" w:afterAutospacing="0"/>
              <w:ind w:left="0" w:right="0"/>
              <w:jc w:val="cente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技术分（50%）</w:t>
            </w:r>
          </w:p>
        </w:tc>
        <w:tc>
          <w:tcPr>
            <w:tcW w:w="855" w:type="dxa"/>
            <w:vAlign w:val="center"/>
          </w:tcPr>
          <w:p w14:paraId="551F707A">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技术</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36分</w:t>
            </w:r>
          </w:p>
        </w:tc>
        <w:tc>
          <w:tcPr>
            <w:tcW w:w="4880" w:type="dxa"/>
          </w:tcPr>
          <w:p w14:paraId="21E3FA5A">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起评分：有效投标人的起评分为</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36</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2.扣分条款</w:t>
            </w:r>
          </w:p>
          <w:p w14:paraId="7499BA4A">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xml:space="preserve">2.1投标文件投标应答有一条不满足招标文件重要技术需求的（本招标文件第二篇中带“▲”号标注的部分，共计 </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7</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条），从起评分中扣除</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分，扣完为止。</w:t>
            </w:r>
          </w:p>
          <w:p w14:paraId="241546A7">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xml:space="preserve">2.2投标文件投标应答有一条不满足招标文件一般性技术需求的（本招标文件第二篇中“○”号标注的部分，共计 </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15</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条），从起评分中扣除</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分，扣完为止。</w:t>
            </w:r>
          </w:p>
        </w:tc>
        <w:tc>
          <w:tcPr>
            <w:tcW w:w="2043" w:type="dxa"/>
          </w:tcPr>
          <w:p w14:paraId="280E063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r>
      <w:tr w14:paraId="6A00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jc w:val="center"/>
        </w:trPr>
        <w:tc>
          <w:tcPr>
            <w:tcW w:w="562" w:type="dxa"/>
            <w:vMerge w:val="continue"/>
            <w:vAlign w:val="center"/>
          </w:tcPr>
          <w:p w14:paraId="59F9745A">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c>
          <w:tcPr>
            <w:tcW w:w="1396" w:type="dxa"/>
            <w:vMerge w:val="continue"/>
            <w:vAlign w:val="center"/>
          </w:tcPr>
          <w:p w14:paraId="0BDE5D3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c>
          <w:tcPr>
            <w:tcW w:w="855" w:type="dxa"/>
            <w:vMerge w:val="restart"/>
            <w:vAlign w:val="center"/>
          </w:tcPr>
          <w:p w14:paraId="4E093AA5">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技术及实施方案综合评价</w:t>
            </w:r>
          </w:p>
          <w:p w14:paraId="2F13498D">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14分</w:t>
            </w:r>
          </w:p>
        </w:tc>
        <w:tc>
          <w:tcPr>
            <w:tcW w:w="4880" w:type="dxa"/>
          </w:tcPr>
          <w:p w14:paraId="1A30551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1.需求分析（针对儿童语言障碍筛查测评、档案建档管理、测评数据统计、随访跟踪、院内数据对接等核心业务场景开展全面、细化需求分析）；</w:t>
            </w:r>
          </w:p>
          <w:p w14:paraId="4C603829">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方案内容不存在瑕疵，得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34AE003F">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方案内容存在1处瑕疵，得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29081685">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方案内容存在2处瑕疵，得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7DF25D74">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处及以上瑕疵或未提供方案得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tc>
        <w:tc>
          <w:tcPr>
            <w:tcW w:w="2043" w:type="dxa"/>
            <w:vMerge w:val="restart"/>
          </w:tcPr>
          <w:p w14:paraId="0783664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提供方案，格式自拟。</w:t>
            </w:r>
          </w:p>
          <w:p w14:paraId="4F3B773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注：本项内容中所称的“瑕疵”指以下内容：</w:t>
            </w:r>
          </w:p>
          <w:p w14:paraId="1377ED0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①方案内容缺项、内容表述不完整或缺少维保服务内容或售后服务内容中任意一项内容的针对性分析或介绍；</w:t>
            </w:r>
          </w:p>
          <w:p w14:paraId="6368CB5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②方案内容表述前后矛盾、无连贯性；</w:t>
            </w:r>
          </w:p>
          <w:p w14:paraId="7B0B1BD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③维保服务范围或售后服务范围覆盖不全、服务流程低效；</w:t>
            </w:r>
          </w:p>
          <w:p w14:paraId="345FCBE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④方案内容存在逻辑漏洞、常识错误、维保服务或售后服务流程并不适用本项目特性和或非专门针对本项目特征制定；</w:t>
            </w:r>
          </w:p>
          <w:p w14:paraId="6BC5DDA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⑤方案内容并无体现时效性的售后处理计划或保养巡查计划安排；</w:t>
            </w:r>
          </w:p>
          <w:p w14:paraId="4977333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⑥方案中提出的措施不利于本项目目标的实现；</w:t>
            </w:r>
          </w:p>
          <w:p w14:paraId="46F51F87">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⑦现有科学技术条件下不可能实现的情形。</w:t>
            </w:r>
          </w:p>
          <w:p w14:paraId="1EE6898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上述任意一种情形为1处瑕疵。</w:t>
            </w:r>
          </w:p>
        </w:tc>
      </w:tr>
      <w:tr w14:paraId="75C3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jc w:val="center"/>
        </w:trPr>
        <w:tc>
          <w:tcPr>
            <w:tcW w:w="562" w:type="dxa"/>
            <w:vMerge w:val="continue"/>
            <w:vAlign w:val="center"/>
          </w:tcPr>
          <w:p w14:paraId="60949AD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c>
          <w:tcPr>
            <w:tcW w:w="1396" w:type="dxa"/>
            <w:vMerge w:val="continue"/>
            <w:vAlign w:val="center"/>
          </w:tcPr>
          <w:p w14:paraId="4B2DDC3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c>
          <w:tcPr>
            <w:tcW w:w="855" w:type="dxa"/>
            <w:vMerge w:val="continue"/>
            <w:vAlign w:val="center"/>
          </w:tcPr>
          <w:p w14:paraId="3C775A7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p>
        </w:tc>
        <w:tc>
          <w:tcPr>
            <w:tcW w:w="4880" w:type="dxa"/>
          </w:tcPr>
          <w:p w14:paraId="45C85A86">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2.技术方案（包含系统总体架构、儿童语言测评全业务模块精细化设计、信息安全设计、儿童语言障碍测量评估、以及与医院现有HIS系统成熟、稳定、可行的对接方案）；</w:t>
            </w:r>
          </w:p>
          <w:p w14:paraId="2DA0590F">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方案内容不存在瑕疵，得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6AEB5B8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方案内容存在1处瑕疵，得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23232E34">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方案内容存在2处瑕疵，得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68717B25">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处及以上瑕疵或未提供方案得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tc>
        <w:tc>
          <w:tcPr>
            <w:tcW w:w="2043" w:type="dxa"/>
            <w:vMerge w:val="continue"/>
          </w:tcPr>
          <w:p w14:paraId="071BE94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r>
      <w:tr w14:paraId="4A68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562" w:type="dxa"/>
            <w:vMerge w:val="continue"/>
            <w:vAlign w:val="center"/>
          </w:tcPr>
          <w:p w14:paraId="621C1BD0">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1396" w:type="dxa"/>
            <w:vMerge w:val="continue"/>
            <w:vAlign w:val="center"/>
          </w:tcPr>
          <w:p w14:paraId="067D8681">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855" w:type="dxa"/>
            <w:vMerge w:val="continue"/>
            <w:vAlign w:val="center"/>
          </w:tcPr>
          <w:p w14:paraId="35C833B9">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en-US" w:eastAsia="zh-CN" w:bidi="ar-SA"/>
              </w:rPr>
            </w:pPr>
          </w:p>
        </w:tc>
        <w:tc>
          <w:tcPr>
            <w:tcW w:w="4880" w:type="dxa"/>
          </w:tcPr>
          <w:p w14:paraId="12CC172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3.实施计划（包含专项项目组织架构、精细化进度排布、分阶段上线切换步骤、全周期风险识别与闭环管控机制，实施流程完整、节点清晰、落地可控）；</w:t>
            </w:r>
          </w:p>
          <w:p w14:paraId="3C0A25BB">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方案内容不存在瑕疵，得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338E54F5">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方案内容存在1处瑕疵，得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4518E2F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方案内容存在2处瑕疵，得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11A08443">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处及以上瑕疵或未提供方案得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tc>
        <w:tc>
          <w:tcPr>
            <w:tcW w:w="2043" w:type="dxa"/>
            <w:vMerge w:val="continue"/>
          </w:tcPr>
          <w:p w14:paraId="3CE3D048">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r>
      <w:tr w14:paraId="3100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5" w:hRule="atLeast"/>
          <w:jc w:val="center"/>
        </w:trPr>
        <w:tc>
          <w:tcPr>
            <w:tcW w:w="562" w:type="dxa"/>
            <w:vMerge w:val="continue"/>
            <w:vAlign w:val="center"/>
          </w:tcPr>
          <w:p w14:paraId="7A057FAE">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1396" w:type="dxa"/>
            <w:vMerge w:val="continue"/>
            <w:vAlign w:val="center"/>
          </w:tcPr>
          <w:p w14:paraId="198254AB">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855" w:type="dxa"/>
            <w:vMerge w:val="continue"/>
            <w:vAlign w:val="center"/>
          </w:tcPr>
          <w:p w14:paraId="72D1DFCF">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en-US" w:eastAsia="zh-CN" w:bidi="ar-SA"/>
              </w:rPr>
            </w:pPr>
          </w:p>
        </w:tc>
        <w:tc>
          <w:tcPr>
            <w:tcW w:w="4880" w:type="dxa"/>
          </w:tcPr>
          <w:p w14:paraId="42C03541">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4.培训方案（针对系统管理员、医护人员、科室负责人等不同岗位角色，制定分层、分级、分类的专项培训计划，培训覆盖全面、针对性强、可落地）；</w:t>
            </w:r>
          </w:p>
          <w:p w14:paraId="65F9DDA3">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方案内容不存在瑕疵，得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0780E45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方案内容存在1处瑕疵，得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065BE69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方案内容存在2处瑕疵，得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5A87E17D">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处及以上瑕疵或未提供方案得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tc>
        <w:tc>
          <w:tcPr>
            <w:tcW w:w="2043" w:type="dxa"/>
            <w:vMerge w:val="continue"/>
          </w:tcPr>
          <w:p w14:paraId="45BED216">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r>
      <w:tr w14:paraId="1988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0" w:hRule="atLeast"/>
          <w:jc w:val="center"/>
        </w:trPr>
        <w:tc>
          <w:tcPr>
            <w:tcW w:w="562" w:type="dxa"/>
            <w:vMerge w:val="continue"/>
            <w:vAlign w:val="center"/>
          </w:tcPr>
          <w:p w14:paraId="7272D3C5">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1396" w:type="dxa"/>
            <w:vMerge w:val="continue"/>
            <w:vAlign w:val="center"/>
          </w:tcPr>
          <w:p w14:paraId="1C478752">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855" w:type="dxa"/>
            <w:vMerge w:val="continue"/>
            <w:vAlign w:val="center"/>
          </w:tcPr>
          <w:p w14:paraId="243C5FCB">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en-US" w:eastAsia="zh-CN" w:bidi="ar-SA"/>
              </w:rPr>
            </w:pPr>
          </w:p>
        </w:tc>
        <w:tc>
          <w:tcPr>
            <w:tcW w:w="4880" w:type="dxa"/>
          </w:tcPr>
          <w:p w14:paraId="18A5C5E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5.项目验收方案明确验收主体、验收时间、验收流程、验收内容、量化通过标准、异议处理机制，无缺项；验收内容完整覆盖功能需求；明确验收交付物清单，至少包含源代码、设计文档、操作手册、测试报告、安全合规报告、培训材料等，无缺项）</w:t>
            </w:r>
          </w:p>
          <w:p w14:paraId="40A7AD3D">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方案内容不存在瑕疵，得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5E19C171">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方案内容存在1处瑕疵，得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1.5</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7BDC67E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方案内容存在2处瑕疵，得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4750B6EE">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方案内容存在</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处及以上瑕疵或未提供方案得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tc>
        <w:tc>
          <w:tcPr>
            <w:tcW w:w="2043" w:type="dxa"/>
            <w:vMerge w:val="continue"/>
          </w:tcPr>
          <w:p w14:paraId="0683606F">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r>
      <w:tr w14:paraId="3B2D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6" w:hRule="atLeast"/>
          <w:jc w:val="center"/>
        </w:trPr>
        <w:tc>
          <w:tcPr>
            <w:tcW w:w="562" w:type="dxa"/>
            <w:vMerge w:val="restart"/>
            <w:vAlign w:val="center"/>
          </w:tcPr>
          <w:p w14:paraId="48200A6D">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3</w:t>
            </w:r>
          </w:p>
          <w:p w14:paraId="72062C18">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p>
        </w:tc>
        <w:tc>
          <w:tcPr>
            <w:tcW w:w="1396" w:type="dxa"/>
            <w:vMerge w:val="restart"/>
            <w:vAlign w:val="center"/>
          </w:tcPr>
          <w:p w14:paraId="423B5275">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商务部分</w:t>
            </w:r>
          </w:p>
          <w:p w14:paraId="12B6B888">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20</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w:t>
            </w:r>
          </w:p>
        </w:tc>
        <w:tc>
          <w:tcPr>
            <w:tcW w:w="855" w:type="dxa"/>
            <w:vAlign w:val="center"/>
          </w:tcPr>
          <w:p w14:paraId="6916C1A6">
            <w:pPr>
              <w:keepNext w:val="0"/>
              <w:keepLines w:val="0"/>
              <w:widowControl/>
              <w:suppressLineNumbers w:val="0"/>
              <w:adjustRightInd w:val="0"/>
              <w:snapToGrid w:val="0"/>
              <w:spacing w:before="0" w:beforeAutospacing="0" w:after="0" w:afterAutospacing="0"/>
              <w:ind w:left="0" w:right="0"/>
              <w:jc w:val="cente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售后服务10分</w:t>
            </w:r>
          </w:p>
        </w:tc>
        <w:tc>
          <w:tcPr>
            <w:tcW w:w="4880" w:type="dxa"/>
          </w:tcPr>
          <w:p w14:paraId="7523900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1. 投标人提供7×24小时技术支持（邮件、电话、远程、现场），保证1小时内响应，3小时内到达现场（重庆本地），得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2. 质保期在满足招标文件要求（至少3年）的前提下，每增加1年加1分，最高加2分。</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3. 根据投标人或所投产品制造商提供的售后服务方案进行评审：</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方案包含售后服务人员配备、维修维保专业程度、维修到场时间、备件支持等；</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人员配备合理、专业技术性强、维修流程简便快捷为优，得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6</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较合理、较强、较快捷得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br w:type="textWrapping"/>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 不合理或不提供不得分。</w:t>
            </w:r>
          </w:p>
        </w:tc>
        <w:tc>
          <w:tcPr>
            <w:tcW w:w="2043" w:type="dxa"/>
          </w:tcPr>
          <w:p w14:paraId="68755556">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p w14:paraId="0511C015">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提供</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维护</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人员名单及制造商或投标人为其缴纳社保</w:t>
            </w:r>
          </w:p>
          <w:p w14:paraId="64170AE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证明。</w:t>
            </w:r>
          </w:p>
          <w:p w14:paraId="2387CEE0">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.提供质保期承诺函。</w:t>
            </w:r>
          </w:p>
        </w:tc>
      </w:tr>
      <w:tr w14:paraId="74A6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562" w:type="dxa"/>
            <w:vMerge w:val="continue"/>
            <w:vAlign w:val="center"/>
          </w:tcPr>
          <w:p w14:paraId="76C05D0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p>
        </w:tc>
        <w:tc>
          <w:tcPr>
            <w:tcW w:w="1396" w:type="dxa"/>
            <w:vMerge w:val="continue"/>
            <w:vAlign w:val="center"/>
          </w:tcPr>
          <w:p w14:paraId="6BB909AE">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p>
        </w:tc>
        <w:tc>
          <w:tcPr>
            <w:tcW w:w="855" w:type="dxa"/>
            <w:vAlign w:val="center"/>
          </w:tcPr>
          <w:p w14:paraId="5D63DEC0">
            <w:pPr>
              <w:keepNext w:val="0"/>
              <w:keepLines w:val="0"/>
              <w:widowControl/>
              <w:suppressLineNumbers w:val="0"/>
              <w:adjustRightInd w:val="0"/>
              <w:snapToGrid w:val="0"/>
              <w:spacing w:before="0" w:beforeAutospacing="0" w:after="0" w:afterAutospacing="0"/>
              <w:ind w:left="0" w:right="0"/>
              <w:jc w:val="cente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功能迭代能力5分</w:t>
            </w:r>
          </w:p>
        </w:tc>
        <w:tc>
          <w:tcPr>
            <w:tcW w:w="4880" w:type="dxa"/>
          </w:tcPr>
          <w:p w14:paraId="56FF00F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承诺质保期内每年提供不少于 4 次免费功能优化的，加 2 分；</w:t>
            </w:r>
          </w:p>
          <w:p w14:paraId="3DF6AB4D">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2.</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 xml:space="preserve">承诺功能优化需求响应时间≤3 个工作日，开发完成时间≤15 个工作日的，加 </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分；</w:t>
            </w:r>
          </w:p>
          <w:p w14:paraId="6DB3BFA2">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3.</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承诺质保期结束后 2 年内，继续提供免费的系统安全补丁和漏洞修复服务的，加 1 分；</w:t>
            </w:r>
          </w:p>
          <w:p w14:paraId="095DE69B">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4.</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承诺提供终身免费的系统小版本升级服务的，加 1 分。</w:t>
            </w:r>
          </w:p>
        </w:tc>
        <w:tc>
          <w:tcPr>
            <w:tcW w:w="2043" w:type="dxa"/>
          </w:tcPr>
          <w:p w14:paraId="51753DA6">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投标文件中提供书面服务承诺。</w:t>
            </w:r>
          </w:p>
        </w:tc>
      </w:tr>
      <w:tr w14:paraId="1C75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562" w:type="dxa"/>
            <w:vMerge w:val="continue"/>
            <w:vAlign w:val="center"/>
          </w:tcPr>
          <w:p w14:paraId="5A98A63B">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1396" w:type="dxa"/>
            <w:vMerge w:val="continue"/>
            <w:vAlign w:val="center"/>
          </w:tcPr>
          <w:p w14:paraId="76181072">
            <w:pPr>
              <w:keepNext w:val="0"/>
              <w:keepLines w:val="0"/>
              <w:suppressLineNumbers w:val="0"/>
              <w:snapToGrid w:val="0"/>
              <w:spacing w:before="0" w:beforeAutospacing="0" w:after="0" w:afterAutospacing="0" w:line="400" w:lineRule="exact"/>
              <w:ind w:left="0" w:right="0" w:firstLine="420" w:firstLineChars="200"/>
              <w:rPr>
                <w:rFonts w:hint="eastAsia" w:ascii="微软雅黑" w:hAnsi="微软雅黑" w:eastAsia="微软雅黑" w:cs="微软雅黑"/>
                <w:kern w:val="2"/>
                <w:sz w:val="21"/>
                <w:szCs w:val="21"/>
                <w:lang w:val="zh-CN" w:eastAsia="zh-CN" w:bidi="ar-SA"/>
              </w:rPr>
            </w:pPr>
          </w:p>
        </w:tc>
        <w:tc>
          <w:tcPr>
            <w:tcW w:w="855" w:type="dxa"/>
            <w:vAlign w:val="center"/>
          </w:tcPr>
          <w:p w14:paraId="32A23CF1">
            <w:pPr>
              <w:keepNext w:val="0"/>
              <w:keepLines w:val="0"/>
              <w:suppressLineNumbers w:val="0"/>
              <w:snapToGrid w:val="0"/>
              <w:spacing w:before="0" w:beforeAutospacing="0" w:after="0" w:afterAutospacing="0" w:line="400" w:lineRule="exact"/>
              <w:ind w:left="0" w:right="0"/>
              <w:jc w:val="center"/>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kern w:val="2"/>
                <w:sz w:val="21"/>
                <w:szCs w:val="21"/>
                <w:lang w:val="zh-CN" w:eastAsia="zh-CN" w:bidi="ar-SA"/>
              </w:rPr>
              <w:t>业绩</w:t>
            </w:r>
          </w:p>
          <w:p w14:paraId="2C4A12A1">
            <w:pPr>
              <w:keepNext w:val="0"/>
              <w:keepLines w:val="0"/>
              <w:suppressLineNumbers w:val="0"/>
              <w:snapToGrid w:val="0"/>
              <w:spacing w:before="0" w:beforeAutospacing="0" w:after="0" w:afterAutospacing="0" w:line="400" w:lineRule="exact"/>
              <w:ind w:left="0" w:right="0"/>
              <w:jc w:val="center"/>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5分</w:t>
            </w:r>
          </w:p>
        </w:tc>
        <w:tc>
          <w:tcPr>
            <w:tcW w:w="4880" w:type="dxa"/>
          </w:tcPr>
          <w:p w14:paraId="7DAD30EC">
            <w:pPr>
              <w:keepNext w:val="0"/>
              <w:keepLines w:val="0"/>
              <w:widowControl/>
              <w:suppressLineNumbers w:val="0"/>
              <w:adjustRightInd w:val="0"/>
              <w:snapToGrid w:val="0"/>
              <w:spacing w:before="0" w:beforeAutospacing="0" w:after="0" w:afterAutospacing="0"/>
              <w:ind w:left="0" w:right="0"/>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pP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投标人或所投软件制造商提供近三年（</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合同签订时间为2023年1月1日至投标截止时间前</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）成功实施的</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儿童语言障碍测量管理系统</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项目业绩，每提供1个三甲医院项目合同得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1</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分，本项最高得</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5</w:t>
            </w:r>
            <w:r>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t>分。</w:t>
            </w:r>
          </w:p>
        </w:tc>
        <w:tc>
          <w:tcPr>
            <w:tcW w:w="2043" w:type="dxa"/>
          </w:tcPr>
          <w:p w14:paraId="656EE76E">
            <w:pPr>
              <w:keepNext w:val="0"/>
              <w:keepLines w:val="0"/>
              <w:suppressLineNumbers w:val="0"/>
              <w:snapToGrid w:val="0"/>
              <w:spacing w:before="0" w:beforeAutospacing="0" w:after="0" w:afterAutospacing="0" w:line="400" w:lineRule="exact"/>
              <w:ind w:right="0"/>
              <w:rPr>
                <w:rFonts w:hint="eastAsia" w:ascii="微软雅黑" w:hAnsi="微软雅黑" w:eastAsia="微软雅黑" w:cs="微软雅黑"/>
                <w:kern w:val="2"/>
                <w:sz w:val="21"/>
                <w:szCs w:val="21"/>
                <w:lang w:val="zh-CN" w:eastAsia="zh-CN" w:bidi="ar-SA"/>
              </w:rPr>
            </w:pPr>
            <w:r>
              <w:rPr>
                <w:rFonts w:hint="eastAsia" w:ascii="微软雅黑" w:hAnsi="微软雅黑" w:eastAsia="微软雅黑" w:cs="微软雅黑"/>
                <w:kern w:val="2"/>
                <w:sz w:val="21"/>
                <w:szCs w:val="21"/>
                <w:lang w:val="zh-CN" w:eastAsia="zh-CN" w:bidi="ar-SA"/>
              </w:rPr>
              <w:t>提供销售合同复印件</w:t>
            </w:r>
          </w:p>
        </w:tc>
      </w:tr>
    </w:tbl>
    <w:p w14:paraId="45C80408">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5660"/>
      <w:bookmarkStart w:id="115" w:name="_Toc2948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4"/>
      <w:bookmarkEnd w:id="115"/>
    </w:p>
    <w:p w14:paraId="6DF4227D">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14:paraId="4D80F735">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14:paraId="71DC882A">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14:paraId="18B9A7C6">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14:paraId="6270D5EC">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14:paraId="2968E0CB">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14:paraId="4BA1DAE9">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14:paraId="6DFE753B">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14:paraId="3169ABE3">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14:paraId="6C735320">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14:paraId="72222E7B">
      <w:pPr>
        <w:snapToGrid w:val="0"/>
        <w:spacing w:line="400" w:lineRule="exact"/>
        <w:ind w:firstLine="465"/>
        <w:rPr>
          <w:rFonts w:hint="eastAsia"/>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14:paraId="11437572">
      <w:pPr>
        <w:pStyle w:val="5"/>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6" w:name="_Toc76462336"/>
      <w:bookmarkStart w:id="117" w:name="_Toc10687"/>
      <w:bookmarkStart w:id="118" w:name="_Toc106030891"/>
      <w:bookmarkStart w:id="119" w:name="_Toc29702"/>
      <w:bookmarkStart w:id="120" w:name="_Toc15885"/>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6"/>
      <w:bookmarkEnd w:id="117"/>
      <w:bookmarkEnd w:id="118"/>
      <w:r>
        <w:rPr>
          <w:rFonts w:hint="eastAsia" w:ascii="微软雅黑" w:hAnsi="微软雅黑" w:eastAsia="微软雅黑" w:cs="微软雅黑"/>
          <w:sz w:val="24"/>
          <w:lang w:val="en-US" w:eastAsia="zh-CN"/>
        </w:rPr>
        <w:t>废标条款</w:t>
      </w:r>
      <w:bookmarkEnd w:id="119"/>
      <w:bookmarkEnd w:id="120"/>
    </w:p>
    <w:p w14:paraId="6747ACFF">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14:paraId="7A819705">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14:paraId="186D8357">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14:paraId="00C0C621">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r>
        <w:rPr>
          <w:rFonts w:hint="eastAsia" w:ascii="微软雅黑" w:hAnsi="微软雅黑" w:eastAsia="微软雅黑" w:cs="微软雅黑"/>
          <w:sz w:val="24"/>
          <w:szCs w:val="24"/>
          <w:lang w:eastAsia="zh-CN"/>
        </w:rPr>
        <w:t>）</w:t>
      </w:r>
    </w:p>
    <w:p w14:paraId="5699C7D8">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14:paraId="7A82DE48">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14:paraId="02424143">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21" w:name="_Toc29948"/>
      <w:bookmarkStart w:id="122" w:name="_Toc106030892"/>
      <w:bookmarkStart w:id="123" w:name="_Toc102227313"/>
      <w:bookmarkStart w:id="124" w:name="_Toc76462337"/>
      <w:bookmarkStart w:id="125" w:name="_Toc1938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1"/>
      <w:bookmarkEnd w:id="122"/>
      <w:bookmarkEnd w:id="123"/>
      <w:bookmarkEnd w:id="124"/>
      <w:bookmarkEnd w:id="125"/>
    </w:p>
    <w:p w14:paraId="24451F8F">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6717"/>
      <w:bookmarkStart w:id="127" w:name="_Toc32169"/>
      <w:bookmarkStart w:id="128" w:name="_Toc106030893"/>
      <w:bookmarkStart w:id="129" w:name="_Toc76462338"/>
      <w:bookmarkStart w:id="130" w:name="_Toc34291338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6"/>
      <w:bookmarkEnd w:id="127"/>
      <w:bookmarkEnd w:id="128"/>
      <w:bookmarkEnd w:id="129"/>
      <w:bookmarkEnd w:id="130"/>
    </w:p>
    <w:p w14:paraId="2980A966">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14:paraId="3F7672B3">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342913391"/>
      <w:bookmarkStart w:id="132" w:name="_Toc106030894"/>
      <w:bookmarkStart w:id="133" w:name="_Toc15712"/>
      <w:bookmarkStart w:id="134" w:name="_Toc29479"/>
      <w:bookmarkStart w:id="135"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1"/>
      <w:bookmarkEnd w:id="132"/>
      <w:bookmarkEnd w:id="133"/>
      <w:bookmarkEnd w:id="134"/>
      <w:bookmarkEnd w:id="135"/>
    </w:p>
    <w:p w14:paraId="1145F82C">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14:paraId="7F5D86AD">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14:paraId="320A2441">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14:paraId="7EE26302">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6" w:name="_Toc318159160"/>
      <w:bookmarkStart w:id="137" w:name="_Toc318159349"/>
      <w:bookmarkStart w:id="138" w:name="_Toc318159780"/>
      <w:bookmarkStart w:id="139" w:name="_Toc318166429"/>
    </w:p>
    <w:bookmarkEnd w:id="136"/>
    <w:bookmarkEnd w:id="137"/>
    <w:bookmarkEnd w:id="138"/>
    <w:bookmarkEnd w:id="139"/>
    <w:p w14:paraId="5AF7A4EB">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76462340"/>
      <w:bookmarkStart w:id="141" w:name="_Toc23630"/>
      <w:bookmarkStart w:id="142" w:name="_Toc342913392"/>
      <w:bookmarkStart w:id="143" w:name="_Toc102227318"/>
      <w:bookmarkStart w:id="144" w:name="_Toc106030895"/>
      <w:bookmarkStart w:id="145" w:name="_Toc26007"/>
      <w:bookmarkStart w:id="146" w:name="_Toc17971429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40"/>
      <w:bookmarkEnd w:id="141"/>
      <w:bookmarkEnd w:id="142"/>
      <w:bookmarkEnd w:id="143"/>
      <w:bookmarkEnd w:id="144"/>
      <w:bookmarkEnd w:id="145"/>
      <w:bookmarkEnd w:id="146"/>
    </w:p>
    <w:p w14:paraId="3CAB5B07">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14:paraId="0B146EB1">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14:paraId="786F9E02">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14:paraId="27EAAA06">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14:paraId="0090968F">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14:paraId="7F0AD1D6">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14:paraId="5C048B1F">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14:paraId="7BE5BA78">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14:paraId="7DA99E28">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14:paraId="0D7E5A7C">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14:paraId="71B0FF09">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14:paraId="30351D43">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4206FBAC">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14:paraId="5DFF94FA">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14:paraId="28CFB4A6">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14:paraId="7FB7A1C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14:paraId="6D1F3F11">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14:paraId="4064EF44">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14:paraId="1F253425">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14:paraId="0184638A">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6798"/>
      <w:bookmarkStart w:id="148" w:name="_Toc6435"/>
      <w:bookmarkStart w:id="149" w:name="_Toc106030896"/>
      <w:bookmarkStart w:id="150"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7"/>
      <w:bookmarkEnd w:id="148"/>
      <w:bookmarkEnd w:id="149"/>
      <w:bookmarkEnd w:id="150"/>
    </w:p>
    <w:p w14:paraId="0C135D6D">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14:paraId="2E9C14ED">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14:paraId="41682D19">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14:paraId="27033E64">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14:paraId="3B578226">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30288"/>
      <w:bookmarkStart w:id="152" w:name="_Toc76462342"/>
      <w:bookmarkStart w:id="153" w:name="_Toc102227321"/>
      <w:bookmarkStart w:id="154" w:name="_Toc106030897"/>
      <w:bookmarkStart w:id="155" w:name="_Toc342913395"/>
      <w:bookmarkStart w:id="156" w:name="_Toc21532"/>
      <w:r>
        <w:rPr>
          <w:rFonts w:hint="eastAsia" w:ascii="微软雅黑" w:hAnsi="微软雅黑" w:eastAsia="微软雅黑" w:cs="微软雅黑"/>
          <w:sz w:val="24"/>
        </w:rPr>
        <w:t>五、成交通知</w:t>
      </w:r>
      <w:bookmarkEnd w:id="151"/>
      <w:bookmarkEnd w:id="152"/>
      <w:bookmarkEnd w:id="153"/>
      <w:bookmarkEnd w:id="154"/>
      <w:bookmarkEnd w:id="155"/>
      <w:bookmarkEnd w:id="156"/>
    </w:p>
    <w:p w14:paraId="168B0C79">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14:paraId="125A1551">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14:paraId="3998C809">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106030898"/>
      <w:bookmarkStart w:id="158" w:name="_Toc5511"/>
      <w:bookmarkStart w:id="159" w:name="_Toc76462343"/>
      <w:bookmarkStart w:id="160"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7"/>
      <w:bookmarkEnd w:id="158"/>
      <w:bookmarkEnd w:id="159"/>
      <w:bookmarkEnd w:id="160"/>
    </w:p>
    <w:p w14:paraId="756A540C">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14:paraId="21A7A9E8">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14:paraId="006EBC8D">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14:paraId="0E7A15B5">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14:paraId="10034173">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14:paraId="16B83BF7">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14:paraId="25E4617C">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14:paraId="11ACEBAD">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14:paraId="3E04239F">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14:paraId="60334870">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14:paraId="7DE8DA7A">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14:paraId="79525E14">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14:paraId="501E6962">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14:paraId="59021811">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14:paraId="0A0F4F2F">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14:paraId="23C04FA4">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14:paraId="4C0792F1">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14:paraId="740EB808">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14:paraId="3BB6F1DA">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1" w:name="_Toc28334"/>
      <w:bookmarkStart w:id="162" w:name="_Toc76462344"/>
      <w:bookmarkStart w:id="163" w:name="_Toc106030899"/>
    </w:p>
    <w:p w14:paraId="58B497D8">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4"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1"/>
      <w:bookmarkEnd w:id="162"/>
      <w:bookmarkEnd w:id="163"/>
      <w:bookmarkStart w:id="165" w:name="_Toc102227322"/>
      <w:bookmarkStart w:id="166" w:name="_Toc3372"/>
      <w:bookmarkStart w:id="167" w:name="_Toc76462346"/>
      <w:bookmarkStart w:id="168" w:name="_Toc342913396"/>
      <w:bookmarkStart w:id="169" w:name="_Toc106030901"/>
      <w:bookmarkStart w:id="170" w:name="_Toc11641055"/>
      <w:bookmarkStart w:id="171" w:name="_Toc12789059"/>
      <w:r>
        <w:rPr>
          <w:rFonts w:hint="eastAsia" w:ascii="微软雅黑" w:hAnsi="微软雅黑" w:eastAsia="微软雅黑" w:cs="微软雅黑"/>
          <w:color w:val="auto"/>
          <w:sz w:val="24"/>
        </w:rPr>
        <w:t>签订</w:t>
      </w:r>
      <w:bookmarkEnd w:id="165"/>
      <w:r>
        <w:rPr>
          <w:rFonts w:hint="eastAsia" w:ascii="微软雅黑" w:hAnsi="微软雅黑" w:eastAsia="微软雅黑" w:cs="微软雅黑"/>
          <w:color w:val="auto"/>
          <w:sz w:val="24"/>
        </w:rPr>
        <w:t>合同</w:t>
      </w:r>
      <w:bookmarkEnd w:id="164"/>
      <w:bookmarkEnd w:id="166"/>
      <w:bookmarkEnd w:id="167"/>
      <w:bookmarkEnd w:id="168"/>
      <w:bookmarkEnd w:id="169"/>
    </w:p>
    <w:p w14:paraId="2E13470D">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14:paraId="2A6A7B2F">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14:paraId="641254BC">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14:paraId="70287998">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70"/>
      <w:bookmarkEnd w:id="171"/>
    </w:p>
    <w:p w14:paraId="03370C8F">
      <w:pPr>
        <w:pStyle w:val="5"/>
        <w:spacing w:before="200" w:after="200" w:line="240" w:lineRule="auto"/>
        <w:jc w:val="center"/>
        <w:rPr>
          <w:rFonts w:hint="eastAsia" w:ascii="微软雅黑" w:hAnsi="微软雅黑" w:eastAsia="微软雅黑" w:cs="微软雅黑"/>
          <w:b/>
          <w:sz w:val="44"/>
          <w:szCs w:val="20"/>
        </w:rPr>
      </w:pPr>
      <w:bookmarkStart w:id="172" w:name="_Hlt41879464"/>
      <w:bookmarkEnd w:id="172"/>
      <w:bookmarkStart w:id="173" w:name="_Toc27984"/>
      <w:bookmarkStart w:id="174" w:name="_Toc76462349"/>
      <w:bookmarkStart w:id="175" w:name="_Toc13524"/>
      <w:bookmarkStart w:id="176" w:name="_Toc106030905"/>
      <w:r>
        <w:rPr>
          <w:rFonts w:hint="eastAsia" w:ascii="微软雅黑" w:hAnsi="微软雅黑" w:eastAsia="微软雅黑" w:cs="微软雅黑"/>
          <w:b/>
          <w:sz w:val="44"/>
          <w:szCs w:val="20"/>
        </w:rPr>
        <w:t>第六篇  响应文件编制要求</w:t>
      </w:r>
      <w:bookmarkEnd w:id="173"/>
      <w:bookmarkEnd w:id="174"/>
      <w:bookmarkEnd w:id="175"/>
      <w:bookmarkEnd w:id="176"/>
    </w:p>
    <w:p w14:paraId="7F9837D1">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14:paraId="75A15A06">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14:paraId="573E3E7C">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14:paraId="27630C8E">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14:paraId="4334385B">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14:paraId="544C578B">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14:paraId="0599FF06">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14:paraId="47A0FD21">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14:paraId="226F4E70">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14:paraId="6A84CD6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14:paraId="340D6B86">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14:paraId="4FA7AA5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14:paraId="44740770">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14:paraId="6660B4C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14:paraId="5F8CE994">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14:paraId="221CDDA9">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114CE">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14:paraId="4873E61A">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AC69B">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2755C021">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478CC">
    <w:pPr>
      <w:pStyle w:val="36"/>
      <w:framePr w:wrap="around" w:vAnchor="text" w:hAnchor="margin" w:xAlign="center" w:y="1"/>
      <w:rPr>
        <w:rStyle w:val="61"/>
      </w:rPr>
    </w:pPr>
  </w:p>
  <w:p w14:paraId="314296F1">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EA44">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10BA0">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80AC8">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14:paraId="26B0D297">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0A7B4">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BE346">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3ABE346">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5DFA9">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4CB15">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440BE">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CA6D9F"/>
    <w:multiLevelType w:val="singleLevel"/>
    <w:tmpl w:val="EECA6D9F"/>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210711"/>
    <w:rsid w:val="026C7369"/>
    <w:rsid w:val="030620E3"/>
    <w:rsid w:val="043206CC"/>
    <w:rsid w:val="06E93877"/>
    <w:rsid w:val="079B568B"/>
    <w:rsid w:val="07A30BF9"/>
    <w:rsid w:val="07F103E0"/>
    <w:rsid w:val="07FB2BE5"/>
    <w:rsid w:val="08183809"/>
    <w:rsid w:val="092E6FC0"/>
    <w:rsid w:val="09A746B3"/>
    <w:rsid w:val="0A251F2C"/>
    <w:rsid w:val="0A823A37"/>
    <w:rsid w:val="0AF9447C"/>
    <w:rsid w:val="0B4077B6"/>
    <w:rsid w:val="0BB87E47"/>
    <w:rsid w:val="0BC54681"/>
    <w:rsid w:val="0BE364E6"/>
    <w:rsid w:val="0CB4432A"/>
    <w:rsid w:val="0D1F249B"/>
    <w:rsid w:val="0D6266C4"/>
    <w:rsid w:val="0DF26CD2"/>
    <w:rsid w:val="0E691BE1"/>
    <w:rsid w:val="0E727B5D"/>
    <w:rsid w:val="104363AE"/>
    <w:rsid w:val="11666B9B"/>
    <w:rsid w:val="11C02D44"/>
    <w:rsid w:val="147A5E14"/>
    <w:rsid w:val="15935DB5"/>
    <w:rsid w:val="15BB3449"/>
    <w:rsid w:val="17224684"/>
    <w:rsid w:val="17351C20"/>
    <w:rsid w:val="178B1D79"/>
    <w:rsid w:val="17A1211B"/>
    <w:rsid w:val="18511324"/>
    <w:rsid w:val="18ED7A84"/>
    <w:rsid w:val="19255AF5"/>
    <w:rsid w:val="193B151F"/>
    <w:rsid w:val="1A7E6296"/>
    <w:rsid w:val="1AAE78A1"/>
    <w:rsid w:val="1AC5734F"/>
    <w:rsid w:val="1C5F6A76"/>
    <w:rsid w:val="1C8D0319"/>
    <w:rsid w:val="1F0D01CA"/>
    <w:rsid w:val="1F9008B2"/>
    <w:rsid w:val="21864056"/>
    <w:rsid w:val="23861F96"/>
    <w:rsid w:val="23C71C0F"/>
    <w:rsid w:val="2486441F"/>
    <w:rsid w:val="254C6FC4"/>
    <w:rsid w:val="25E7798B"/>
    <w:rsid w:val="265B1B40"/>
    <w:rsid w:val="2AA01F44"/>
    <w:rsid w:val="2CD7370E"/>
    <w:rsid w:val="2D5141FA"/>
    <w:rsid w:val="2DB332A4"/>
    <w:rsid w:val="2E2D3EDF"/>
    <w:rsid w:val="2F8E2B89"/>
    <w:rsid w:val="300C58E0"/>
    <w:rsid w:val="30895BF5"/>
    <w:rsid w:val="32C66882"/>
    <w:rsid w:val="332D1E43"/>
    <w:rsid w:val="33564527"/>
    <w:rsid w:val="35397720"/>
    <w:rsid w:val="365D42EE"/>
    <w:rsid w:val="378E072C"/>
    <w:rsid w:val="37A85EFC"/>
    <w:rsid w:val="38141CAD"/>
    <w:rsid w:val="38FE6730"/>
    <w:rsid w:val="39AA75C6"/>
    <w:rsid w:val="39C0436B"/>
    <w:rsid w:val="39C353F8"/>
    <w:rsid w:val="3ACE5D4F"/>
    <w:rsid w:val="3C55524B"/>
    <w:rsid w:val="3CD2331B"/>
    <w:rsid w:val="3DF6488D"/>
    <w:rsid w:val="3E15285A"/>
    <w:rsid w:val="3E1A30F3"/>
    <w:rsid w:val="3EEC6CD3"/>
    <w:rsid w:val="3F1C71CA"/>
    <w:rsid w:val="3FFA0903"/>
    <w:rsid w:val="40121DC3"/>
    <w:rsid w:val="406334F2"/>
    <w:rsid w:val="40805288"/>
    <w:rsid w:val="409F14A1"/>
    <w:rsid w:val="415F6EA3"/>
    <w:rsid w:val="41B20BF4"/>
    <w:rsid w:val="42395B6E"/>
    <w:rsid w:val="423A7D1B"/>
    <w:rsid w:val="44D57484"/>
    <w:rsid w:val="45236DFE"/>
    <w:rsid w:val="45280BA2"/>
    <w:rsid w:val="452C7897"/>
    <w:rsid w:val="4574582A"/>
    <w:rsid w:val="45AB16BA"/>
    <w:rsid w:val="467C59FB"/>
    <w:rsid w:val="479F10AA"/>
    <w:rsid w:val="48794403"/>
    <w:rsid w:val="487A6880"/>
    <w:rsid w:val="494C6B8D"/>
    <w:rsid w:val="495312E8"/>
    <w:rsid w:val="497B7CB3"/>
    <w:rsid w:val="4AEC1DD8"/>
    <w:rsid w:val="4B2D12E0"/>
    <w:rsid w:val="4BEB6B31"/>
    <w:rsid w:val="4D4E307F"/>
    <w:rsid w:val="4DD36371"/>
    <w:rsid w:val="4E1E28EC"/>
    <w:rsid w:val="4E7E3BEB"/>
    <w:rsid w:val="4EB1445D"/>
    <w:rsid w:val="4F070047"/>
    <w:rsid w:val="4F3C244F"/>
    <w:rsid w:val="4FF705C0"/>
    <w:rsid w:val="51114996"/>
    <w:rsid w:val="5115115D"/>
    <w:rsid w:val="521E4A24"/>
    <w:rsid w:val="52257E38"/>
    <w:rsid w:val="52D92ACB"/>
    <w:rsid w:val="52D93D20"/>
    <w:rsid w:val="5331413B"/>
    <w:rsid w:val="53B4776F"/>
    <w:rsid w:val="53DF1E3A"/>
    <w:rsid w:val="55051FF5"/>
    <w:rsid w:val="558E730F"/>
    <w:rsid w:val="55D12ED5"/>
    <w:rsid w:val="569B202A"/>
    <w:rsid w:val="57857077"/>
    <w:rsid w:val="57EF5962"/>
    <w:rsid w:val="5875792F"/>
    <w:rsid w:val="591206FA"/>
    <w:rsid w:val="59592E2D"/>
    <w:rsid w:val="5AA16971"/>
    <w:rsid w:val="5B9C3E91"/>
    <w:rsid w:val="5BF33B96"/>
    <w:rsid w:val="5CA67F0E"/>
    <w:rsid w:val="5D8B7FF5"/>
    <w:rsid w:val="5DB83C1E"/>
    <w:rsid w:val="60405A91"/>
    <w:rsid w:val="607A6D16"/>
    <w:rsid w:val="60C15D40"/>
    <w:rsid w:val="60E05AE3"/>
    <w:rsid w:val="61625D90"/>
    <w:rsid w:val="618B1A21"/>
    <w:rsid w:val="62357BCB"/>
    <w:rsid w:val="65C328F3"/>
    <w:rsid w:val="66246E50"/>
    <w:rsid w:val="68BD663A"/>
    <w:rsid w:val="692F74C0"/>
    <w:rsid w:val="69482C1A"/>
    <w:rsid w:val="696405DD"/>
    <w:rsid w:val="6AC17039"/>
    <w:rsid w:val="6B2E5407"/>
    <w:rsid w:val="6CC3782A"/>
    <w:rsid w:val="6F4859CD"/>
    <w:rsid w:val="6FE969BF"/>
    <w:rsid w:val="70003319"/>
    <w:rsid w:val="701245F9"/>
    <w:rsid w:val="71175C34"/>
    <w:rsid w:val="726B2176"/>
    <w:rsid w:val="728546C6"/>
    <w:rsid w:val="73113F3E"/>
    <w:rsid w:val="744B2CC4"/>
    <w:rsid w:val="747D277F"/>
    <w:rsid w:val="74D70DF7"/>
    <w:rsid w:val="750950F5"/>
    <w:rsid w:val="750D16CF"/>
    <w:rsid w:val="76D6519D"/>
    <w:rsid w:val="771F5130"/>
    <w:rsid w:val="789F3DA6"/>
    <w:rsid w:val="78A52377"/>
    <w:rsid w:val="78EF15F1"/>
    <w:rsid w:val="79082185"/>
    <w:rsid w:val="7986201F"/>
    <w:rsid w:val="7A6F77AB"/>
    <w:rsid w:val="7AAC4823"/>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420"/>
    </w:pPr>
    <w:rPr>
      <w:rFonts w:ascii="宋体" w:hAnsi="宋体"/>
      <w:sz w:val="24"/>
    </w:rPr>
  </w:style>
  <w:style w:type="paragraph" w:styleId="3">
    <w:name w:val="Body Text"/>
    <w:basedOn w:val="1"/>
    <w:qFormat/>
    <w:uiPriority w:val="0"/>
    <w:rPr>
      <w:rFonts w:ascii="仿宋_GB2312" w:eastAsia="仿宋_GB2312"/>
      <w:sz w:val="32"/>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8"/>
    <w:qFormat/>
    <w:uiPriority w:val="0"/>
    <w:pPr>
      <w:adjustRightInd/>
      <w:spacing w:line="240" w:lineRule="auto"/>
      <w:textAlignment w:val="auto"/>
    </w:pPr>
  </w:style>
  <w:style w:type="paragraph" w:styleId="56">
    <w:name w:val="Body Text First Indent 2"/>
    <w:basedOn w:val="24"/>
    <w:link w:val="79"/>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引用1"/>
    <w:basedOn w:val="1"/>
    <w:next w:val="1"/>
    <w:qFormat/>
    <w:uiPriority w:val="99"/>
    <w:rPr>
      <w:rFonts w:ascii="Calibri" w:hAnsi="Calibri"/>
      <w:i/>
      <w:iCs/>
      <w:color w:val="000000"/>
      <w:kern w:val="0"/>
      <w:sz w:val="22"/>
      <w:szCs w:val="20"/>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5"/>
    <w:qFormat/>
    <w:uiPriority w:val="0"/>
    <w:rPr>
      <w:rFonts w:ascii="Arial" w:hAnsi="Arial" w:eastAsia="黑体"/>
      <w:b/>
      <w:kern w:val="2"/>
      <w:sz w:val="32"/>
    </w:rPr>
  </w:style>
  <w:style w:type="character" w:customStyle="1" w:styleId="72">
    <w:name w:val="标题 3 Char"/>
    <w:link w:val="6"/>
    <w:qFormat/>
    <w:uiPriority w:val="0"/>
    <w:rPr>
      <w:rFonts w:eastAsia="宋体"/>
      <w:b/>
      <w:kern w:val="2"/>
      <w:sz w:val="32"/>
      <w:lang w:val="en-US" w:eastAsia="zh-CN"/>
    </w:rPr>
  </w:style>
  <w:style w:type="character" w:customStyle="1" w:styleId="73">
    <w:name w:val="批注文字 Char"/>
    <w:link w:val="21"/>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6"/>
    <w:next w:val="2"/>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9"/>
    <w:qFormat/>
    <w:uiPriority w:val="0"/>
    <w:rPr>
      <w:rFonts w:ascii="宋体" w:hAnsi="Tahoma"/>
    </w:rPr>
  </w:style>
  <w:style w:type="paragraph" w:customStyle="1" w:styleId="148">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3"/>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 w:type="paragraph" w:customStyle="1" w:styleId="248">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17</Pages>
  <Words>10205</Words>
  <Characters>10543</Characters>
  <Lines>170</Lines>
  <Paragraphs>47</Paragraphs>
  <TotalTime>10</TotalTime>
  <ScaleCrop>false</ScaleCrop>
  <LinksUpToDate>false</LinksUpToDate>
  <CharactersWithSpaces>10715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詩情畫意</cp:lastModifiedBy>
  <cp:lastPrinted>2015-03-25T02:14:00Z</cp:lastPrinted>
  <dcterms:modified xsi:type="dcterms:W3CDTF">2026-10-08T02:52:54Z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3A2173257EEC4EE39BBC8864493624AF_13</vt:lpwstr>
  </property>
  <property fmtid="{D5CDD505-2E9C-101B-9397-08002B2CF9AE}" pid="4" name="KSOTemplateDocerSaveRecord">
    <vt:lpwstr>eyJoZGlkIjoiMjhiYjAzMDE3MzYzYzAwY2Q0MDhhOGQxOWVjZjVhZWUiLCJ1c2VySWQiOiIyNjI3MjU1MjcifQ==</vt:lpwstr>
  </property>
</Properties>
</file>