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bookmarkStart w:id="0" w:name="_Toc12789058"/>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YYB260508</w:t>
      </w:r>
    </w:p>
    <w:p>
      <w:pPr>
        <w:spacing w:line="360" w:lineRule="auto"/>
        <w:ind w:left="3592" w:leftChars="640" w:hanging="1800" w:hanging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重庆医科大学附属儿童医院七十周年校庆、院庆纪念品采购项目</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10</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1" w:name="_Toc106030870"/>
      <w:bookmarkStart w:id="2" w:name="_Toc11641050"/>
      <w:bookmarkStart w:id="3" w:name="_Toc12789052"/>
      <w:bookmarkStart w:id="4" w:name="_Toc24037"/>
      <w:bookmarkStart w:id="5" w:name="_Toc76462316"/>
      <w:bookmarkStart w:id="6" w:name="_Toc27110"/>
      <w:r>
        <w:rPr>
          <w:rFonts w:hint="eastAsia" w:ascii="微软雅黑" w:hAnsi="微软雅黑" w:eastAsia="微软雅黑" w:cs="微软雅黑"/>
          <w:sz w:val="44"/>
        </w:rPr>
        <w:t>第一篇  采购邀请书</w:t>
      </w:r>
      <w:bookmarkEnd w:id="1"/>
      <w:bookmarkEnd w:id="2"/>
      <w:bookmarkEnd w:id="3"/>
      <w:bookmarkEnd w:id="4"/>
      <w:bookmarkEnd w:id="5"/>
      <w:bookmarkEnd w:id="6"/>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重庆医科大学附属儿童医院七十周年校庆、院庆纪念品采购</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7" w:name="_Toc106030871"/>
      <w:bookmarkStart w:id="8" w:name="_Toc317775175"/>
      <w:bookmarkStart w:id="9" w:name="_Toc76462317"/>
      <w:bookmarkStart w:id="10" w:name="_Toc3856"/>
      <w:bookmarkStart w:id="11" w:name="_Toc313893526"/>
      <w:bookmarkStart w:id="12" w:name="_Toc13094"/>
      <w:r>
        <w:rPr>
          <w:rFonts w:hint="eastAsia" w:ascii="微软雅黑" w:hAnsi="微软雅黑" w:eastAsia="微软雅黑" w:cs="微软雅黑"/>
          <w:sz w:val="24"/>
        </w:rPr>
        <w:t>公开比选采购内容</w:t>
      </w:r>
      <w:bookmarkEnd w:id="7"/>
      <w:bookmarkEnd w:id="8"/>
      <w:bookmarkEnd w:id="9"/>
      <w:bookmarkEnd w:id="10"/>
      <w:bookmarkEnd w:id="11"/>
      <w:bookmarkEnd w:id="12"/>
    </w:p>
    <w:tbl>
      <w:tblPr>
        <w:tblStyle w:val="58"/>
        <w:tblW w:w="45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511"/>
        <w:gridCol w:w="2125"/>
        <w:gridCol w:w="1013"/>
        <w:gridCol w:w="14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86"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3" w:name="_Toc76462318"/>
            <w:bookmarkStart w:id="14" w:name="_Toc106030872"/>
            <w:bookmarkStart w:id="15" w:name="_Toc373860293"/>
            <w:bookmarkStart w:id="16" w:name="_Toc317775178"/>
            <w:r>
              <w:rPr>
                <w:rFonts w:hint="eastAsia" w:ascii="微软雅黑" w:hAnsi="微软雅黑" w:eastAsia="微软雅黑" w:cs="微软雅黑"/>
                <w:b/>
                <w:bCs/>
                <w:kern w:val="0"/>
                <w:sz w:val="21"/>
                <w:szCs w:val="24"/>
              </w:rPr>
              <w:t>项目编号</w:t>
            </w:r>
          </w:p>
        </w:tc>
        <w:tc>
          <w:tcPr>
            <w:tcW w:w="1457"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23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单价最高限价</w:t>
            </w:r>
          </w:p>
        </w:tc>
        <w:tc>
          <w:tcPr>
            <w:tcW w:w="588"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833"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86"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YYB260508</w:t>
            </w:r>
          </w:p>
        </w:tc>
        <w:tc>
          <w:tcPr>
            <w:tcW w:w="1457"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重庆医科大学附属儿童医院七十周年校庆、院庆纪念品采购项目</w:t>
            </w:r>
          </w:p>
        </w:tc>
        <w:tc>
          <w:tcPr>
            <w:tcW w:w="1233" w:type="pct"/>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套装1、套装2最高限价115.5元/份</w:t>
            </w:r>
          </w:p>
          <w:p>
            <w:pPr>
              <w:widowControl/>
              <w:jc w:val="lef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，套装3最高限价33.9元/份。</w:t>
            </w:r>
          </w:p>
        </w:tc>
        <w:tc>
          <w:tcPr>
            <w:tcW w:w="588"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83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 w:name="_Toc9755"/>
      <w:bookmarkStart w:id="18" w:name="_Toc14168"/>
      <w:r>
        <w:rPr>
          <w:rFonts w:hint="eastAsia" w:ascii="微软雅黑" w:hAnsi="微软雅黑" w:eastAsia="微软雅黑" w:cs="微软雅黑"/>
          <w:sz w:val="24"/>
        </w:rPr>
        <w:t>二、</w:t>
      </w:r>
      <w:bookmarkEnd w:id="13"/>
      <w:bookmarkEnd w:id="14"/>
      <w:bookmarkEnd w:id="17"/>
      <w:bookmarkStart w:id="19" w:name="_Toc76462319"/>
      <w:bookmarkStart w:id="20" w:name="_Toc4480"/>
      <w:bookmarkStart w:id="21" w:name="_Toc106030873"/>
      <w:r>
        <w:rPr>
          <w:rFonts w:hint="eastAsia" w:ascii="微软雅黑" w:hAnsi="微软雅黑" w:eastAsia="微软雅黑" w:cs="微软雅黑"/>
          <w:sz w:val="24"/>
        </w:rPr>
        <w:t>投标人资格条件</w:t>
      </w:r>
      <w:bookmarkEnd w:id="18"/>
      <w:bookmarkEnd w:id="19"/>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2" w:name="_Toc76462320"/>
      <w:bookmarkStart w:id="23" w:name="_Toc106030874"/>
      <w:bookmarkStart w:id="24" w:name="_Toc27954"/>
      <w:bookmarkStart w:id="25" w:name="_Toc9183"/>
      <w:r>
        <w:rPr>
          <w:rFonts w:hint="eastAsia" w:ascii="微软雅黑" w:hAnsi="微软雅黑" w:eastAsia="微软雅黑" w:cs="微软雅黑"/>
          <w:sz w:val="24"/>
          <w:szCs w:val="24"/>
          <w:lang w:val="en-US" w:eastAsia="zh-CN"/>
        </w:rPr>
        <w:t>无。</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5"/>
      <w:bookmarkEnd w:id="22"/>
      <w:bookmarkEnd w:id="23"/>
      <w:bookmarkEnd w:id="24"/>
      <w:bookmarkEnd w:id="25"/>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6" w:name="_Toc12841"/>
      <w:bookmarkStart w:id="27" w:name="_Toc26664"/>
      <w:bookmarkStart w:id="28" w:name="_Toc525047161"/>
      <w:bookmarkStart w:id="29" w:name="_Toc106034625"/>
      <w:bookmarkStart w:id="30" w:name="_Toc6178"/>
      <w:bookmarkStart w:id="31" w:name="_Toc65660334"/>
      <w:bookmarkStart w:id="32" w:name="_Toc521053053"/>
      <w:bookmarkStart w:id="33" w:name="_Toc11956"/>
      <w:r>
        <w:rPr>
          <w:rFonts w:hint="eastAsia" w:ascii="微软雅黑" w:hAnsi="微软雅黑" w:eastAsia="微软雅黑" w:cs="微软雅黑"/>
          <w:sz w:val="24"/>
        </w:rPr>
        <w:t>四、保证金</w:t>
      </w:r>
      <w:bookmarkEnd w:id="26"/>
      <w:bookmarkEnd w:id="27"/>
      <w:bookmarkEnd w:id="28"/>
      <w:bookmarkEnd w:id="29"/>
      <w:bookmarkEnd w:id="30"/>
      <w:bookmarkEnd w:id="31"/>
      <w:bookmarkEnd w:id="32"/>
      <w:bookmarkEnd w:id="33"/>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4" w:name="_Toc2945"/>
      <w:bookmarkStart w:id="35" w:name="_Toc4355"/>
      <w:bookmarkStart w:id="36" w:name="_Toc521053054"/>
      <w:bookmarkStart w:id="37" w:name="_Toc106034626"/>
      <w:bookmarkStart w:id="38" w:name="_Toc525047162"/>
      <w:bookmarkStart w:id="39" w:name="_Toc65660335"/>
      <w:bookmarkStart w:id="40" w:name="_Toc24100"/>
      <w:bookmarkStart w:id="41" w:name="_Toc1546"/>
      <w:r>
        <w:rPr>
          <w:rFonts w:hint="eastAsia" w:ascii="微软雅黑" w:hAnsi="微软雅黑" w:eastAsia="微软雅黑" w:cs="微软雅黑"/>
          <w:sz w:val="24"/>
        </w:rPr>
        <w:t>五、</w:t>
      </w:r>
      <w:bookmarkEnd w:id="34"/>
      <w:bookmarkEnd w:id="35"/>
      <w:bookmarkEnd w:id="36"/>
      <w:bookmarkEnd w:id="37"/>
      <w:bookmarkEnd w:id="38"/>
      <w:bookmarkEnd w:id="39"/>
      <w:bookmarkStart w:id="42" w:name="_Toc16269"/>
      <w:bookmarkStart w:id="43" w:name="_Toc106034627"/>
      <w:bookmarkStart w:id="44" w:name="_Toc525047163"/>
      <w:bookmarkStart w:id="45" w:name="_Toc6563"/>
      <w:bookmarkStart w:id="46" w:name="_Toc65660336"/>
      <w:bookmarkStart w:id="47" w:name="_Toc521053055"/>
      <w:r>
        <w:rPr>
          <w:rFonts w:hint="eastAsia" w:ascii="微软雅黑" w:hAnsi="微软雅黑" w:eastAsia="微软雅黑" w:cs="微软雅黑"/>
          <w:sz w:val="24"/>
        </w:rPr>
        <w:t>其它</w:t>
      </w:r>
      <w:bookmarkEnd w:id="40"/>
      <w:bookmarkEnd w:id="41"/>
      <w:bookmarkEnd w:id="42"/>
      <w:bookmarkEnd w:id="43"/>
      <w:bookmarkEnd w:id="44"/>
      <w:bookmarkEnd w:id="45"/>
      <w:bookmarkEnd w:id="46"/>
      <w:bookmarkEnd w:id="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8" w:name="_Toc10415"/>
      <w:bookmarkStart w:id="49" w:name="_Toc21079"/>
      <w:bookmarkStart w:id="50" w:name="_Toc1733"/>
      <w:bookmarkStart w:id="51" w:name="_Toc521053056"/>
      <w:bookmarkStart w:id="52" w:name="_Toc525047164"/>
      <w:bookmarkStart w:id="53" w:name="_Toc106034628"/>
      <w:bookmarkStart w:id="54" w:name="_Toc65660337"/>
      <w:bookmarkStart w:id="55" w:name="_Toc24901"/>
      <w:r>
        <w:rPr>
          <w:rFonts w:hint="eastAsia" w:ascii="微软雅黑" w:hAnsi="微软雅黑" w:eastAsia="微软雅黑" w:cs="微软雅黑"/>
          <w:sz w:val="24"/>
        </w:rPr>
        <w:t>六、联系方式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6"/>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p>
    <w:p>
      <w:pPr>
        <w:pStyle w:val="3"/>
        <w:tabs>
          <w:tab w:val="left" w:pos="3360"/>
        </w:tabs>
        <w:spacing w:line="360" w:lineRule="auto"/>
        <w:jc w:val="center"/>
        <w:rPr>
          <w:rFonts w:hint="eastAsia" w:ascii="微软雅黑" w:hAnsi="微软雅黑" w:eastAsia="微软雅黑" w:cs="微软雅黑"/>
          <w:b/>
          <w:sz w:val="44"/>
        </w:rPr>
      </w:pPr>
      <w:bookmarkStart w:id="56" w:name="_Toc32686"/>
      <w:bookmarkStart w:id="57" w:name="_Toc23143"/>
      <w:bookmarkStart w:id="58" w:name="_Toc11017"/>
      <w:bookmarkStart w:id="59" w:name="_Toc2422"/>
      <w:bookmarkStart w:id="60" w:name="_Toc12959"/>
      <w:bookmarkStart w:id="61" w:name="_Toc1625"/>
      <w:bookmarkStart w:id="62" w:name="_Toc8649"/>
      <w:bookmarkStart w:id="63" w:name="_Toc2070"/>
      <w:bookmarkStart w:id="64" w:name="_Toc25639"/>
      <w:bookmarkStart w:id="65" w:name="_Toc1492"/>
      <w:bookmarkStart w:id="66" w:name="_Toc26176"/>
      <w:bookmarkStart w:id="67" w:name="_Toc19886"/>
      <w:bookmarkStart w:id="68" w:name="_Toc725"/>
      <w:bookmarkStart w:id="69" w:name="_Toc5461"/>
      <w:bookmarkStart w:id="70" w:name="_Toc75793504"/>
      <w:bookmarkStart w:id="71" w:name="_Toc20423"/>
      <w:bookmarkStart w:id="72" w:name="_Toc106030380"/>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75793505"/>
      <w:bookmarkStart w:id="74" w:name="_Toc9261"/>
      <w:bookmarkStart w:id="75" w:name="_Toc19238"/>
      <w:bookmarkStart w:id="76" w:name="_Toc23504"/>
      <w:bookmarkStart w:id="77" w:name="_Toc106030381"/>
      <w:bookmarkStart w:id="78" w:name="_Toc4531"/>
      <w:bookmarkStart w:id="79" w:name="_Toc29985"/>
      <w:bookmarkStart w:id="80" w:name="_Toc8370"/>
      <w:bookmarkStart w:id="81" w:name="_Toc23656"/>
      <w:bookmarkStart w:id="82" w:name="_Toc22910"/>
      <w:bookmarkStart w:id="83" w:name="_Toc4913"/>
      <w:bookmarkStart w:id="84" w:name="_Toc11703"/>
      <w:bookmarkStart w:id="85" w:name="_Toc20979"/>
      <w:bookmarkStart w:id="86" w:name="_Toc4519"/>
      <w:bookmarkStart w:id="87" w:name="_Toc7027"/>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576"/>
        <w:gridCol w:w="1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57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719"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保温杯</w:t>
            </w:r>
          </w:p>
        </w:tc>
        <w:tc>
          <w:tcPr>
            <w:tcW w:w="1576" w:type="dxa"/>
            <w:vMerge w:val="restart"/>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一批</w:t>
            </w:r>
          </w:p>
        </w:tc>
        <w:tc>
          <w:tcPr>
            <w:tcW w:w="1719" w:type="dxa"/>
            <w:vMerge w:val="restart"/>
            <w:vAlign w:val="center"/>
          </w:tcPr>
          <w:p>
            <w:pPr>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该表所列数量为预估量，主要作为各投标人报价参考，最终结算将以实际采购数量为准，项目采购金额不超过49万元。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bookmarkStart w:id="88" w:name="_Toc27067"/>
            <w:bookmarkStart w:id="89" w:name="_Toc18903"/>
            <w:bookmarkStart w:id="90" w:name="_Toc695"/>
            <w:bookmarkStart w:id="91" w:name="_Toc5751"/>
            <w:bookmarkStart w:id="92" w:name="_Toc15696"/>
            <w:bookmarkStart w:id="93" w:name="_Toc75793506"/>
            <w:bookmarkStart w:id="94" w:name="_Toc26453"/>
            <w:bookmarkStart w:id="95" w:name="_Toc21817"/>
            <w:bookmarkStart w:id="96" w:name="_Toc106030382"/>
            <w:bookmarkStart w:id="97" w:name="_Toc28205"/>
            <w:bookmarkStart w:id="98" w:name="_Toc7792"/>
            <w:bookmarkStart w:id="99" w:name="_Toc23975"/>
            <w:bookmarkStart w:id="100" w:name="_Toc18800"/>
            <w:bookmarkStart w:id="101" w:name="_Toc32262"/>
            <w:bookmarkStart w:id="102" w:name="_Toc10143"/>
            <w:bookmarkStart w:id="103" w:name="_Toc12568"/>
            <w:r>
              <w:rPr>
                <w:rFonts w:hint="eastAsia" w:ascii="微软雅黑" w:hAnsi="微软雅黑" w:eastAsia="微软雅黑" w:cs="微软雅黑"/>
                <w:sz w:val="24"/>
                <w:szCs w:val="24"/>
                <w:lang w:val="en-US" w:eastAsia="zh-CN"/>
              </w:rPr>
              <w:t>2</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晴雨伞</w:t>
            </w:r>
          </w:p>
        </w:tc>
        <w:tc>
          <w:tcPr>
            <w:tcW w:w="1576" w:type="dxa"/>
            <w:vMerge w:val="continue"/>
            <w:vAlign w:val="center"/>
          </w:tcPr>
          <w:p>
            <w:pPr>
              <w:jc w:val="center"/>
              <w:rPr>
                <w:rFonts w:hint="eastAsia" w:ascii="微软雅黑" w:hAnsi="微软雅黑" w:eastAsia="微软雅黑" w:cs="微软雅黑"/>
                <w:sz w:val="24"/>
                <w:szCs w:val="24"/>
                <w:lang w:val="en-US" w:eastAsia="zh-CN"/>
              </w:rPr>
            </w:pP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香薰夹</w:t>
            </w:r>
          </w:p>
        </w:tc>
        <w:tc>
          <w:tcPr>
            <w:tcW w:w="1576" w:type="dxa"/>
            <w:vMerge w:val="continue"/>
            <w:vAlign w:val="center"/>
          </w:tcPr>
          <w:p>
            <w:pPr>
              <w:jc w:val="center"/>
              <w:rPr>
                <w:rFonts w:hint="eastAsia" w:ascii="微软雅黑" w:hAnsi="微软雅黑" w:eastAsia="微软雅黑" w:cs="微软雅黑"/>
                <w:sz w:val="24"/>
                <w:szCs w:val="24"/>
                <w:lang w:val="en-US" w:eastAsia="zh-CN"/>
              </w:rPr>
            </w:pP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徽章</w:t>
            </w:r>
          </w:p>
        </w:tc>
        <w:tc>
          <w:tcPr>
            <w:tcW w:w="1576" w:type="dxa"/>
            <w:vMerge w:val="continue"/>
            <w:vAlign w:val="center"/>
          </w:tcPr>
          <w:p>
            <w:pPr>
              <w:jc w:val="center"/>
              <w:rPr>
                <w:rFonts w:hint="eastAsia" w:ascii="微软雅黑" w:hAnsi="微软雅黑" w:eastAsia="微软雅黑" w:cs="微软雅黑"/>
                <w:sz w:val="24"/>
                <w:szCs w:val="24"/>
                <w:lang w:val="en-US" w:eastAsia="zh-CN"/>
              </w:rPr>
            </w:pP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充电宝</w:t>
            </w:r>
          </w:p>
        </w:tc>
        <w:tc>
          <w:tcPr>
            <w:tcW w:w="1576" w:type="dxa"/>
            <w:vMerge w:val="continue"/>
            <w:vAlign w:val="center"/>
          </w:tcPr>
          <w:p>
            <w:pPr>
              <w:jc w:val="center"/>
              <w:rPr>
                <w:rFonts w:hint="eastAsia" w:ascii="微软雅黑" w:hAnsi="微软雅黑" w:eastAsia="微软雅黑" w:cs="微软雅黑"/>
                <w:sz w:val="24"/>
                <w:szCs w:val="24"/>
                <w:lang w:val="en-US" w:eastAsia="zh-CN"/>
              </w:rPr>
            </w:pP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p>
        </w:tc>
        <w:tc>
          <w:tcPr>
            <w:tcW w:w="5103"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套装1包装礼盒</w:t>
            </w:r>
          </w:p>
        </w:tc>
        <w:tc>
          <w:tcPr>
            <w:tcW w:w="15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约4050份</w:t>
            </w: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套装2包装礼盒</w:t>
            </w:r>
          </w:p>
        </w:tc>
        <w:tc>
          <w:tcPr>
            <w:tcW w:w="1576"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约4050份</w:t>
            </w: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5"/>
              <w:spacing w:line="240" w:lineRule="auto"/>
              <w:ind w:left="0"/>
              <w:jc w:val="center"/>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套装3包装礼盒</w:t>
            </w:r>
          </w:p>
        </w:tc>
        <w:tc>
          <w:tcPr>
            <w:tcW w:w="1576"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约656份</w:t>
            </w:r>
          </w:p>
        </w:tc>
        <w:tc>
          <w:tcPr>
            <w:tcW w:w="1719" w:type="dxa"/>
            <w:vMerge w:val="continue"/>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sz w:val="24"/>
          <w:szCs w:val="24"/>
        </w:rPr>
        <w:t>二、项目</w:t>
      </w:r>
      <w:r>
        <w:rPr>
          <w:rFonts w:hint="eastAsia" w:ascii="微软雅黑" w:hAnsi="微软雅黑" w:eastAsia="微软雅黑" w:cs="微软雅黑"/>
          <w:b/>
          <w:bCs/>
          <w:sz w:val="24"/>
          <w:szCs w:val="24"/>
          <w:lang w:val="en-US" w:eastAsia="zh-CN"/>
        </w:rPr>
        <w:t>内容及</w:t>
      </w:r>
      <w:r>
        <w:rPr>
          <w:rFonts w:hint="eastAsia" w:ascii="微软雅黑" w:hAnsi="微软雅黑" w:eastAsia="微软雅黑" w:cs="微软雅黑"/>
          <w:b/>
          <w:bCs/>
          <w:sz w:val="24"/>
          <w:szCs w:val="24"/>
        </w:rPr>
        <w:t>技术</w:t>
      </w:r>
      <w:r>
        <w:rPr>
          <w:rFonts w:hint="eastAsia" w:ascii="微软雅黑" w:hAnsi="微软雅黑" w:eastAsia="微软雅黑" w:cs="微软雅黑"/>
          <w:b/>
          <w:bCs/>
          <w:sz w:val="24"/>
          <w:szCs w:val="24"/>
          <w:lang w:val="en-US" w:eastAsia="zh-CN"/>
        </w:rPr>
        <w:t>要</w:t>
      </w:r>
      <w:r>
        <w:rPr>
          <w:rFonts w:hint="eastAsia" w:ascii="微软雅黑" w:hAnsi="微软雅黑" w:eastAsia="微软雅黑" w:cs="微软雅黑"/>
          <w:b/>
          <w:bCs/>
          <w:sz w:val="24"/>
          <w:szCs w:val="24"/>
        </w:rPr>
        <w:t>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（一）项目内容</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根据本项目描述，需提供一套专用于重庆医科大学附属儿童医院 70周年院庆系列活动纪念品的完整实施方案。方案应系统性涵盖3套产品的设计，分别为套装1（保温杯、晴雨伞、香薰夹、徽章、包装礼盒）、套装2（充电宝、香薰夹、徽章、包装礼盒）套装3（保温杯、包装盒）。设计所需素材自行获取。</w:t>
      </w:r>
      <w:bookmarkStart w:id="104" w:name="_Toc24633"/>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lang w:eastAsia="zh-CN"/>
        </w:rPr>
        <w:t>）</w:t>
      </w:r>
      <w:bookmarkEnd w:id="104"/>
      <w:r>
        <w:rPr>
          <w:rFonts w:hint="eastAsia" w:ascii="微软雅黑" w:hAnsi="微软雅黑" w:eastAsia="微软雅黑" w:cs="微软雅黑"/>
          <w:sz w:val="24"/>
          <w:szCs w:val="24"/>
          <w:lang w:val="en-US" w:eastAsia="zh-CN"/>
        </w:rPr>
        <w:t>项目要求</w:t>
      </w:r>
    </w:p>
    <w:tbl>
      <w:tblPr>
        <w:tblStyle w:val="59"/>
        <w:tblW w:w="9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
        <w:gridCol w:w="1159"/>
        <w:gridCol w:w="75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b/>
                <w:bCs/>
                <w:color w:val="auto"/>
                <w:sz w:val="21"/>
                <w:szCs w:val="21"/>
                <w:vertAlign w:val="baseline"/>
                <w:lang w:val="en-US" w:eastAsia="zh-CN"/>
              </w:rPr>
            </w:pPr>
            <w:r>
              <w:rPr>
                <w:rFonts w:hint="eastAsia" w:ascii="微软雅黑" w:hAnsi="微软雅黑" w:eastAsia="微软雅黑" w:cs="微软雅黑"/>
                <w:b/>
                <w:bCs/>
                <w:color w:val="auto"/>
                <w:sz w:val="21"/>
                <w:szCs w:val="21"/>
                <w:vertAlign w:val="baseline"/>
                <w:lang w:val="en-US" w:eastAsia="zh-CN"/>
              </w:rPr>
              <w:t>序号</w:t>
            </w:r>
          </w:p>
        </w:tc>
        <w:tc>
          <w:tcPr>
            <w:tcW w:w="1159" w:type="dxa"/>
            <w:vAlign w:val="center"/>
          </w:tcPr>
          <w:p>
            <w:pPr>
              <w:snapToGrid w:val="0"/>
              <w:spacing w:line="240" w:lineRule="auto"/>
              <w:jc w:val="center"/>
              <w:rPr>
                <w:rFonts w:hint="eastAsia" w:ascii="微软雅黑" w:hAnsi="微软雅黑" w:eastAsia="微软雅黑" w:cs="微软雅黑"/>
                <w:b/>
                <w:bCs/>
                <w:color w:val="auto"/>
                <w:sz w:val="21"/>
                <w:szCs w:val="21"/>
                <w:vertAlign w:val="baseline"/>
                <w:lang w:val="en-US" w:eastAsia="zh-CN"/>
              </w:rPr>
            </w:pPr>
            <w:r>
              <w:rPr>
                <w:rFonts w:hint="eastAsia" w:ascii="微软雅黑" w:hAnsi="微软雅黑" w:eastAsia="微软雅黑" w:cs="微软雅黑"/>
                <w:b/>
                <w:bCs/>
                <w:color w:val="auto"/>
                <w:sz w:val="21"/>
                <w:szCs w:val="21"/>
                <w:vertAlign w:val="baseline"/>
                <w:lang w:val="en-US" w:eastAsia="zh-CN"/>
              </w:rPr>
              <w:t>产品</w:t>
            </w:r>
          </w:p>
        </w:tc>
        <w:tc>
          <w:tcPr>
            <w:tcW w:w="7596" w:type="dxa"/>
            <w:vAlign w:val="center"/>
          </w:tcPr>
          <w:p>
            <w:pPr>
              <w:snapToGrid w:val="0"/>
              <w:spacing w:line="240" w:lineRule="auto"/>
              <w:jc w:val="center"/>
              <w:rPr>
                <w:rFonts w:hint="eastAsia" w:ascii="微软雅黑" w:hAnsi="微软雅黑" w:eastAsia="微软雅黑" w:cs="微软雅黑"/>
                <w:b/>
                <w:bCs/>
                <w:color w:val="auto"/>
                <w:sz w:val="21"/>
                <w:szCs w:val="21"/>
                <w:vertAlign w:val="baseline"/>
                <w:lang w:val="en-US" w:eastAsia="zh-CN"/>
              </w:rPr>
            </w:pPr>
            <w:r>
              <w:rPr>
                <w:rFonts w:hint="eastAsia" w:ascii="微软雅黑" w:hAnsi="微软雅黑" w:eastAsia="微软雅黑" w:cs="微软雅黑"/>
                <w:b/>
                <w:bCs/>
                <w:color w:val="auto"/>
                <w:sz w:val="21"/>
                <w:szCs w:val="21"/>
                <w:vertAlign w:val="baseline"/>
                <w:lang w:val="en-US" w:eastAsia="zh-CN"/>
              </w:rPr>
              <w:t>规格参数/技术要求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1</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保温杯</w:t>
            </w:r>
          </w:p>
        </w:tc>
        <w:tc>
          <w:tcPr>
            <w:tcW w:w="7596" w:type="dxa"/>
            <w:shd w:val="clear" w:color="auto" w:fill="auto"/>
            <w:vAlign w:val="center"/>
          </w:tcPr>
          <w:p>
            <w:pPr>
              <w:keepNext w:val="0"/>
              <w:keepLines w:val="0"/>
              <w:widowControl/>
              <w:numPr>
                <w:ilvl w:val="0"/>
                <w:numId w:val="15"/>
              </w:numPr>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产品基本要求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容量：200ml（±5ml）</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内胆材质：316不锈钢</w:t>
            </w:r>
          </w:p>
          <w:p>
            <w:pPr>
              <w:keepNext w:val="0"/>
              <w:keepLines w:val="0"/>
              <w:widowControl/>
              <w:numPr>
                <w:ilvl w:val="0"/>
                <w:numId w:val="0"/>
              </w:numPr>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克重：125g（±5 g）</w:t>
            </w:r>
          </w:p>
          <w:p>
            <w:pPr>
              <w:keepNext w:val="0"/>
              <w:keepLines w:val="0"/>
              <w:widowControl/>
              <w:numPr>
                <w:ilvl w:val="0"/>
                <w:numId w:val="0"/>
              </w:numPr>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杯身颜色: 渐变色</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外观及工艺：按设计效果图定制；</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（2）产品质量要求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①执行标准要求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投标人所投产品须符合以下国家标准及规范：</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GB4806.9-2023《食品安全国家标准 食品接触用金属材料及制品》</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GB4806.7-2023《食品安全国家标准 食品接触用塑料材料及制品》</w:t>
            </w:r>
          </w:p>
          <w:p>
            <w:pPr>
              <w:keepNext w:val="0"/>
              <w:keepLines w:val="0"/>
              <w:widowControl/>
              <w:numPr>
                <w:ilvl w:val="0"/>
                <w:numId w:val="0"/>
              </w:numPr>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GB4806.11-2016《食品安全国家标准食品接触用橡胶材料及制品》</w:t>
            </w:r>
          </w:p>
          <w:p>
            <w:pPr>
              <w:keepNext w:val="0"/>
              <w:keepLines w:val="0"/>
              <w:widowControl/>
              <w:numPr>
                <w:ilvl w:val="0"/>
                <w:numId w:val="0"/>
              </w:numPr>
              <w:suppressLineNumbers w:val="0"/>
              <w:spacing w:line="240" w:lineRule="auto"/>
              <w:jc w:val="left"/>
              <w:textAlignment w:val="center"/>
              <w:rPr>
                <w:rFonts w:hint="eastAsia" w:ascii="微软雅黑" w:hAnsi="微软雅黑" w:eastAsia="微软雅黑" w:cs="微软雅黑"/>
                <w:b w:val="0"/>
                <w:bCs w:val="0"/>
                <w:i w:val="0"/>
                <w:iCs w:val="0"/>
                <w:color w:val="auto"/>
                <w:kern w:val="2"/>
                <w:sz w:val="21"/>
                <w:szCs w:val="21"/>
                <w:u w:val="none"/>
                <w:lang w:val="en-US" w:eastAsia="zh-CN" w:bidi="ar-SA"/>
              </w:rPr>
            </w:pPr>
            <w:r>
              <w:rPr>
                <w:rFonts w:hint="eastAsia" w:ascii="微软雅黑" w:hAnsi="微软雅黑" w:eastAsia="微软雅黑" w:cs="微软雅黑"/>
                <w:b w:val="0"/>
                <w:bCs w:val="0"/>
                <w:i w:val="0"/>
                <w:iCs w:val="0"/>
                <w:color w:val="auto"/>
                <w:kern w:val="0"/>
                <w:sz w:val="21"/>
                <w:szCs w:val="21"/>
                <w:u w:val="none"/>
                <w:lang w:val="en-US" w:eastAsia="zh-CN" w:bidi="ar"/>
              </w:rPr>
              <w:t>GB/T29606-2013《不锈钢真空杯》</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②产品安全要求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GB4806.9-2023-感官：迁移试验所得浸泡液不应有异臭</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GB4806.9-2023-杂质元素迁移量 ：“砷、铅、锑”需符合检测要求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GB4806.9-2023-合金元素迁移量 ：“铝、铜、锌”需符合检测要求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GB4806.7-2023-高锰酸钾消耗量（mg/kg)：蒸馏水（60℃，2h）测试条件下，实测结果＜1</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GB4806.7-2023-重金属（mg/kg)：4%乙酸（60℃，2h）测试条件下，实测结果＜1</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GB4806.7-2023-脱色试验：浸泡液着色、擦拭脱色检测需符合检测要求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耐冲击后保温效能实测结果≥50℃</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（3）产品其他要求</w:t>
            </w:r>
            <w:r>
              <w:rPr>
                <w:rFonts w:hint="eastAsia" w:ascii="微软雅黑" w:hAnsi="微软雅黑" w:eastAsia="微软雅黑" w:cs="微软雅黑"/>
                <w:b w:val="0"/>
                <w:bCs w:val="0"/>
                <w:i w:val="0"/>
                <w:iCs w:val="0"/>
                <w:color w:val="auto"/>
                <w:kern w:val="0"/>
                <w:sz w:val="21"/>
                <w:szCs w:val="21"/>
                <w:u w:val="none"/>
                <w:lang w:val="en-US" w:eastAsia="zh-CN" w:bidi="ar"/>
              </w:rPr>
              <w:br w:type="textWrapping"/>
            </w:r>
            <w:r>
              <w:rPr>
                <w:rFonts w:hint="eastAsia" w:ascii="微软雅黑" w:hAnsi="微软雅黑" w:eastAsia="微软雅黑" w:cs="微软雅黑"/>
                <w:b w:val="0"/>
                <w:bCs w:val="0"/>
                <w:i w:val="0"/>
                <w:iCs w:val="0"/>
                <w:color w:val="auto"/>
                <w:kern w:val="0"/>
                <w:sz w:val="21"/>
                <w:szCs w:val="21"/>
                <w:u w:val="none"/>
                <w:lang w:val="en-US" w:eastAsia="zh-CN" w:bidi="ar"/>
              </w:rPr>
              <w:t xml:space="preserve">为确保产品使用安全，投标人须在响应文件中提供保温杯真实可查询由具备CNAS及CMA双资质认可的权威第三方检测机构出具的产品检测报告（检测报告送检时间为2025年1月起至今），检测报告内容须包括：产品质量要求相关的检测结果以及清晰可辨的样品照片/图片（包含但不限于产品外观、杯子开盖图)，以确保使用安全。若未提供或提供不符合上述要求，其响应文件将视为无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2</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晴雨伞</w:t>
            </w:r>
          </w:p>
        </w:tc>
        <w:tc>
          <w:tcPr>
            <w:tcW w:w="7596" w:type="dxa"/>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产品基本要求</w:t>
            </w:r>
          </w:p>
          <w:p>
            <w:pPr>
              <w:pStyle w:val="2"/>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尺寸：54cm（±5mm）*8k（股），伞收折后规格：19*6.5cm</w:t>
            </w:r>
          </w:p>
          <w:p>
            <w:pPr>
              <w:pStyle w:val="2"/>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材质：280t抨击黑胶布</w:t>
            </w:r>
          </w:p>
          <w:p>
            <w:pPr>
              <w:pStyle w:val="2"/>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主骨材质：加宽加粗钢架染黑烤漆</w:t>
            </w:r>
          </w:p>
          <w:p>
            <w:pPr>
              <w:pStyle w:val="2"/>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中棒：五节式结构，表面经氧化处理，具备耐磨防刮性能</w:t>
            </w:r>
          </w:p>
          <w:p>
            <w:pPr>
              <w:pStyle w:val="2"/>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color w:val="auto"/>
                <w:sz w:val="21"/>
                <w:szCs w:val="21"/>
                <w:lang w:val="en-US" w:eastAsia="zh-CN"/>
              </w:rPr>
              <w:t>手柄：ABS橡胶漆手柄</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（2）产品质量要求：</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①执行标准要求</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投标人所投产品须符合以下国家标准及规范：</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GB/T 23147-2018《晴雨伞》</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GB/T 18830-2009《纺织品防紫外线性能的评定》</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QB/T 3826-1999《轻工产品金属镀层和化学处理层的耐腐蚀试验方法 中性盐雾试验（NSS 法）》</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QB/T 3832-1999《轻工产品金属镀层腐蚀试验结果的评价》</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②产品性能要求</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伞面防紫外线：符合实测UPF ≥65；符合实测T（UVA)AV≤1.5%</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染色牢固（变色）：符合实测≥4</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染色牢固（沾色）：符合实测≥4</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无故障连续开关次数：应符合国家相应标准及规范，开关次数≥ 400 ，不应发生铆钉脱落、夹码、夹子移位、申盘丝断裂、松散、伞盘缺损、弹无故障连续开关次数符合簧失灵、伞骨折断、接缝脱离、缝眼脱线、柄移位、镀涂层剥落现象；</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防雨性能：应符合国家相应标准及规范，伞杆不淌水，伞面内不得有滴水与明显的雾状漏水现象。不具备防雨性能符合的须在产品上明示；</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伞骨抗风强度：应符合国家相应标准及规范，伞骨允许翻顶，但不应有影响正常使用的损坏；</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伞骨弹性：应符合国家相应标准及规范，弦高不应大于10mm；</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耐腐蚀(涂漆、喷塑件)：应符合国家相应标准及规范，金属电镀件按QB/T3826规定，伞杆经4h，其他零件经2h中性盐雾试验后，其耐属蚀性不应低于QB/T38</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32-1999 中规定的4级；</w:t>
            </w:r>
          </w:p>
          <w:p>
            <w:pPr>
              <w:pStyle w:val="23"/>
              <w:spacing w:line="240" w:lineRule="auto"/>
              <w:rPr>
                <w:rFonts w:hint="eastAsia" w:ascii="微软雅黑" w:hAnsi="微软雅黑" w:eastAsia="微软雅黑" w:cs="微软雅黑"/>
                <w:b w:val="0"/>
                <w:bCs w:val="0"/>
                <w:color w:val="auto"/>
                <w:sz w:val="21"/>
                <w:szCs w:val="21"/>
                <w:highlight w:val="none"/>
              </w:rPr>
            </w:pPr>
            <w:r>
              <w:rPr>
                <w:rFonts w:hint="eastAsia" w:ascii="微软雅黑" w:hAnsi="微软雅黑" w:eastAsia="微软雅黑" w:cs="微软雅黑"/>
                <w:b w:val="0"/>
                <w:bCs w:val="0"/>
                <w:color w:val="auto"/>
                <w:sz w:val="21"/>
                <w:szCs w:val="21"/>
                <w:highlight w:val="none"/>
              </w:rPr>
              <w:t>（3）产品其他要求：</w:t>
            </w:r>
          </w:p>
          <w:p>
            <w:pPr>
              <w:keepNext w:val="0"/>
              <w:keepLines w:val="0"/>
              <w:widowControl/>
              <w:suppressLineNumbers w:val="0"/>
              <w:spacing w:line="240" w:lineRule="auto"/>
              <w:jc w:val="left"/>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color w:val="auto"/>
                <w:sz w:val="21"/>
                <w:szCs w:val="21"/>
                <w:highlight w:val="none"/>
              </w:rPr>
              <w:t xml:space="preserve">为确保产品使用安全，投标人须在响应文件中提供晴雨伞真实可查询由具备CNAS及CMA双资质认可的权威第三方检测机构出具的产品检测报告（检测报告送检时间为2025年1月起至今），检测报告内容须包括：产品质量要求相关的检测结果以及清晰可辨的样品照片/图片（包含但不限于产品外观、伞柄、伞撑开可见伞股图），以确保使用安全。若未提供或提供不符合上述要求，其响应文件将视为无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3</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香薰夹</w:t>
            </w:r>
          </w:p>
        </w:tc>
        <w:tc>
          <w:tcPr>
            <w:tcW w:w="7596" w:type="dxa"/>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材质: 锌合金</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尺寸: 38*38mm（±2mm）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厚 度:15mm（±1mm）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工艺：UV</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配件：夹子+香薰片（备注：香薰片提供不低于2种气味选择）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4</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徽章</w:t>
            </w:r>
          </w:p>
        </w:tc>
        <w:tc>
          <w:tcPr>
            <w:tcW w:w="7596" w:type="dxa"/>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材质: 锌合金</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尺寸: 25mm（±1mm）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厚度: 1.8mm（±0.1mm）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工艺：烤漆+UV+滴胶</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配 件:磁吸扣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5</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充电宝</w:t>
            </w:r>
          </w:p>
        </w:tc>
        <w:tc>
          <w:tcPr>
            <w:tcW w:w="7596" w:type="dxa"/>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（1）产品基本要求</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尺寸：148*68*19mm(±2mm）</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外壳：清晰印有3C认证标识</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电芯种类：锂离子聚合物电芯</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电芯规格：3.7V 10000mAh 37Wh</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 xml:space="preserve">Type-C1/C2 输入5VDC3A,9VDC2A.,12VDC1.5A </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Type-C2 输出:5VDC3A.9VDC2.22A,12VDC1.67A</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 xml:space="preserve">USB 输出:4.5VDC5A.5VDC4.5A,5VDC3A.9VDC2A,12VDC1.5A </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 xml:space="preserve">Lightning 线输出:5VDC2.4A </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 xml:space="preserve">Type-C 线输出:5VDC3A.9VDC2.22A,10VDC2.25A,12VDC1.67A </w:t>
            </w:r>
          </w:p>
          <w:p>
            <w:pPr>
              <w:keepNext w:val="0"/>
              <w:keepLines w:val="0"/>
              <w:widowControl/>
              <w:suppressLineNumbers w:val="0"/>
              <w:spacing w:line="240" w:lineRule="auto"/>
              <w:jc w:val="left"/>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总输出:5VDC3A</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（2）产品其他要求</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 xml:space="preserve">投标人须在响应文件中提供充电宝真实可查询由具备CNAS资质认可的权威第三方检测机构出具的航空、海运运输危险性鉴别报告（备注：1、所提供的报告需要在有效期内2、所提供报告中高度模拟、温度试验、震动、冲击、撞击/挤压、强制放电均需符合检测要求），若未提供或提供不符合上述要求，其响应文件将视为无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shd w:val="clear" w:color="auto" w:fill="auto"/>
            <w:vAlign w:val="center"/>
          </w:tcPr>
          <w:p>
            <w:pPr>
              <w:snapToGrid w:val="0"/>
              <w:spacing w:line="240" w:lineRule="auto"/>
              <w:jc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color w:val="auto"/>
                <w:kern w:val="2"/>
                <w:sz w:val="21"/>
                <w:szCs w:val="21"/>
                <w:vertAlign w:val="baseline"/>
                <w:lang w:val="en-US" w:eastAsia="zh-CN" w:bidi="ar-SA"/>
              </w:rPr>
              <w:t>6</w:t>
            </w:r>
          </w:p>
        </w:tc>
        <w:tc>
          <w:tcPr>
            <w:tcW w:w="1159" w:type="dxa"/>
            <w:shd w:val="clear" w:color="auto" w:fill="auto"/>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套装1</w:t>
            </w:r>
          </w:p>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包装礼盒</w:t>
            </w:r>
          </w:p>
        </w:tc>
        <w:tc>
          <w:tcPr>
            <w:tcW w:w="7596" w:type="dxa"/>
            <w:shd w:val="clear" w:color="auto" w:fill="auto"/>
            <w:vAlign w:val="center"/>
          </w:tcPr>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礼盒包装</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材质：硬纸板裱特种纸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工艺：根据设计效果定制</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备注：包装盒内可放置容纳保温杯、晴雨伞、香薰夹、徽章，产品说明卡</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手提袋</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材质：白卡纸/特种纸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规格：需要与礼盒包装相匹配</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工艺：根据设计效果定制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7</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套装2</w:t>
            </w:r>
          </w:p>
          <w:p>
            <w:pPr>
              <w:keepNext w:val="0"/>
              <w:keepLines w:val="0"/>
              <w:widowControl/>
              <w:suppressLineNumbers w:val="0"/>
              <w:spacing w:line="240" w:lineRule="auto"/>
              <w:jc w:val="center"/>
              <w:textAlignment w:val="center"/>
              <w:rPr>
                <w:rFonts w:hint="eastAsia" w:ascii="微软雅黑" w:hAnsi="微软雅黑" w:eastAsia="微软雅黑" w:cs="微软雅黑"/>
                <w:color w:val="auto"/>
                <w:sz w:val="21"/>
                <w:szCs w:val="21"/>
                <w:vertAlign w:val="baseline"/>
              </w:rPr>
            </w:pPr>
            <w:r>
              <w:rPr>
                <w:rFonts w:hint="eastAsia" w:ascii="微软雅黑" w:hAnsi="微软雅黑" w:eastAsia="微软雅黑" w:cs="微软雅黑"/>
                <w:i w:val="0"/>
                <w:iCs w:val="0"/>
                <w:color w:val="auto"/>
                <w:kern w:val="0"/>
                <w:sz w:val="21"/>
                <w:szCs w:val="21"/>
                <w:u w:val="none"/>
                <w:lang w:val="en-US" w:eastAsia="zh-CN" w:bidi="ar"/>
              </w:rPr>
              <w:t>包装礼盒</w:t>
            </w:r>
          </w:p>
        </w:tc>
        <w:tc>
          <w:tcPr>
            <w:tcW w:w="7596" w:type="dxa"/>
            <w:vAlign w:val="center"/>
          </w:tcPr>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礼盒包装</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材质：硬纸板裱特种纸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工艺：根据设计效果定制</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备注：包装盒内可放置容纳充电宝、香薰夹、徽章、产品说明卡</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手提袋</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材质：白卡纸/特种纸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规格：需要与礼盒包装相匹配</w:t>
            </w:r>
          </w:p>
          <w:p>
            <w:pPr>
              <w:keepNext w:val="0"/>
              <w:keepLines w:val="0"/>
              <w:widowControl/>
              <w:suppressLineNumbers w:val="0"/>
              <w:spacing w:line="240" w:lineRule="auto"/>
              <w:jc w:val="left"/>
              <w:textAlignment w:val="center"/>
              <w:rPr>
                <w:rFonts w:hint="eastAsia" w:ascii="微软雅黑" w:hAnsi="微软雅黑" w:eastAsia="微软雅黑" w:cs="微软雅黑"/>
                <w:b w:val="0"/>
                <w:bCs w:val="0"/>
                <w:color w:val="auto"/>
                <w:sz w:val="21"/>
                <w:szCs w:val="21"/>
                <w:vertAlign w:val="baseline"/>
              </w:rPr>
            </w:pPr>
            <w:r>
              <w:rPr>
                <w:rFonts w:hint="eastAsia" w:ascii="微软雅黑" w:hAnsi="微软雅黑" w:eastAsia="微软雅黑" w:cs="微软雅黑"/>
                <w:b w:val="0"/>
                <w:bCs w:val="0"/>
                <w:i w:val="0"/>
                <w:iCs w:val="0"/>
                <w:color w:val="auto"/>
                <w:kern w:val="0"/>
                <w:sz w:val="21"/>
                <w:szCs w:val="21"/>
                <w:u w:val="none"/>
                <w:lang w:val="en-US" w:eastAsia="zh-CN" w:bidi="ar"/>
              </w:rPr>
              <w:t>工艺：根据设计效果定制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86" w:type="dxa"/>
            <w:vAlign w:val="center"/>
          </w:tcPr>
          <w:p>
            <w:pPr>
              <w:snapToGrid w:val="0"/>
              <w:spacing w:line="240" w:lineRule="auto"/>
              <w:jc w:val="center"/>
              <w:rPr>
                <w:rFonts w:hint="eastAsia" w:ascii="微软雅黑" w:hAnsi="微软雅黑" w:eastAsia="微软雅黑" w:cs="微软雅黑"/>
                <w:color w:val="auto"/>
                <w:sz w:val="21"/>
                <w:szCs w:val="21"/>
                <w:vertAlign w:val="baseline"/>
                <w:lang w:val="en-US" w:eastAsia="zh-CN"/>
              </w:rPr>
            </w:pPr>
            <w:r>
              <w:rPr>
                <w:rFonts w:hint="eastAsia" w:ascii="微软雅黑" w:hAnsi="微软雅黑" w:eastAsia="微软雅黑" w:cs="微软雅黑"/>
                <w:color w:val="auto"/>
                <w:sz w:val="21"/>
                <w:szCs w:val="21"/>
                <w:vertAlign w:val="baseline"/>
                <w:lang w:val="en-US" w:eastAsia="zh-CN"/>
              </w:rPr>
              <w:t>8</w:t>
            </w:r>
          </w:p>
        </w:tc>
        <w:tc>
          <w:tcPr>
            <w:tcW w:w="1159" w:type="dxa"/>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 xml:space="preserve">套装3 </w:t>
            </w:r>
          </w:p>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包装盒</w:t>
            </w:r>
          </w:p>
        </w:tc>
        <w:tc>
          <w:tcPr>
            <w:tcW w:w="7596" w:type="dxa"/>
            <w:shd w:val="clear" w:color="auto" w:fill="auto"/>
            <w:vAlign w:val="center"/>
          </w:tcPr>
          <w:p>
            <w:pPr>
              <w:keepNext w:val="0"/>
              <w:keepLines w:val="0"/>
              <w:widowControl/>
              <w:numPr>
                <w:ilvl w:val="0"/>
                <w:numId w:val="0"/>
              </w:numPr>
              <w:suppressLineNumbers w:val="0"/>
              <w:spacing w:line="240" w:lineRule="auto"/>
              <w:ind w:left="0" w:leftChars="0" w:firstLine="0" w:firstLineChars="0"/>
              <w:jc w:val="left"/>
              <w:textAlignment w:val="center"/>
              <w:rPr>
                <w:rFonts w:hint="eastAsia" w:ascii="微软雅黑" w:hAnsi="微软雅黑" w:eastAsia="微软雅黑" w:cs="微软雅黑"/>
                <w:b w:val="0"/>
                <w:bCs w:val="0"/>
                <w:i w:val="0"/>
                <w:iCs w:val="0"/>
                <w:color w:val="auto"/>
                <w:kern w:val="0"/>
                <w:sz w:val="21"/>
                <w:szCs w:val="21"/>
                <w:highlight w:val="none"/>
                <w:u w:val="none"/>
                <w:lang w:val="en-US" w:eastAsia="zh-CN" w:bidi="ar"/>
              </w:rPr>
            </w:pPr>
            <w:r>
              <w:rPr>
                <w:rFonts w:hint="eastAsia" w:ascii="微软雅黑" w:hAnsi="微软雅黑" w:eastAsia="微软雅黑" w:cs="微软雅黑"/>
                <w:b w:val="0"/>
                <w:bCs w:val="0"/>
                <w:i w:val="0"/>
                <w:iCs w:val="0"/>
                <w:color w:val="auto"/>
                <w:kern w:val="0"/>
                <w:sz w:val="21"/>
                <w:szCs w:val="21"/>
                <w:highlight w:val="none"/>
                <w:u w:val="none"/>
                <w:lang w:val="en-US" w:eastAsia="zh-CN" w:bidi="ar"/>
              </w:rPr>
              <w:t>材质：白卡纸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工艺：根据设计效果定制</w:t>
            </w:r>
          </w:p>
          <w:p>
            <w:pPr>
              <w:pStyle w:val="2"/>
              <w:spacing w:line="240" w:lineRule="auto"/>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备注：包装盒内可放置容纳保温杯</w:t>
            </w: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（三）样品递交及退还要求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1.样品清单</w:t>
      </w:r>
    </w:p>
    <w:tbl>
      <w:tblPr>
        <w:tblStyle w:val="58"/>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4"/>
        <w:gridCol w:w="1024"/>
        <w:gridCol w:w="6115"/>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 w:type="dxa"/>
            <w:noWrap w:val="0"/>
            <w:vAlign w:val="center"/>
          </w:tcPr>
          <w:p>
            <w:pPr>
              <w:widowControl w:val="0"/>
              <w:spacing w:line="240" w:lineRule="auto"/>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序号</w:t>
            </w:r>
          </w:p>
        </w:tc>
        <w:tc>
          <w:tcPr>
            <w:tcW w:w="1024" w:type="dxa"/>
            <w:noWrap w:val="0"/>
            <w:vAlign w:val="center"/>
          </w:tcPr>
          <w:p>
            <w:pPr>
              <w:widowControl w:val="0"/>
              <w:spacing w:line="240" w:lineRule="auto"/>
              <w:jc w:val="center"/>
              <w:rPr>
                <w:rFonts w:hint="eastAsia" w:ascii="微软雅黑" w:hAnsi="微软雅黑" w:eastAsia="微软雅黑" w:cs="微软雅黑"/>
                <w:b/>
                <w:bCs/>
                <w:color w:val="auto"/>
                <w:sz w:val="21"/>
                <w:szCs w:val="21"/>
                <w:lang w:val="en-US" w:eastAsia="zh-CN"/>
              </w:rPr>
            </w:pPr>
            <w:r>
              <w:rPr>
                <w:rFonts w:hint="eastAsia" w:ascii="微软雅黑" w:hAnsi="微软雅黑" w:eastAsia="微软雅黑" w:cs="微软雅黑"/>
                <w:b/>
                <w:bCs/>
                <w:color w:val="auto"/>
                <w:sz w:val="21"/>
                <w:szCs w:val="21"/>
                <w:lang w:val="en-US" w:eastAsia="zh-CN"/>
              </w:rPr>
              <w:t>产品</w:t>
            </w:r>
          </w:p>
        </w:tc>
        <w:tc>
          <w:tcPr>
            <w:tcW w:w="6115" w:type="dxa"/>
            <w:noWrap w:val="0"/>
            <w:vAlign w:val="center"/>
          </w:tcPr>
          <w:p>
            <w:pPr>
              <w:widowControl w:val="0"/>
              <w:spacing w:line="240" w:lineRule="auto"/>
              <w:ind w:firstLine="420" w:firstLineChars="200"/>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规格尺寸</w:t>
            </w:r>
          </w:p>
        </w:tc>
        <w:tc>
          <w:tcPr>
            <w:tcW w:w="750" w:type="dxa"/>
            <w:noWrap w:val="0"/>
            <w:vAlign w:val="center"/>
          </w:tcPr>
          <w:p>
            <w:pPr>
              <w:widowControl w:val="0"/>
              <w:spacing w:line="240" w:lineRule="auto"/>
              <w:jc w:val="center"/>
              <w:rPr>
                <w:rFonts w:hint="eastAsia" w:ascii="微软雅黑" w:hAnsi="微软雅黑" w:eastAsia="微软雅黑" w:cs="微软雅黑"/>
                <w:b/>
                <w:bCs/>
                <w:color w:val="auto"/>
                <w:sz w:val="21"/>
                <w:szCs w:val="21"/>
              </w:rPr>
            </w:pPr>
            <w:r>
              <w:rPr>
                <w:rFonts w:hint="eastAsia" w:ascii="微软雅黑" w:hAnsi="微软雅黑" w:eastAsia="微软雅黑" w:cs="微软雅黑"/>
                <w:b/>
                <w:bCs/>
                <w:color w:val="auto"/>
                <w:sz w:val="21"/>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保温杯</w:t>
            </w:r>
          </w:p>
        </w:tc>
        <w:tc>
          <w:tcPr>
            <w:tcW w:w="6115" w:type="dxa"/>
            <w:noWrap w:val="0"/>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容量：200ml（±5ml）         内胆材质：316不锈钢</w:t>
            </w:r>
          </w:p>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克重：125g（±5 g）          杯身颜色: 渐变色</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2</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晴雨伞</w:t>
            </w:r>
          </w:p>
        </w:tc>
        <w:tc>
          <w:tcPr>
            <w:tcW w:w="6115" w:type="dxa"/>
            <w:noWrap w:val="0"/>
            <w:vAlign w:val="center"/>
          </w:tcPr>
          <w:p>
            <w:pPr>
              <w:pStyle w:val="2"/>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尺寸：54cm（±5mm）*8k（股），伞收折后规格：19*6.5cm</w:t>
            </w:r>
          </w:p>
          <w:p>
            <w:pPr>
              <w:pStyle w:val="2"/>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材质：280t抨击黑胶布</w:t>
            </w:r>
          </w:p>
          <w:p>
            <w:pPr>
              <w:pStyle w:val="2"/>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主骨材质：加宽加粗钢架染黑烤漆</w:t>
            </w:r>
          </w:p>
          <w:p>
            <w:pPr>
              <w:pStyle w:val="2"/>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中棒：五节式结构</w:t>
            </w:r>
          </w:p>
          <w:p>
            <w:pPr>
              <w:pStyle w:val="2"/>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color w:val="auto"/>
                <w:sz w:val="21"/>
                <w:szCs w:val="21"/>
                <w:lang w:val="en-US" w:eastAsia="zh-CN"/>
              </w:rPr>
              <w:t>手柄：ABS橡胶漆手柄</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3</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香薰夹</w:t>
            </w:r>
          </w:p>
        </w:tc>
        <w:tc>
          <w:tcPr>
            <w:tcW w:w="6115" w:type="dxa"/>
            <w:noWrap w:val="0"/>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材质: 锌合金     尺寸: 38*38mm（±2mm）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厚 度:15mm（±1mm）      工艺：UV          配件：夹子+香薰片</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4</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徽章</w:t>
            </w:r>
          </w:p>
        </w:tc>
        <w:tc>
          <w:tcPr>
            <w:tcW w:w="6115" w:type="dxa"/>
            <w:noWrap w:val="0"/>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材质: 锌合金                  尺寸: 25mm（±1mm）</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厚度: 1.8mm（±0.1mm）        工艺：烤漆+UV+滴胶</w:t>
            </w:r>
            <w:r>
              <w:rPr>
                <w:rFonts w:hint="eastAsia" w:ascii="微软雅黑" w:hAnsi="微软雅黑" w:eastAsia="微软雅黑" w:cs="微软雅黑"/>
                <w:i w:val="0"/>
                <w:iCs w:val="0"/>
                <w:color w:val="auto"/>
                <w:kern w:val="0"/>
                <w:sz w:val="21"/>
                <w:szCs w:val="21"/>
                <w:u w:val="none"/>
                <w:lang w:val="en-US" w:eastAsia="zh-CN" w:bidi="ar"/>
              </w:rPr>
              <w:br w:type="textWrapping"/>
            </w:r>
            <w:r>
              <w:rPr>
                <w:rFonts w:hint="eastAsia" w:ascii="微软雅黑" w:hAnsi="微软雅黑" w:eastAsia="微软雅黑" w:cs="微软雅黑"/>
                <w:i w:val="0"/>
                <w:iCs w:val="0"/>
                <w:color w:val="auto"/>
                <w:kern w:val="0"/>
                <w:sz w:val="21"/>
                <w:szCs w:val="21"/>
                <w:u w:val="none"/>
                <w:lang w:val="en-US" w:eastAsia="zh-CN" w:bidi="ar"/>
              </w:rPr>
              <w:t>配 件: 磁吸扣</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5</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color w:val="auto"/>
                <w:kern w:val="2"/>
                <w:sz w:val="21"/>
                <w:szCs w:val="21"/>
                <w:vertAlign w:val="baseline"/>
                <w:lang w:val="en-US" w:eastAsia="zh-CN" w:bidi="ar-SA"/>
              </w:rPr>
            </w:pPr>
            <w:r>
              <w:rPr>
                <w:rFonts w:hint="eastAsia" w:ascii="微软雅黑" w:hAnsi="微软雅黑" w:eastAsia="微软雅黑" w:cs="微软雅黑"/>
                <w:i w:val="0"/>
                <w:iCs w:val="0"/>
                <w:color w:val="auto"/>
                <w:kern w:val="0"/>
                <w:sz w:val="21"/>
                <w:szCs w:val="21"/>
                <w:u w:val="none"/>
                <w:lang w:val="en-US" w:eastAsia="zh-CN" w:bidi="ar"/>
              </w:rPr>
              <w:t>充电宝</w:t>
            </w:r>
          </w:p>
        </w:tc>
        <w:tc>
          <w:tcPr>
            <w:tcW w:w="6115" w:type="dxa"/>
            <w:shd w:val="clear" w:color="auto" w:fill="auto"/>
            <w:noWrap w:val="0"/>
            <w:vAlign w:val="center"/>
          </w:tcPr>
          <w:p>
            <w:pPr>
              <w:keepNext w:val="0"/>
              <w:keepLines w:val="0"/>
              <w:widowControl/>
              <w:suppressLineNumbers w:val="0"/>
              <w:spacing w:line="240" w:lineRule="auto"/>
              <w:jc w:val="left"/>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尺寸：148*68*19mm(±2mm）     外壳：清晰印有3C认证标识</w:t>
            </w:r>
          </w:p>
        </w:tc>
        <w:tc>
          <w:tcPr>
            <w:tcW w:w="750"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6</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套装1</w:t>
            </w:r>
          </w:p>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color w:val="auto"/>
                <w:kern w:val="2"/>
                <w:sz w:val="21"/>
                <w:szCs w:val="21"/>
                <w:vertAlign w:val="baseline"/>
                <w:lang w:val="en-US" w:eastAsia="zh-CN" w:bidi="ar-SA"/>
              </w:rPr>
            </w:pPr>
            <w:r>
              <w:rPr>
                <w:rFonts w:hint="eastAsia" w:ascii="微软雅黑" w:hAnsi="微软雅黑" w:eastAsia="微软雅黑" w:cs="微软雅黑"/>
                <w:b w:val="0"/>
                <w:bCs w:val="0"/>
                <w:i w:val="0"/>
                <w:iCs w:val="0"/>
                <w:color w:val="auto"/>
                <w:kern w:val="0"/>
                <w:sz w:val="21"/>
                <w:szCs w:val="21"/>
                <w:u w:val="none"/>
                <w:lang w:val="en-US" w:eastAsia="zh-CN" w:bidi="ar"/>
              </w:rPr>
              <w:t>包装礼盒</w:t>
            </w:r>
          </w:p>
        </w:tc>
        <w:tc>
          <w:tcPr>
            <w:tcW w:w="6115" w:type="dxa"/>
            <w:noWrap w:val="0"/>
            <w:vAlign w:val="center"/>
          </w:tcPr>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礼盒包装</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材质：硬纸板裱特种纸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备注：包装盒内可放置容纳保温杯、晴雨伞、香薰夹、徽章，产品说明卡</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手提袋</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材质：白卡纸/特种纸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规格：需要与礼盒包装相匹配</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7</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套装2</w:t>
            </w:r>
          </w:p>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color w:val="auto"/>
                <w:kern w:val="2"/>
                <w:sz w:val="21"/>
                <w:szCs w:val="21"/>
                <w:vertAlign w:val="baseline"/>
                <w:lang w:val="en-US" w:eastAsia="zh-CN" w:bidi="ar-SA"/>
              </w:rPr>
            </w:pPr>
            <w:r>
              <w:rPr>
                <w:rFonts w:hint="eastAsia" w:ascii="微软雅黑" w:hAnsi="微软雅黑" w:eastAsia="微软雅黑" w:cs="微软雅黑"/>
                <w:b w:val="0"/>
                <w:bCs w:val="0"/>
                <w:i w:val="0"/>
                <w:iCs w:val="0"/>
                <w:color w:val="auto"/>
                <w:kern w:val="0"/>
                <w:sz w:val="21"/>
                <w:szCs w:val="21"/>
                <w:u w:val="none"/>
                <w:lang w:val="en-US" w:eastAsia="zh-CN" w:bidi="ar"/>
              </w:rPr>
              <w:t>包装礼盒</w:t>
            </w:r>
          </w:p>
        </w:tc>
        <w:tc>
          <w:tcPr>
            <w:tcW w:w="6115" w:type="dxa"/>
            <w:shd w:val="clear" w:color="auto" w:fill="auto"/>
            <w:noWrap w:val="0"/>
            <w:vAlign w:val="center"/>
          </w:tcPr>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礼盒包装</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材质：硬纸板裱特种纸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备注：包装盒内可放置容纳充电宝、香薰夹、徽章、产品说明卡</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手提袋</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材质：白卡纸/特种纸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规格：需要与礼盒包装相匹配</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8</w:t>
            </w:r>
          </w:p>
        </w:tc>
        <w:tc>
          <w:tcPr>
            <w:tcW w:w="1024" w:type="dxa"/>
            <w:shd w:val="clear" w:color="auto" w:fill="auto"/>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套装3</w:t>
            </w:r>
          </w:p>
          <w:p>
            <w:pPr>
              <w:keepNext w:val="0"/>
              <w:keepLines w:val="0"/>
              <w:widowControl/>
              <w:suppressLineNumbers w:val="0"/>
              <w:spacing w:line="240" w:lineRule="auto"/>
              <w:jc w:val="center"/>
              <w:textAlignment w:val="center"/>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包装盒</w:t>
            </w:r>
          </w:p>
        </w:tc>
        <w:tc>
          <w:tcPr>
            <w:tcW w:w="6115" w:type="dxa"/>
            <w:shd w:val="clear" w:color="auto" w:fill="auto"/>
            <w:noWrap w:val="0"/>
            <w:vAlign w:val="center"/>
          </w:tcPr>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材质：白卡纸</w:t>
            </w:r>
          </w:p>
          <w:p>
            <w:pPr>
              <w:spacing w:line="240" w:lineRule="auto"/>
              <w:ind w:firstLine="0" w:firstLineChars="0"/>
              <w:rPr>
                <w:rFonts w:hint="eastAsia" w:ascii="微软雅黑" w:hAnsi="微软雅黑" w:eastAsia="微软雅黑" w:cs="微软雅黑"/>
                <w:b w:val="0"/>
                <w:bCs w:val="0"/>
                <w:i w:val="0"/>
                <w:iCs w:val="0"/>
                <w:color w:val="auto"/>
                <w:kern w:val="0"/>
                <w:sz w:val="21"/>
                <w:szCs w:val="21"/>
                <w:u w:val="none"/>
                <w:lang w:val="en-US" w:eastAsia="zh-CN" w:bidi="ar"/>
              </w:rPr>
            </w:pPr>
            <w:r>
              <w:rPr>
                <w:rFonts w:hint="eastAsia" w:ascii="微软雅黑" w:hAnsi="微软雅黑" w:eastAsia="微软雅黑" w:cs="微软雅黑"/>
                <w:b w:val="0"/>
                <w:bCs w:val="0"/>
                <w:i w:val="0"/>
                <w:iCs w:val="0"/>
                <w:color w:val="auto"/>
                <w:kern w:val="0"/>
                <w:sz w:val="21"/>
                <w:szCs w:val="21"/>
                <w:u w:val="none"/>
                <w:lang w:val="en-US" w:eastAsia="zh-CN" w:bidi="ar"/>
              </w:rPr>
              <w:t>规格：符合美观性及实用性</w:t>
            </w:r>
          </w:p>
          <w:p>
            <w:pPr>
              <w:spacing w:line="240" w:lineRule="auto"/>
              <w:ind w:firstLine="0" w:firstLineChars="0"/>
              <w:rPr>
                <w:rFonts w:hint="eastAsia" w:ascii="微软雅黑" w:hAnsi="微软雅黑" w:eastAsia="微软雅黑" w:cs="微软雅黑"/>
                <w:b w:val="0"/>
                <w:bCs w:val="0"/>
                <w:color w:val="auto"/>
                <w:sz w:val="21"/>
                <w:szCs w:val="21"/>
                <w:lang w:val="en-US" w:eastAsia="zh-CN"/>
              </w:rPr>
            </w:pPr>
            <w:r>
              <w:rPr>
                <w:rFonts w:hint="eastAsia" w:ascii="微软雅黑" w:hAnsi="微软雅黑" w:eastAsia="微软雅黑" w:cs="微软雅黑"/>
                <w:b w:val="0"/>
                <w:bCs w:val="0"/>
                <w:i w:val="0"/>
                <w:iCs w:val="0"/>
                <w:color w:val="auto"/>
                <w:kern w:val="0"/>
                <w:sz w:val="21"/>
                <w:szCs w:val="21"/>
                <w:u w:val="none"/>
                <w:lang w:val="en-US" w:eastAsia="zh-CN" w:bidi="ar"/>
              </w:rPr>
              <w:t>备注：包装盒内可放置容纳保温杯</w:t>
            </w:r>
          </w:p>
        </w:tc>
        <w:tc>
          <w:tcPr>
            <w:tcW w:w="750" w:type="dxa"/>
            <w:noWrap w:val="0"/>
            <w:vAlign w:val="center"/>
          </w:tcPr>
          <w:p>
            <w:pPr>
              <w:keepNext w:val="0"/>
              <w:keepLines w:val="0"/>
              <w:widowControl/>
              <w:suppressLineNumbers w:val="0"/>
              <w:spacing w:line="240" w:lineRule="auto"/>
              <w:jc w:val="center"/>
              <w:textAlignment w:val="center"/>
              <w:rPr>
                <w:rFonts w:hint="eastAsia" w:ascii="微软雅黑" w:hAnsi="微软雅黑" w:eastAsia="微软雅黑" w:cs="微软雅黑"/>
                <w:i w:val="0"/>
                <w:iCs w:val="0"/>
                <w:color w:val="auto"/>
                <w:kern w:val="0"/>
                <w:sz w:val="21"/>
                <w:szCs w:val="21"/>
                <w:u w:val="none"/>
                <w:lang w:val="en-US" w:eastAsia="zh-CN" w:bidi="ar"/>
              </w:rPr>
            </w:pPr>
            <w:r>
              <w:rPr>
                <w:rFonts w:hint="eastAsia" w:ascii="微软雅黑" w:hAnsi="微软雅黑" w:eastAsia="微软雅黑" w:cs="微软雅黑"/>
                <w:i w:val="0"/>
                <w:iCs w:val="0"/>
                <w:color w:val="auto"/>
                <w:kern w:val="0"/>
                <w:sz w:val="21"/>
                <w:szCs w:val="21"/>
                <w:u w:val="none"/>
                <w:lang w:val="en-US" w:eastAsia="zh-CN" w:bidi="ar"/>
              </w:rPr>
              <w:t>1</w:t>
            </w:r>
          </w:p>
        </w:tc>
      </w:tr>
    </w:tbl>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2.样品递交时间：即为本项目开标时间（详见项目采购公示）。</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3.样品递交（不退还）</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（1）投标时须提供以上样品各1份。样品要密封、封面注明投标单位、产品名称盖鲜章。未提供样品，将失去中标候选人资格。</w:t>
      </w:r>
    </w:p>
    <w:p>
      <w:pPr>
        <w:snapToGrid w:val="0"/>
        <w:spacing w:line="400" w:lineRule="exact"/>
        <w:ind w:firstLine="480" w:firstLineChars="200"/>
        <w:rPr>
          <w:rFonts w:hint="default" w:ascii="微软雅黑" w:hAnsi="微软雅黑" w:eastAsia="微软雅黑" w:cs="微软雅黑"/>
          <w:sz w:val="24"/>
          <w:szCs w:val="24"/>
          <w:lang w:val="en-US" w:eastAsia="zh-CN"/>
        </w:rPr>
        <w:sectPr>
          <w:headerReference r:id="rId8" w:type="default"/>
          <w:footerReference r:id="rId9" w:type="default"/>
          <w:footerReference r:id="rId10"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sz w:val="24"/>
          <w:szCs w:val="24"/>
          <w:lang w:val="en-US" w:eastAsia="zh-CN"/>
        </w:rPr>
        <w:t>（2）采购人将对中标候选人的样品进行封样，后续供货产品材质、尺寸必须与样品一致。</w:t>
      </w:r>
    </w:p>
    <w:p>
      <w:pPr>
        <w:pStyle w:val="4"/>
        <w:spacing w:before="200" w:after="200" w:line="240" w:lineRule="auto"/>
        <w:jc w:val="center"/>
        <w:rPr>
          <w:rFonts w:hint="eastAsia" w:ascii="微软雅黑" w:hAnsi="微软雅黑" w:eastAsia="微软雅黑" w:cs="微软雅黑"/>
          <w:sz w:val="44"/>
        </w:rPr>
      </w:pPr>
      <w:bookmarkStart w:id="105" w:name="_Toc20081"/>
      <w:bookmarkStart w:id="106" w:name="_Toc7791"/>
      <w:bookmarkStart w:id="107" w:name="_Toc76462327"/>
      <w:bookmarkStart w:id="108" w:name="_Toc106030882"/>
      <w:r>
        <w:rPr>
          <w:rFonts w:hint="eastAsia" w:ascii="微软雅黑" w:hAnsi="微软雅黑" w:eastAsia="微软雅黑" w:cs="微软雅黑"/>
          <w:sz w:val="44"/>
        </w:rPr>
        <w:t xml:space="preserve">第三篇  </w:t>
      </w:r>
      <w:bookmarkEnd w:id="0"/>
      <w:r>
        <w:rPr>
          <w:rFonts w:hint="eastAsia" w:ascii="微软雅黑" w:hAnsi="微软雅黑" w:eastAsia="微软雅黑" w:cs="微软雅黑"/>
          <w:sz w:val="44"/>
        </w:rPr>
        <w:t>项目商务需求</w:t>
      </w:r>
      <w:bookmarkEnd w:id="105"/>
      <w:bookmarkEnd w:id="106"/>
      <w:bookmarkEnd w:id="107"/>
      <w:bookmarkEnd w:id="108"/>
    </w:p>
    <w:tbl>
      <w:tblPr>
        <w:tblStyle w:val="58"/>
        <w:tblW w:w="5181" w:type="pct"/>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7"/>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bookmarkStart w:id="109" w:name="_Toc106030887"/>
            <w:bookmarkStart w:id="110" w:name="_Toc76462332"/>
            <w:bookmarkStart w:id="111" w:name="_Toc6692"/>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0"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9" w:type="pct"/>
            <w:vAlign w:val="center"/>
          </w:tcPr>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交货时间：合同签订后3个工作日内，中标人完成设计方案细化，并提交采购人确认。若中标人未能在上述期限内提交方案，或提交的方案经采购人审核后认为“不能满足采购需求”，采购人有权要求中标人进行修改。修改完成后接到采购人通知后35个工作日内完成供货。</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交货地点：重庆医科大学附属儿童医院（渝中院区和两江院区）。</w:t>
            </w:r>
          </w:p>
          <w:p>
            <w:pPr>
              <w:pStyle w:val="144"/>
              <w:widowControl/>
              <w:adjustRightInd w:val="0"/>
              <w:snapToGrid w:val="0"/>
              <w:spacing w:line="400" w:lineRule="exact"/>
              <w:jc w:val="left"/>
              <w:rPr>
                <w:rFonts w:hint="eastAsia" w:ascii="微软雅黑" w:hAnsi="微软雅黑" w:eastAsia="微软雅黑" w:cs="微软雅黑"/>
                <w:color w:val="auto"/>
                <w:sz w:val="24"/>
                <w:szCs w:val="24"/>
                <w:u w:val="none"/>
                <w:lang w:val="en-US" w:eastAsia="zh-CN"/>
              </w:rPr>
            </w:pPr>
            <w:r>
              <w:rPr>
                <w:rFonts w:hint="eastAsia" w:ascii="微软雅黑" w:hAnsi="微软雅黑" w:eastAsia="微软雅黑" w:cs="微软雅黑"/>
                <w:color w:val="auto"/>
                <w:sz w:val="24"/>
                <w:szCs w:val="24"/>
                <w:u w:val="none"/>
                <w:lang w:val="en-US" w:eastAsia="zh-CN"/>
              </w:rPr>
              <w:t>验收方式：归口管理部门依合同约定内容验收。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0"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9"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本项目要求所有产品满足技术参数要求中所有条件，严禁</w:t>
            </w:r>
            <w:bookmarkStart w:id="196" w:name="_GoBack"/>
            <w:bookmarkEnd w:id="196"/>
            <w:r>
              <w:rPr>
                <w:rFonts w:hint="eastAsia" w:ascii="微软雅黑" w:hAnsi="微软雅黑" w:eastAsia="微软雅黑" w:cs="微软雅黑"/>
                <w:color w:val="auto"/>
                <w:sz w:val="24"/>
                <w:szCs w:val="24"/>
                <w:lang w:val="en-US" w:eastAsia="zh-CN"/>
              </w:rPr>
              <w:t>提供三无产品（三无产品指无生产日期、无质量合格证、无生产厂家名称的产品‌）质保期不低于国家标准年限，验收合格后7个工作日内，如有质量问题可免费换新。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0"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9"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1.该项目为一次性报价，最终成交价以响应文件上的报价为准。</w:t>
            </w:r>
          </w:p>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2.该项目需对3个套装的单价进行单独报价，包括完成本项目所需的所有费用及各种应纳的税费，其中套装1和套装2的价格须相同。因中标人自身原因造成漏报、少报皆由其自行承担责任，采购人不再补偿。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0"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9" w:type="pct"/>
            <w:vAlign w:val="center"/>
          </w:tcPr>
          <w:p>
            <w:pPr>
              <w:pStyle w:val="144"/>
              <w:snapToGrid w:val="0"/>
              <w:spacing w:line="400" w:lineRule="exact"/>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1.最终结算金额以实际采购结算数量为结算依据，</w:t>
            </w:r>
            <w:r>
              <w:rPr>
                <w:rFonts w:hint="eastAsia" w:ascii="微软雅黑" w:hAnsi="微软雅黑" w:eastAsia="微软雅黑" w:cs="微软雅黑"/>
                <w:sz w:val="24"/>
                <w:szCs w:val="24"/>
                <w:lang w:val="en-US" w:eastAsia="zh-CN"/>
              </w:rPr>
              <w:t>项目采购金额不超过49万元。</w:t>
            </w:r>
          </w:p>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2.合同签订且供应商完成本项目纪念品设计方案细化并经采购人审核通过，中标人按采购人要求开具等额合规增值税发票，采购人收到发票后30个工作日内，支付合同总金额的20%作为预付款；</w:t>
            </w:r>
          </w:p>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3.全部产品送达采购人指定地点，完成供货、验收合格后，中标人开具剩余款项等额合规增值税发票，采购人收到发票后30个工作日内支付合同总金额剩余 80% 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0"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违约责任</w:t>
            </w:r>
          </w:p>
        </w:tc>
        <w:tc>
          <w:tcPr>
            <w:tcW w:w="4279"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 中标人未按约定提供质保、维修服务的，每逾期一次，向采购人支付合同金额1%的违约金。</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 同一故障累计维修3次仍不能正常使用的，采购人有权要求免费更换同材质、尺寸、规格或更高档次全新货物，产生费用由中标人承担。</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3. 中标人拒不履行质保义务的，采购人有权委托第三方维修，费用由中标人双倍承担，采购人保留追究法律责任的权利。</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4.在质保期内，中标人对所投产品出现的任何质量及安全问题全权负责，并承担一切费用。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0" w:type="pct"/>
            <w:vAlign w:val="center"/>
          </w:tcPr>
          <w:p>
            <w:pPr>
              <w:pStyle w:val="144"/>
              <w:widowControl/>
              <w:adjustRightInd w:val="0"/>
              <w:snapToGrid w:val="0"/>
              <w:spacing w:line="240" w:lineRule="auto"/>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279" w:type="pct"/>
            <w:vAlign w:val="center"/>
          </w:tcPr>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1.投标人必须在响应文件中对以上条款和服务承诺明确列出，承诺内容必须达到本篇及采购文件其他条款的要求。</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2.若因中标人原因（包括但不限于设计质量不合格、无法满足采购方要求且修改后仍不达标），导致设计方案在合同签订后 5个工作日内未能获得采购人书面确认的，则采购人有权解除合同，同时要求中标人支付合同总金额10%的惩罚性违约金。</w:t>
            </w:r>
          </w:p>
          <w:p>
            <w:pPr>
              <w:pStyle w:val="144"/>
              <w:snapToGrid w:val="0"/>
              <w:spacing w:line="240" w:lineRule="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3.其他未尽事宜由供需双方在采购合同中详细约定。</w:t>
            </w:r>
          </w:p>
        </w:tc>
      </w:tr>
    </w:tbl>
    <w:p>
      <w:pPr>
        <w:rPr>
          <w:rFonts w:hint="eastAsia" w:ascii="微软雅黑" w:hAnsi="微软雅黑" w:eastAsia="微软雅黑" w:cs="微软雅黑"/>
          <w:b/>
          <w:sz w:val="44"/>
        </w:rPr>
      </w:pPr>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621"/>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公开比选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24700"/>
      <w:bookmarkStart w:id="114" w:name="_Toc106030888"/>
      <w:bookmarkStart w:id="115" w:name="_Toc14958"/>
      <w:bookmarkStart w:id="116" w:name="_Toc76462333"/>
      <w:r>
        <w:rPr>
          <w:rFonts w:hint="eastAsia" w:ascii="微软雅黑" w:hAnsi="微软雅黑" w:eastAsia="微软雅黑" w:cs="微软雅黑"/>
          <w:sz w:val="24"/>
        </w:rPr>
        <w:t>一、</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公开比选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微软雅黑" w:hAnsi="微软雅黑" w:eastAsia="微软雅黑" w:cs="微软雅黑"/>
          <w:kern w:val="0"/>
          <w:sz w:val="24"/>
          <w:szCs w:val="24"/>
        </w:rPr>
      </w:pPr>
      <w:bookmarkStart w:id="117" w:name="_Toc31352"/>
      <w:r>
        <w:rPr>
          <w:rFonts w:hint="eastAsia" w:ascii="微软雅黑" w:hAnsi="微软雅黑" w:eastAsia="微软雅黑" w:cs="微软雅黑"/>
          <w:kern w:val="0"/>
          <w:sz w:val="24"/>
          <w:szCs w:val="24"/>
          <w:lang w:val="en-US" w:eastAsia="zh-CN"/>
        </w:rPr>
        <w:t>注2：该项目</w:t>
      </w:r>
      <w:r>
        <w:rPr>
          <w:rFonts w:hint="eastAsia" w:ascii="微软雅黑" w:hAnsi="微软雅黑" w:eastAsia="微软雅黑" w:cs="微软雅黑"/>
          <w:kern w:val="0"/>
          <w:sz w:val="24"/>
          <w:szCs w:val="24"/>
        </w:rPr>
        <w:t>采购评审中出现下列情形之一的，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应当启动异常低价投标审查程序：</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rPr>
        <w:t>投标报价低于全部通过符合性审查投标人投标报价平均值50%的，即投标报价＜全部通过符合性审查投标人投标报价平均值×50%；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2）</w:t>
      </w:r>
      <w:r>
        <w:rPr>
          <w:rFonts w:hint="eastAsia" w:ascii="微软雅黑" w:hAnsi="微软雅黑" w:eastAsia="微软雅黑" w:cs="微软雅黑"/>
          <w:kern w:val="0"/>
          <w:sz w:val="24"/>
          <w:szCs w:val="24"/>
        </w:rPr>
        <w:t>投标报价低于通过符合性审查的次低报价投标人投标报价50%的，即投标报价＜通过符合性审查的次低报价投标人投标报价×50%；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3）</w:t>
      </w:r>
      <w:r>
        <w:rPr>
          <w:rFonts w:hint="eastAsia" w:ascii="微软雅黑" w:hAnsi="微软雅黑" w:eastAsia="微软雅黑" w:cs="微软雅黑"/>
          <w:kern w:val="0"/>
          <w:sz w:val="24"/>
          <w:szCs w:val="24"/>
        </w:rPr>
        <w:t>投标报价低于采购项目最高限价45%的，即投标报价＜采购项目</w:t>
      </w:r>
      <w:r>
        <w:rPr>
          <w:rFonts w:hint="eastAsia" w:ascii="微软雅黑" w:hAnsi="微软雅黑" w:eastAsia="微软雅黑" w:cs="微软雅黑"/>
          <w:kern w:val="0"/>
          <w:sz w:val="24"/>
          <w:szCs w:val="24"/>
          <w:lang w:val="en-US" w:eastAsia="zh-CN"/>
        </w:rPr>
        <w:t>单价</w:t>
      </w:r>
      <w:r>
        <w:rPr>
          <w:rFonts w:hint="eastAsia" w:ascii="微软雅黑" w:hAnsi="微软雅黑" w:eastAsia="微软雅黑" w:cs="微软雅黑"/>
          <w:kern w:val="0"/>
          <w:sz w:val="24"/>
          <w:szCs w:val="24"/>
        </w:rPr>
        <w:t>最高限价×45%；</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4）</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基于专业判断，认为投标人</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报价过低，有可能影响产品质量或者不能诚信履约的其他情形。</w:t>
      </w:r>
    </w:p>
    <w:p>
      <w:pPr>
        <w:snapToGrid w:val="0"/>
        <w:spacing w:line="400" w:lineRule="exact"/>
        <w:ind w:firstLine="480" w:firstLineChars="200"/>
        <w:rPr>
          <w:rFonts w:hint="eastAsia" w:ascii="微软雅黑" w:hAnsi="微软雅黑" w:eastAsia="微软雅黑" w:cs="微软雅黑"/>
          <w:kern w:val="0"/>
          <w:sz w:val="24"/>
          <w:szCs w:val="24"/>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应当将其作为无效投标处理。</w:t>
      </w:r>
    </w:p>
    <w:bookmarkEnd w:id="117"/>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8" w:name="_Toc32521"/>
      <w:bookmarkStart w:id="119" w:name="_Toc32269"/>
      <w:bookmarkStart w:id="120" w:name="_Toc25824"/>
      <w:bookmarkStart w:id="121" w:name="_Toc16728"/>
      <w:r>
        <w:rPr>
          <w:rFonts w:hint="eastAsia" w:ascii="微软雅黑" w:hAnsi="微软雅黑" w:eastAsia="微软雅黑" w:cs="微软雅黑"/>
          <w:color w:val="auto"/>
          <w:sz w:val="24"/>
          <w:lang w:val="en-US" w:eastAsia="zh-CN"/>
        </w:rPr>
        <w:t>二、</w:t>
      </w:r>
      <w:bookmarkEnd w:id="118"/>
      <w:bookmarkEnd w:id="119"/>
      <w:bookmarkStart w:id="122" w:name="_Toc28874"/>
      <w:bookmarkStart w:id="123" w:name="_Toc23550"/>
      <w:r>
        <w:rPr>
          <w:rFonts w:hint="eastAsia" w:ascii="微软雅黑" w:hAnsi="微软雅黑" w:eastAsia="微软雅黑" w:cs="微软雅黑"/>
          <w:color w:val="auto"/>
          <w:sz w:val="24"/>
          <w:lang w:val="en-US" w:eastAsia="zh-CN"/>
        </w:rPr>
        <w:t>评标方法</w:t>
      </w:r>
      <w:bookmarkEnd w:id="120"/>
      <w:bookmarkEnd w:id="121"/>
      <w:bookmarkEnd w:id="122"/>
      <w:bookmarkEnd w:id="123"/>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4" w:name="_Toc18577"/>
      <w:bookmarkStart w:id="125" w:name="_Toc29611"/>
      <w:bookmarkStart w:id="126" w:name="_Toc76462334"/>
      <w:bookmarkStart w:id="127" w:name="_Toc14542"/>
      <w:bookmarkStart w:id="128" w:name="_Toc2549"/>
      <w:bookmarkStart w:id="129" w:name="_Toc30944"/>
      <w:bookmarkStart w:id="130" w:name="_Toc106030889"/>
      <w:r>
        <w:rPr>
          <w:rFonts w:hint="eastAsia" w:ascii="微软雅黑" w:hAnsi="微软雅黑" w:eastAsia="微软雅黑" w:cs="微软雅黑"/>
          <w:color w:val="auto"/>
          <w:sz w:val="24"/>
          <w:lang w:val="en-US" w:eastAsia="zh-CN"/>
        </w:rPr>
        <w:t>三、评审标准</w:t>
      </w:r>
      <w:bookmarkEnd w:id="124"/>
      <w:bookmarkEnd w:id="125"/>
      <w:bookmarkEnd w:id="126"/>
      <w:bookmarkEnd w:id="127"/>
      <w:bookmarkEnd w:id="128"/>
      <w:bookmarkEnd w:id="129"/>
      <w:bookmarkEnd w:id="130"/>
    </w:p>
    <w:tbl>
      <w:tblPr>
        <w:tblStyle w:val="58"/>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287"/>
        <w:gridCol w:w="1088"/>
        <w:gridCol w:w="5050"/>
        <w:gridCol w:w="1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Align w:val="center"/>
          </w:tcPr>
          <w:p>
            <w:pPr>
              <w:ind w:firstLine="0"/>
              <w:jc w:val="center"/>
              <w:rPr>
                <w:rFonts w:hint="eastAsia" w:ascii="微软雅黑" w:hAnsi="微软雅黑" w:eastAsia="微软雅黑" w:cs="微软雅黑"/>
                <w:b/>
                <w:color w:val="auto"/>
                <w:sz w:val="21"/>
                <w:szCs w:val="21"/>
              </w:rPr>
            </w:pPr>
            <w:bookmarkStart w:id="131" w:name="_Toc17606"/>
            <w:bookmarkStart w:id="132" w:name="_Toc8670"/>
            <w:bookmarkStart w:id="133" w:name="_Toc17288"/>
            <w:r>
              <w:rPr>
                <w:rFonts w:hint="eastAsia" w:ascii="微软雅黑" w:hAnsi="微软雅黑" w:eastAsia="微软雅黑" w:cs="微软雅黑"/>
                <w:b/>
                <w:color w:val="auto"/>
                <w:sz w:val="21"/>
                <w:szCs w:val="21"/>
              </w:rPr>
              <w:t>序号</w:t>
            </w:r>
          </w:p>
        </w:tc>
        <w:tc>
          <w:tcPr>
            <w:tcW w:w="1287"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评分因素</w:t>
            </w:r>
          </w:p>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及权重</w:t>
            </w:r>
          </w:p>
        </w:tc>
        <w:tc>
          <w:tcPr>
            <w:tcW w:w="1088"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分值</w:t>
            </w:r>
          </w:p>
        </w:tc>
        <w:tc>
          <w:tcPr>
            <w:tcW w:w="5050" w:type="dxa"/>
            <w:vAlign w:val="center"/>
          </w:tcPr>
          <w:p>
            <w:pPr>
              <w:ind w:firstLine="0"/>
              <w:jc w:val="center"/>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1731" w:type="dxa"/>
            <w:vAlign w:val="center"/>
          </w:tcPr>
          <w:p>
            <w:pPr>
              <w:pStyle w:val="238"/>
              <w:spacing w:before="0" w:after="0" w:line="240" w:lineRule="auto"/>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1</w:t>
            </w:r>
          </w:p>
        </w:tc>
        <w:tc>
          <w:tcPr>
            <w:tcW w:w="1287" w:type="dxa"/>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30</w:t>
            </w:r>
            <w:r>
              <w:rPr>
                <w:rFonts w:hint="eastAsia" w:ascii="微软雅黑" w:hAnsi="微软雅黑" w:eastAsia="微软雅黑" w:cs="微软雅黑"/>
                <w:color w:val="auto"/>
                <w:sz w:val="21"/>
                <w:szCs w:val="21"/>
              </w:rPr>
              <w:t>%）</w:t>
            </w:r>
          </w:p>
        </w:tc>
        <w:tc>
          <w:tcPr>
            <w:tcW w:w="1088" w:type="dxa"/>
            <w:vAlign w:val="center"/>
          </w:tcPr>
          <w:p>
            <w:pPr>
              <w:ind w:firstLine="0"/>
              <w:jc w:val="cente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3</w:t>
            </w:r>
            <w:r>
              <w:rPr>
                <w:rFonts w:hint="eastAsia" w:ascii="微软雅黑" w:hAnsi="微软雅黑" w:eastAsia="微软雅黑" w:cs="微软雅黑"/>
                <w:color w:val="auto"/>
                <w:sz w:val="21"/>
                <w:szCs w:val="21"/>
                <w:lang w:val="en-US" w:eastAsia="zh-CN"/>
              </w:rPr>
              <w:t>0</w:t>
            </w:r>
          </w:p>
        </w:tc>
        <w:tc>
          <w:tcPr>
            <w:tcW w:w="505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有效的投标报价中的最低价为评标基准价，其价格分为满分。其他投标人的价格分统一按照下列公式计算：</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投标报价得分＝（评标基准价/投标报价）×价格权重×100。</w:t>
            </w:r>
          </w:p>
        </w:tc>
        <w:tc>
          <w:tcPr>
            <w:tcW w:w="1731"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得分采用四舍五入法保留小数点后两位。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839" w:type="dxa"/>
            <w:gridSpan w:val="5"/>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采购文件“第二篇 项目技术（质量）需求”中所有条款（样品递交及退还要求除外）均为符合性审查中的实质性要求，响应文件若不满足按无效响应处理。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w:t>
            </w:r>
          </w:p>
        </w:tc>
        <w:tc>
          <w:tcPr>
            <w:tcW w:w="1287" w:type="dxa"/>
            <w:vMerge w:val="restart"/>
            <w:vAlign w:val="center"/>
          </w:tcPr>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技术（质量）部分</w:t>
            </w:r>
          </w:p>
          <w:p>
            <w:pPr>
              <w:ind w:firstLine="0"/>
              <w:jc w:val="cente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60</w:t>
            </w:r>
            <w:r>
              <w:rPr>
                <w:rFonts w:hint="eastAsia" w:ascii="微软雅黑" w:hAnsi="微软雅黑" w:eastAsia="微软雅黑" w:cs="微软雅黑"/>
                <w:color w:val="auto"/>
                <w:sz w:val="21"/>
                <w:szCs w:val="21"/>
              </w:rPr>
              <w:t>%）</w:t>
            </w:r>
          </w:p>
        </w:tc>
        <w:tc>
          <w:tcPr>
            <w:tcW w:w="1088" w:type="dxa"/>
            <w:vMerge w:val="restart"/>
            <w:vAlign w:val="center"/>
          </w:tcPr>
          <w:p>
            <w:pPr>
              <w:ind w:firstLine="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策划设计方案30分</w:t>
            </w:r>
          </w:p>
        </w:tc>
        <w:tc>
          <w:tcPr>
            <w:tcW w:w="505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文化内涵与创意性（15分）</w:t>
            </w:r>
          </w:p>
          <w:p>
            <w:pP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① 文化契合度（5分）：设计方案充分体现采购人的历史文化</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如：周年庆主题、医院风貌）</w:t>
            </w:r>
            <w:r>
              <w:rPr>
                <w:rFonts w:hint="eastAsia" w:ascii="微软雅黑" w:hAnsi="微软雅黑" w:eastAsia="微软雅黑" w:cs="微软雅黑"/>
                <w:color w:val="auto"/>
                <w:sz w:val="21"/>
                <w:szCs w:val="21"/>
              </w:rPr>
              <w:t>等</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lang w:val="en-US" w:eastAsia="zh-CN"/>
              </w:rPr>
              <w:t>体现精准、深刻，</w:t>
            </w:r>
            <w:r>
              <w:rPr>
                <w:rFonts w:hint="eastAsia" w:ascii="微软雅黑" w:hAnsi="微软雅黑" w:eastAsia="微软雅黑" w:cs="微软雅黑"/>
                <w:color w:val="auto"/>
                <w:sz w:val="21"/>
                <w:szCs w:val="21"/>
              </w:rPr>
              <w:t>得5分</w:t>
            </w:r>
            <w:r>
              <w:rPr>
                <w:rFonts w:hint="eastAsia" w:ascii="微软雅黑" w:hAnsi="微软雅黑" w:eastAsia="微软雅黑" w:cs="微软雅黑"/>
                <w:color w:val="auto"/>
                <w:sz w:val="21"/>
                <w:szCs w:val="21"/>
                <w:lang w:eastAsia="zh-CN"/>
              </w:rPr>
              <w:t>；</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体现</w:t>
            </w:r>
            <w:r>
              <w:rPr>
                <w:rFonts w:hint="eastAsia" w:ascii="微软雅黑" w:hAnsi="微软雅黑" w:eastAsia="微软雅黑" w:cs="微软雅黑"/>
                <w:color w:val="auto"/>
                <w:sz w:val="21"/>
                <w:szCs w:val="21"/>
              </w:rPr>
              <w:t>较为表面或牵强</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未体现</w:t>
            </w:r>
            <w:r>
              <w:rPr>
                <w:rFonts w:hint="eastAsia" w:ascii="微软雅黑" w:hAnsi="微软雅黑" w:eastAsia="微软雅黑" w:cs="微软雅黑"/>
                <w:color w:val="auto"/>
                <w:sz w:val="21"/>
                <w:szCs w:val="21"/>
                <w:lang w:val="en-US" w:eastAsia="zh-CN"/>
              </w:rPr>
              <w:t>或体现不当，</w:t>
            </w:r>
            <w:r>
              <w:rPr>
                <w:rFonts w:hint="eastAsia" w:ascii="微软雅黑" w:hAnsi="微软雅黑" w:eastAsia="微软雅黑" w:cs="微软雅黑"/>
                <w:color w:val="auto"/>
                <w:sz w:val="21"/>
                <w:szCs w:val="21"/>
              </w:rPr>
              <w:t>得0分。</w:t>
            </w:r>
            <w:r>
              <w:rPr>
                <w:rFonts w:hint="eastAsia" w:ascii="微软雅黑" w:hAnsi="微软雅黑" w:eastAsia="微软雅黑" w:cs="微软雅黑"/>
                <w:color w:val="auto"/>
                <w:sz w:val="21"/>
                <w:szCs w:val="21"/>
              </w:rPr>
              <w:br w:type="textWrapping"/>
            </w:r>
            <w:r>
              <w:rPr>
                <w:rFonts w:hint="eastAsia" w:ascii="微软雅黑" w:hAnsi="微软雅黑" w:eastAsia="微软雅黑" w:cs="微软雅黑"/>
                <w:color w:val="auto"/>
                <w:sz w:val="21"/>
                <w:szCs w:val="21"/>
              </w:rPr>
              <w:t>② 创意独特性（</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分）：设计构思新颖，具有原创性，</w:t>
            </w:r>
            <w:r>
              <w:rPr>
                <w:rFonts w:hint="eastAsia" w:ascii="微软雅黑" w:hAnsi="微软雅黑" w:eastAsia="微软雅黑" w:cs="微软雅黑"/>
                <w:color w:val="auto"/>
                <w:sz w:val="21"/>
                <w:szCs w:val="21"/>
                <w:lang w:val="en-US" w:eastAsia="zh-CN"/>
              </w:rPr>
              <w:t>且系列感强。</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构思新颖、原创性强、系列感强，得5</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较有创意但缺乏突破</w:t>
            </w:r>
            <w:r>
              <w:rPr>
                <w:rFonts w:hint="eastAsia" w:ascii="微软雅黑" w:hAnsi="微软雅黑" w:eastAsia="微软雅黑" w:cs="微软雅黑"/>
                <w:color w:val="auto"/>
                <w:sz w:val="21"/>
                <w:szCs w:val="21"/>
                <w:lang w:eastAsia="zh-CN"/>
              </w:rPr>
              <w:t>，或系列</w:t>
            </w:r>
            <w:r>
              <w:rPr>
                <w:rFonts w:hint="eastAsia" w:ascii="微软雅黑" w:hAnsi="微软雅黑" w:eastAsia="微软雅黑" w:cs="微软雅黑"/>
                <w:color w:val="auto"/>
                <w:sz w:val="21"/>
                <w:szCs w:val="21"/>
                <w:lang w:val="en-US" w:eastAsia="zh-CN"/>
              </w:rPr>
              <w:t>感</w:t>
            </w:r>
            <w:r>
              <w:rPr>
                <w:rFonts w:hint="eastAsia" w:ascii="微软雅黑" w:hAnsi="微软雅黑" w:eastAsia="微软雅黑" w:cs="微软雅黑"/>
                <w:color w:val="auto"/>
                <w:sz w:val="21"/>
                <w:szCs w:val="21"/>
                <w:lang w:eastAsia="zh-CN"/>
              </w:rPr>
              <w:t>稍弱，</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创意普通</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或有明显模仿或拼凑痕迹，</w:t>
            </w:r>
            <w:r>
              <w:rPr>
                <w:rFonts w:hint="eastAsia" w:ascii="微软雅黑" w:hAnsi="微软雅黑" w:eastAsia="微软雅黑" w:cs="微软雅黑"/>
                <w:color w:val="auto"/>
                <w:sz w:val="21"/>
                <w:szCs w:val="21"/>
              </w:rPr>
              <w:t>得1分。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③ 设计完整性（5分）：方案内容完全符合要求，结构清晰完整。</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任一产品设计缺少理念、外观图、参数等关键信息，每处扣</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rPr>
              <w:t>分。扣完为止。</w:t>
            </w:r>
          </w:p>
        </w:tc>
        <w:tc>
          <w:tcPr>
            <w:tcW w:w="1731" w:type="dxa"/>
            <w:vMerge w:val="restart"/>
            <w:vAlign w:val="center"/>
          </w:tcPr>
          <w:p>
            <w:pP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1.提供方案，格式内容自拟。</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若方案存在重大原则错误（如歪曲</w:t>
            </w:r>
            <w:r>
              <w:rPr>
                <w:rFonts w:hint="eastAsia" w:ascii="微软雅黑" w:hAnsi="微软雅黑" w:eastAsia="微软雅黑" w:cs="微软雅黑"/>
                <w:color w:val="auto"/>
                <w:sz w:val="21"/>
                <w:szCs w:val="21"/>
                <w:lang w:val="en-US" w:eastAsia="zh-CN"/>
              </w:rPr>
              <w:t>医院</w:t>
            </w:r>
            <w:r>
              <w:rPr>
                <w:rFonts w:hint="eastAsia" w:ascii="微软雅黑" w:hAnsi="微软雅黑" w:eastAsia="微软雅黑" w:cs="微软雅黑"/>
                <w:color w:val="auto"/>
                <w:sz w:val="21"/>
                <w:szCs w:val="21"/>
              </w:rPr>
              <w:t>历史）则</w:t>
            </w:r>
            <w:r>
              <w:rPr>
                <w:rFonts w:hint="eastAsia" w:ascii="微软雅黑" w:hAnsi="微软雅黑" w:eastAsia="微软雅黑" w:cs="微软雅黑"/>
                <w:color w:val="auto"/>
                <w:sz w:val="21"/>
                <w:szCs w:val="21"/>
                <w:lang w:val="en-US" w:eastAsia="zh-CN"/>
              </w:rPr>
              <w:t>策划设计方案部分整体，</w:t>
            </w:r>
            <w:r>
              <w:rPr>
                <w:rFonts w:hint="eastAsia" w:ascii="微软雅黑" w:hAnsi="微软雅黑" w:eastAsia="微软雅黑" w:cs="微软雅黑"/>
                <w:color w:val="auto"/>
                <w:sz w:val="21"/>
                <w:szCs w:val="21"/>
              </w:rPr>
              <w:t>得0分。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未提供方案</w:t>
            </w:r>
            <w:r>
              <w:rPr>
                <w:rFonts w:hint="eastAsia" w:ascii="微软雅黑" w:hAnsi="微软雅黑" w:eastAsia="微软雅黑" w:cs="微软雅黑"/>
                <w:color w:val="auto"/>
                <w:sz w:val="21"/>
                <w:szCs w:val="21"/>
                <w:lang w:val="en-US" w:eastAsia="zh-CN"/>
              </w:rPr>
              <w:t>则</w:t>
            </w:r>
            <w:r>
              <w:rPr>
                <w:rFonts w:hint="eastAsia" w:ascii="微软雅黑" w:hAnsi="微软雅黑" w:eastAsia="微软雅黑" w:cs="微软雅黑"/>
                <w:color w:val="auto"/>
                <w:sz w:val="21"/>
                <w:szCs w:val="21"/>
              </w:rPr>
              <w:t>策划设计方案部分整体</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Merge w:val="continue"/>
            <w:vAlign w:val="center"/>
          </w:tcPr>
          <w:p/>
        </w:tc>
        <w:tc>
          <w:tcPr>
            <w:tcW w:w="1287" w:type="dxa"/>
            <w:vMerge w:val="continue"/>
            <w:vAlign w:val="center"/>
          </w:tcPr>
          <w:p/>
        </w:tc>
        <w:tc>
          <w:tcPr>
            <w:tcW w:w="1088" w:type="dxa"/>
            <w:vMerge w:val="continue"/>
            <w:vAlign w:val="center"/>
          </w:tcPr>
          <w:p/>
        </w:tc>
        <w:tc>
          <w:tcPr>
            <w:tcW w:w="505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设计美观性与合理性（15分）</w:t>
            </w:r>
          </w:p>
          <w:p>
            <w:pPr>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① 外观美观性（</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分）：色彩协调，造型优美，具有艺术感和时代感</w:t>
            </w:r>
            <w:r>
              <w:rPr>
                <w:rFonts w:hint="eastAsia" w:ascii="微软雅黑" w:hAnsi="微软雅黑" w:eastAsia="微软雅黑" w:cs="微软雅黑"/>
                <w:color w:val="auto"/>
                <w:sz w:val="21"/>
                <w:szCs w:val="21"/>
                <w:lang w:eastAsia="zh-CN"/>
              </w:rPr>
              <w:t>，符合大众审美及</w:t>
            </w:r>
            <w:r>
              <w:rPr>
                <w:rFonts w:hint="eastAsia" w:ascii="微软雅黑" w:hAnsi="微软雅黑" w:eastAsia="微软雅黑" w:cs="微软雅黑"/>
                <w:color w:val="auto"/>
                <w:sz w:val="21"/>
                <w:szCs w:val="21"/>
                <w:lang w:val="en-US" w:eastAsia="zh-CN"/>
              </w:rPr>
              <w:t>医院</w:t>
            </w:r>
            <w:r>
              <w:rPr>
                <w:rFonts w:hint="eastAsia" w:ascii="微软雅黑" w:hAnsi="微软雅黑" w:eastAsia="微软雅黑" w:cs="微软雅黑"/>
                <w:color w:val="auto"/>
                <w:sz w:val="21"/>
                <w:szCs w:val="21"/>
                <w:lang w:eastAsia="zh-CN"/>
              </w:rPr>
              <w:t>形象。</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完全符合，</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稍有不足</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明显欠缺</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得1分。</w:t>
            </w:r>
            <w:r>
              <w:rPr>
                <w:rFonts w:hint="eastAsia" w:ascii="微软雅黑" w:hAnsi="微软雅黑" w:eastAsia="微软雅黑" w:cs="微软雅黑"/>
                <w:color w:val="auto"/>
                <w:sz w:val="21"/>
                <w:szCs w:val="21"/>
              </w:rPr>
              <w:br w:type="textWrapping"/>
            </w:r>
            <w:r>
              <w:rPr>
                <w:rFonts w:hint="eastAsia" w:ascii="微软雅黑" w:hAnsi="微软雅黑" w:eastAsia="微软雅黑" w:cs="微软雅黑"/>
                <w:color w:val="auto"/>
                <w:sz w:val="21"/>
                <w:szCs w:val="21"/>
              </w:rPr>
              <w:t>② 功能合理性（5分）：设计符合</w:t>
            </w:r>
            <w:r>
              <w:rPr>
                <w:rFonts w:hint="eastAsia" w:ascii="微软雅黑" w:hAnsi="微软雅黑" w:eastAsia="微软雅黑" w:cs="微软雅黑"/>
                <w:color w:val="auto"/>
                <w:sz w:val="21"/>
                <w:szCs w:val="21"/>
                <w:lang w:val="en-US" w:eastAsia="zh-CN"/>
              </w:rPr>
              <w:t>日常需求</w:t>
            </w:r>
            <w:r>
              <w:rPr>
                <w:rFonts w:hint="eastAsia" w:ascii="微软雅黑" w:hAnsi="微软雅黑" w:eastAsia="微软雅黑" w:cs="微软雅黑"/>
                <w:color w:val="auto"/>
                <w:sz w:val="21"/>
                <w:szCs w:val="21"/>
              </w:rPr>
              <w:t>，使用方便，结构合理</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得5分；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每发现一处不合理之处扣2分（如</w:t>
            </w:r>
            <w:r>
              <w:rPr>
                <w:rFonts w:hint="eastAsia" w:ascii="微软雅黑" w:hAnsi="微软雅黑" w:eastAsia="微软雅黑" w:cs="微软雅黑"/>
                <w:color w:val="auto"/>
                <w:sz w:val="21"/>
                <w:szCs w:val="21"/>
                <w:lang w:val="en-US" w:eastAsia="zh-CN"/>
              </w:rPr>
              <w:t>尺寸比例失调</w:t>
            </w:r>
            <w:r>
              <w:rPr>
                <w:rFonts w:hint="eastAsia" w:ascii="微软雅黑" w:hAnsi="微软雅黑" w:eastAsia="微软雅黑" w:cs="微软雅黑"/>
                <w:color w:val="auto"/>
                <w:sz w:val="21"/>
                <w:szCs w:val="21"/>
              </w:rPr>
              <w:t>等），扣完为止。</w:t>
            </w:r>
            <w:r>
              <w:rPr>
                <w:rFonts w:hint="eastAsia" w:ascii="微软雅黑" w:hAnsi="微软雅黑" w:eastAsia="微软雅黑" w:cs="微软雅黑"/>
                <w:color w:val="auto"/>
                <w:sz w:val="21"/>
                <w:szCs w:val="21"/>
              </w:rPr>
              <w:br w:type="textWrapping"/>
            </w:r>
            <w:r>
              <w:rPr>
                <w:rFonts w:hint="eastAsia" w:ascii="微软雅黑" w:hAnsi="微软雅黑" w:eastAsia="微软雅黑" w:cs="微软雅黑"/>
                <w:color w:val="auto"/>
                <w:sz w:val="21"/>
                <w:szCs w:val="21"/>
              </w:rPr>
              <w:t xml:space="preserve">③ </w:t>
            </w:r>
            <w:r>
              <w:rPr>
                <w:rFonts w:hint="eastAsia" w:ascii="微软雅黑" w:hAnsi="微软雅黑" w:eastAsia="微软雅黑" w:cs="微软雅黑"/>
                <w:color w:val="auto"/>
                <w:sz w:val="21"/>
                <w:szCs w:val="21"/>
                <w:lang w:val="en-US" w:eastAsia="zh-CN"/>
              </w:rPr>
              <w:t>生产</w:t>
            </w:r>
            <w:r>
              <w:rPr>
                <w:rFonts w:hint="eastAsia" w:ascii="微软雅黑" w:hAnsi="微软雅黑" w:eastAsia="微软雅黑" w:cs="微软雅黑"/>
                <w:color w:val="auto"/>
                <w:sz w:val="21"/>
                <w:szCs w:val="21"/>
              </w:rPr>
              <w:t>可行性（5分）：设计方案考虑生产工艺，可实现性强，得5分；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存在1处工艺难点扣</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分，扣完为止。</w:t>
            </w:r>
          </w:p>
        </w:tc>
        <w:tc>
          <w:tcPr>
            <w:tcW w:w="1731" w:type="dxa"/>
            <w:vMerge w:val="continue"/>
            <w:vAlign w:val="center"/>
          </w:tcPr>
          <w:p>
            <w:pPr>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Merge w:val="continue"/>
            <w:vAlign w:val="center"/>
          </w:tcPr>
          <w:p>
            <w:pPr>
              <w:ind w:firstLine="0"/>
              <w:jc w:val="center"/>
              <w:rPr>
                <w:rFonts w:hint="eastAsia" w:ascii="微软雅黑" w:hAnsi="微软雅黑" w:eastAsia="微软雅黑" w:cs="微软雅黑"/>
                <w:color w:val="auto"/>
                <w:sz w:val="21"/>
                <w:szCs w:val="21"/>
              </w:rPr>
            </w:pPr>
          </w:p>
        </w:tc>
        <w:tc>
          <w:tcPr>
            <w:tcW w:w="1287" w:type="dxa"/>
            <w:vMerge w:val="continue"/>
            <w:vAlign w:val="center"/>
          </w:tcPr>
          <w:p>
            <w:pPr>
              <w:ind w:firstLine="0"/>
              <w:jc w:val="center"/>
              <w:rPr>
                <w:rFonts w:hint="eastAsia" w:ascii="微软雅黑" w:hAnsi="微软雅黑" w:eastAsia="微软雅黑" w:cs="微软雅黑"/>
                <w:color w:val="auto"/>
                <w:sz w:val="21"/>
                <w:szCs w:val="21"/>
              </w:rPr>
            </w:pPr>
          </w:p>
        </w:tc>
        <w:tc>
          <w:tcPr>
            <w:tcW w:w="1088" w:type="dxa"/>
            <w:vMerge w:val="restart"/>
            <w:vAlign w:val="center"/>
          </w:tcPr>
          <w:p>
            <w:pPr>
              <w:ind w:firstLine="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样品30分</w:t>
            </w:r>
          </w:p>
        </w:tc>
        <w:tc>
          <w:tcPr>
            <w:tcW w:w="5050" w:type="dxa"/>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样品完整性及技术参数符合性（10 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投标人按要求完整提供本项目全部产品样品，样品齐全得 10 分； 每缺少 1 款样品扣3分，扣完为止。</w:t>
            </w:r>
          </w:p>
        </w:tc>
        <w:tc>
          <w:tcPr>
            <w:tcW w:w="1731" w:type="dxa"/>
            <w:vMerge w:val="restart"/>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未提供样品，样品评价部分整体得0分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Merge w:val="continue"/>
            <w:vAlign w:val="center"/>
          </w:tcPr>
          <w:p>
            <w:pPr>
              <w:ind w:firstLine="0"/>
              <w:jc w:val="center"/>
              <w:rPr>
                <w:rFonts w:hint="eastAsia" w:ascii="微软雅黑" w:hAnsi="微软雅黑" w:eastAsia="微软雅黑" w:cs="微软雅黑"/>
                <w:color w:val="auto"/>
                <w:sz w:val="21"/>
                <w:szCs w:val="21"/>
              </w:rPr>
            </w:pPr>
          </w:p>
        </w:tc>
        <w:tc>
          <w:tcPr>
            <w:tcW w:w="1287" w:type="dxa"/>
            <w:vMerge w:val="continue"/>
            <w:vAlign w:val="center"/>
          </w:tcPr>
          <w:p>
            <w:pPr>
              <w:ind w:firstLine="0"/>
              <w:jc w:val="center"/>
              <w:rPr>
                <w:rFonts w:hint="eastAsia" w:ascii="微软雅黑" w:hAnsi="微软雅黑" w:eastAsia="微软雅黑" w:cs="微软雅黑"/>
                <w:color w:val="auto"/>
                <w:sz w:val="21"/>
                <w:szCs w:val="21"/>
              </w:rPr>
            </w:pPr>
          </w:p>
        </w:tc>
        <w:tc>
          <w:tcPr>
            <w:tcW w:w="1088" w:type="dxa"/>
            <w:vMerge w:val="continue"/>
            <w:vAlign w:val="center"/>
          </w:tcPr>
          <w:p>
            <w:pPr>
              <w:ind w:firstLine="0"/>
              <w:jc w:val="center"/>
              <w:rPr>
                <w:rFonts w:hint="eastAsia" w:ascii="微软雅黑" w:hAnsi="微软雅黑" w:eastAsia="微软雅黑" w:cs="微软雅黑"/>
                <w:color w:val="auto"/>
                <w:sz w:val="21"/>
                <w:szCs w:val="21"/>
              </w:rPr>
            </w:pPr>
          </w:p>
        </w:tc>
        <w:tc>
          <w:tcPr>
            <w:tcW w:w="505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样品与设计方案的关联性（10分）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根据提供的实物样品所体现的工艺水平、材质、风格等，与本次设计方案的匹配程度进行评分：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 实物样品</w:t>
            </w:r>
            <w:r>
              <w:rPr>
                <w:rFonts w:hint="eastAsia" w:ascii="微软雅黑" w:hAnsi="微软雅黑" w:eastAsia="微软雅黑" w:cs="微软雅黑"/>
                <w:color w:val="auto"/>
                <w:sz w:val="21"/>
                <w:szCs w:val="21"/>
                <w:lang w:val="en-US" w:eastAsia="zh-CN"/>
              </w:rPr>
              <w:t>与设计方案一致，与技术参数要求一致</w:t>
            </w:r>
            <w:r>
              <w:rPr>
                <w:rFonts w:hint="eastAsia" w:ascii="微软雅黑" w:hAnsi="微软雅黑" w:eastAsia="微软雅黑" w:cs="微软雅黑"/>
                <w:color w:val="auto"/>
                <w:sz w:val="21"/>
                <w:szCs w:val="21"/>
              </w:rPr>
              <w:t>，得</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② 实物样品与设计方案在工艺</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材质、效果</w:t>
            </w:r>
            <w:r>
              <w:rPr>
                <w:rFonts w:hint="eastAsia" w:ascii="微软雅黑" w:hAnsi="微软雅黑" w:eastAsia="微软雅黑" w:cs="微软雅黑"/>
                <w:color w:val="auto"/>
                <w:sz w:val="21"/>
                <w:szCs w:val="21"/>
              </w:rPr>
              <w:t>上存在一定差距，但基本可参考，得</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③ 实物样品与设计方案完全不符，得0分。</w:t>
            </w:r>
          </w:p>
        </w:tc>
        <w:tc>
          <w:tcPr>
            <w:tcW w:w="1731" w:type="dxa"/>
            <w:vMerge w:val="continue"/>
            <w:vAlign w:val="center"/>
          </w:tcPr>
          <w:p>
            <w:pPr>
              <w:rPr>
                <w:rFonts w:hint="eastAsia" w:ascii="微软雅黑" w:hAnsi="微软雅黑" w:eastAsia="微软雅黑" w:cs="微软雅黑"/>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83" w:type="dxa"/>
            <w:vMerge w:val="continue"/>
            <w:vAlign w:val="center"/>
          </w:tcPr>
          <w:p>
            <w:pPr>
              <w:ind w:firstLine="0"/>
              <w:jc w:val="center"/>
              <w:rPr>
                <w:rFonts w:hint="eastAsia" w:ascii="微软雅黑" w:hAnsi="微软雅黑" w:eastAsia="微软雅黑" w:cs="微软雅黑"/>
                <w:color w:val="auto"/>
                <w:sz w:val="21"/>
                <w:szCs w:val="21"/>
              </w:rPr>
            </w:pPr>
          </w:p>
        </w:tc>
        <w:tc>
          <w:tcPr>
            <w:tcW w:w="1287" w:type="dxa"/>
            <w:vMerge w:val="continue"/>
            <w:vAlign w:val="center"/>
          </w:tcPr>
          <w:p>
            <w:pPr>
              <w:ind w:firstLine="0"/>
              <w:jc w:val="center"/>
              <w:rPr>
                <w:rFonts w:hint="eastAsia" w:ascii="微软雅黑" w:hAnsi="微软雅黑" w:eastAsia="微软雅黑" w:cs="微软雅黑"/>
                <w:color w:val="auto"/>
                <w:sz w:val="21"/>
                <w:szCs w:val="21"/>
              </w:rPr>
            </w:pPr>
          </w:p>
        </w:tc>
        <w:tc>
          <w:tcPr>
            <w:tcW w:w="1088" w:type="dxa"/>
            <w:vMerge w:val="continue"/>
            <w:vAlign w:val="center"/>
          </w:tcPr>
          <w:p>
            <w:pPr>
              <w:ind w:firstLine="0"/>
              <w:jc w:val="center"/>
              <w:rPr>
                <w:rFonts w:hint="eastAsia" w:ascii="微软雅黑" w:hAnsi="微软雅黑" w:eastAsia="微软雅黑" w:cs="微软雅黑"/>
                <w:color w:val="auto"/>
                <w:sz w:val="21"/>
                <w:szCs w:val="21"/>
              </w:rPr>
            </w:pPr>
          </w:p>
        </w:tc>
        <w:tc>
          <w:tcPr>
            <w:tcW w:w="5050" w:type="dxa"/>
            <w:vAlign w:val="center"/>
          </w:tcPr>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lang w:val="en-US" w:eastAsia="zh-CN"/>
              </w:rPr>
              <w:t>技术参数复合型（10分）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根据提供的实物样品的技术参数（如尺寸、材质等）与采购文件要求的基本技术参数的符合程度进行评分：</w:t>
            </w:r>
          </w:p>
          <w:p>
            <w:pPr>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① 所有实物样品的技术参数均符合采购文件基本要求，得</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w:t>
            </w:r>
          </w:p>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② 若有一项技术参数不符合采购文件基本要求，扣</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分，扣完</w:t>
            </w:r>
            <w:r>
              <w:rPr>
                <w:rFonts w:hint="eastAsia" w:ascii="微软雅黑" w:hAnsi="微软雅黑" w:eastAsia="微软雅黑" w:cs="微软雅黑"/>
                <w:color w:val="auto"/>
                <w:sz w:val="21"/>
                <w:szCs w:val="21"/>
                <w:lang w:val="en-US" w:eastAsia="zh-CN"/>
              </w:rPr>
              <w:t>10</w:t>
            </w:r>
            <w:r>
              <w:rPr>
                <w:rFonts w:hint="eastAsia" w:ascii="微软雅黑" w:hAnsi="微软雅黑" w:eastAsia="微软雅黑" w:cs="微软雅黑"/>
                <w:color w:val="auto"/>
                <w:sz w:val="21"/>
                <w:szCs w:val="21"/>
              </w:rPr>
              <w:t>分为止。</w:t>
            </w:r>
          </w:p>
        </w:tc>
        <w:tc>
          <w:tcPr>
            <w:tcW w:w="1731" w:type="dxa"/>
            <w:vMerge w:val="continue"/>
            <w:vAlign w:val="center"/>
          </w:tcPr>
          <w:p>
            <w:pPr>
              <w:rPr>
                <w:rFonts w:hint="eastAsia" w:ascii="微软雅黑" w:hAnsi="微软雅黑" w:eastAsia="微软雅黑" w:cs="微软雅黑"/>
                <w:color w:val="auto"/>
                <w:sz w:val="21"/>
                <w:szCs w:val="21"/>
                <w:lang w:val="en-US" w:eastAsia="zh-CN"/>
              </w:rPr>
            </w:pPr>
          </w:p>
        </w:tc>
      </w:tr>
      <w:bookmarkEnd w:id="131"/>
      <w:bookmarkEnd w:id="132"/>
      <w:bookmarkEnd w:id="13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476" w:hRule="atLeast"/>
          <w:jc w:val="center"/>
        </w:trPr>
        <w:tc>
          <w:tcPr>
            <w:tcW w:w="9839" w:type="dxa"/>
            <w:gridSpan w:val="5"/>
            <w:tcBorders>
              <w:left w:val="single" w:color="000000" w:sz="4" w:space="0"/>
              <w:right w:val="single" w:color="auto" w:sz="4" w:space="0"/>
            </w:tcBorders>
            <w:shd w:val="clear" w:color="auto" w:fill="auto"/>
            <w:noWrap w:val="0"/>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采购文件“第三篇 项目商务需求”中所有条款均为符合性审查中的实质性要求，若不满足按无效投标处理。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683" w:type="dxa"/>
            <w:vMerge w:val="restart"/>
            <w:tcBorders>
              <w:left w:val="single" w:color="000000" w:sz="4" w:space="0"/>
              <w:right w:val="single" w:color="000000" w:sz="4" w:space="0"/>
            </w:tcBorders>
            <w:shd w:val="clear" w:color="auto" w:fill="auto"/>
            <w:noWrap w:val="0"/>
            <w:vAlign w:val="center"/>
          </w:tcPr>
          <w:p>
            <w:pPr>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3</w:t>
            </w:r>
          </w:p>
        </w:tc>
        <w:tc>
          <w:tcPr>
            <w:tcW w:w="1287" w:type="dxa"/>
            <w:vMerge w:val="restart"/>
            <w:tcBorders>
              <w:left w:val="single" w:color="000000" w:sz="4" w:space="0"/>
              <w:right w:val="single" w:color="000000" w:sz="4" w:space="0"/>
            </w:tcBorders>
            <w:shd w:val="clear" w:color="auto" w:fill="auto"/>
            <w:noWrap w:val="0"/>
            <w:vAlign w:val="center"/>
          </w:tcPr>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商务</w:t>
            </w:r>
          </w:p>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部分</w:t>
            </w:r>
          </w:p>
          <w:p>
            <w:pPr>
              <w:ind w:firstLine="0"/>
              <w:jc w:val="cente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（10%）</w:t>
            </w:r>
          </w:p>
        </w:tc>
        <w:tc>
          <w:tcPr>
            <w:tcW w:w="1088" w:type="dxa"/>
            <w:tcBorders>
              <w:left w:val="single" w:color="000000" w:sz="4" w:space="0"/>
              <w:right w:val="single" w:color="000000" w:sz="4" w:space="0"/>
            </w:tcBorders>
            <w:shd w:val="clear" w:color="auto" w:fill="auto"/>
            <w:noWrap w:val="0"/>
            <w:vAlign w:val="center"/>
          </w:tcPr>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业绩</w:t>
            </w:r>
          </w:p>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5分</w:t>
            </w:r>
          </w:p>
        </w:tc>
        <w:tc>
          <w:tcPr>
            <w:tcW w:w="505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提供2023年1月1日至今的类似</w:t>
            </w:r>
            <w:r>
              <w:rPr>
                <w:rFonts w:hint="eastAsia" w:ascii="微软雅黑" w:hAnsi="微软雅黑" w:eastAsia="微软雅黑" w:cs="微软雅黑"/>
                <w:color w:val="auto"/>
                <w:sz w:val="21"/>
                <w:szCs w:val="21"/>
                <w:lang w:val="en-US" w:eastAsia="zh-CN"/>
              </w:rPr>
              <w:t>纪念品、文创</w:t>
            </w:r>
            <w:r>
              <w:rPr>
                <w:rFonts w:hint="eastAsia" w:ascii="微软雅黑" w:hAnsi="微软雅黑" w:eastAsia="微软雅黑" w:cs="微软雅黑"/>
                <w:color w:val="auto"/>
                <w:sz w:val="21"/>
                <w:szCs w:val="21"/>
              </w:rPr>
              <w:t>产品设计制作业绩，每提供1个得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分，最高</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w:t>
            </w:r>
          </w:p>
        </w:tc>
        <w:tc>
          <w:tcPr>
            <w:tcW w:w="1731" w:type="dxa"/>
            <w:tcBorders>
              <w:left w:val="single" w:color="000000" w:sz="4" w:space="0"/>
              <w:right w:val="single" w:color="auto" w:sz="4" w:space="0"/>
            </w:tcBorders>
            <w:shd w:val="clear" w:color="auto" w:fill="auto"/>
            <w:noWrap w:val="0"/>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提供业绩的合同复印件盖投标人公章。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E599"/>
          <w:tblCellMar>
            <w:top w:w="0" w:type="dxa"/>
            <w:left w:w="108" w:type="dxa"/>
            <w:bottom w:w="0" w:type="dxa"/>
            <w:right w:w="108" w:type="dxa"/>
          </w:tblCellMar>
        </w:tblPrEx>
        <w:trPr>
          <w:trHeight w:val="0" w:hRule="atLeast"/>
          <w:jc w:val="center"/>
        </w:trPr>
        <w:tc>
          <w:tcPr>
            <w:tcW w:w="683" w:type="dxa"/>
            <w:vMerge w:val="continue"/>
            <w:tcBorders>
              <w:left w:val="single" w:color="000000" w:sz="4" w:space="0"/>
              <w:right w:val="single" w:color="000000" w:sz="4" w:space="0"/>
            </w:tcBorders>
            <w:shd w:val="clear" w:color="auto" w:fill="auto"/>
            <w:noWrap w:val="0"/>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left="0" w:firstLine="0" w:firstLineChars="0"/>
              <w:textAlignment w:val="auto"/>
              <w:rPr>
                <w:rFonts w:hint="eastAsia" w:ascii="仿宋" w:hAnsi="仿宋" w:eastAsia="仿宋" w:cs="仿宋"/>
                <w:color w:val="auto"/>
                <w:sz w:val="22"/>
                <w:szCs w:val="22"/>
                <w:highlight w:val="none"/>
                <w:lang w:val="en-US" w:eastAsia="zh-CN"/>
              </w:rPr>
            </w:pPr>
          </w:p>
        </w:tc>
        <w:tc>
          <w:tcPr>
            <w:tcW w:w="1287" w:type="dxa"/>
            <w:vMerge w:val="continue"/>
            <w:tcBorders>
              <w:left w:val="single" w:color="000000" w:sz="4" w:space="0"/>
              <w:right w:val="single" w:color="000000" w:sz="4" w:space="0"/>
            </w:tcBorders>
            <w:shd w:val="clear" w:color="auto" w:fill="auto"/>
            <w:noWrap w:val="0"/>
            <w:vAlign w:val="center"/>
          </w:tcPr>
          <w:p>
            <w:pPr>
              <w:pStyle w:val="23"/>
              <w:spacing w:line="360" w:lineRule="auto"/>
              <w:jc w:val="center"/>
              <w:rPr>
                <w:rFonts w:hint="eastAsia" w:ascii="仿宋" w:hAnsi="仿宋" w:eastAsia="仿宋" w:cs="仿宋"/>
                <w:color w:val="auto"/>
                <w:sz w:val="22"/>
                <w:szCs w:val="22"/>
                <w:highlight w:val="none"/>
                <w:lang w:val="en-US" w:eastAsia="zh-CN"/>
              </w:rPr>
            </w:pPr>
          </w:p>
        </w:tc>
        <w:tc>
          <w:tcPr>
            <w:tcW w:w="1088" w:type="dxa"/>
            <w:tcBorders>
              <w:left w:val="single" w:color="000000" w:sz="4" w:space="0"/>
              <w:right w:val="single" w:color="000000" w:sz="4" w:space="0"/>
            </w:tcBorders>
            <w:shd w:val="clear" w:color="auto" w:fill="auto"/>
            <w:noWrap w:val="0"/>
            <w:vAlign w:val="center"/>
          </w:tcPr>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服务质量保障方案</w:t>
            </w:r>
          </w:p>
          <w:p>
            <w:pPr>
              <w:ind w:firstLine="0"/>
              <w:jc w:val="cente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5分</w:t>
            </w:r>
          </w:p>
        </w:tc>
        <w:tc>
          <w:tcPr>
            <w:tcW w:w="5050" w:type="dxa"/>
            <w:tcBorders>
              <w:top w:val="single" w:color="000000" w:sz="4" w:space="0"/>
              <w:left w:val="single" w:color="000000" w:sz="4" w:space="0"/>
              <w:right w:val="single" w:color="auto" w:sz="4" w:space="0"/>
            </w:tcBorders>
            <w:shd w:val="clear" w:color="auto" w:fill="auto"/>
            <w:noWrap w:val="0"/>
            <w:vAlign w:val="center"/>
          </w:tcPr>
          <w:p>
            <w:pPr>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w:t>
            </w:r>
            <w:r>
              <w:rPr>
                <w:rFonts w:hint="eastAsia" w:ascii="微软雅黑" w:hAnsi="微软雅黑" w:eastAsia="微软雅黑" w:cs="微软雅黑"/>
                <w:color w:val="auto"/>
                <w:sz w:val="21"/>
                <w:szCs w:val="21"/>
              </w:rPr>
              <w:t>供完善的售后服务方案（包括质保期、响应时间、退换货政策等），得</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分；方案有缺项或不够具体得</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分；未提供得0分。</w:t>
            </w:r>
          </w:p>
        </w:tc>
        <w:tc>
          <w:tcPr>
            <w:tcW w:w="1731" w:type="dxa"/>
            <w:tcBorders>
              <w:left w:val="single" w:color="000000" w:sz="4" w:space="0"/>
              <w:right w:val="single" w:color="auto" w:sz="4" w:space="0"/>
            </w:tcBorders>
            <w:shd w:val="clear" w:color="auto" w:fill="auto"/>
            <w:noWrap w:val="0"/>
            <w:vAlign w:val="center"/>
          </w:tcPr>
          <w:p>
            <w:pPr>
              <w:rPr>
                <w:rFonts w:hint="default"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提供方案，格式内容自拟。</w:t>
            </w:r>
          </w:p>
        </w:tc>
      </w:tr>
    </w:tbl>
    <w:p>
      <w:pPr>
        <w:snapToGrid w:val="0"/>
        <w:spacing w:line="400" w:lineRule="exact"/>
        <w:ind w:firstLine="465"/>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（二）</w:t>
      </w:r>
      <w:r>
        <w:rPr>
          <w:rFonts w:hint="default"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lang w:eastAsia="zh-CN"/>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snapToGrid w:val="0"/>
        <w:spacing w:line="400" w:lineRule="exact"/>
        <w:ind w:firstLine="465"/>
        <w:rPr>
          <w:rFonts w:hint="eastAsia" w:ascii="微软雅黑" w:hAnsi="微软雅黑" w:eastAsia="微软雅黑" w:cs="微软雅黑"/>
          <w:color w:val="auto"/>
          <w:sz w:val="24"/>
          <w:szCs w:val="24"/>
          <w:lang w:eastAsia="zh-CN"/>
        </w:rPr>
      </w:pPr>
      <w:r>
        <w:rPr>
          <w:rFonts w:hint="default"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lang w:eastAsia="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lang w:eastAsia="zh-CN"/>
        </w:rPr>
        <w:t>应当将其作为无效投标处理。</w:t>
      </w:r>
    </w:p>
    <w:p>
      <w:pPr>
        <w:snapToGrid w:val="0"/>
        <w:spacing w:line="400" w:lineRule="exact"/>
        <w:ind w:firstLine="465"/>
        <w:rPr>
          <w:rFonts w:hint="eastAsia" w:ascii="微软雅黑" w:hAnsi="微软雅黑" w:eastAsia="微软雅黑" w:cs="微软雅黑"/>
          <w:color w:val="auto"/>
          <w:sz w:val="24"/>
        </w:rPr>
      </w:pPr>
      <w:r>
        <w:rPr>
          <w:rFonts w:hint="eastAsia" w:ascii="微软雅黑" w:hAnsi="微软雅黑" w:eastAsia="微软雅黑" w:cs="微软雅黑"/>
          <w:b/>
          <w:bCs/>
          <w:color w:val="auto"/>
          <w:sz w:val="24"/>
        </w:rPr>
        <w:t>四、无效响应</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w:t>
      </w:r>
      <w:r>
        <w:rPr>
          <w:rFonts w:hint="eastAsia" w:ascii="微软雅黑" w:hAnsi="微软雅黑" w:eastAsia="微软雅黑" w:cs="微软雅黑"/>
          <w:color w:val="auto"/>
          <w:sz w:val="24"/>
          <w:szCs w:val="24"/>
          <w:lang w:val="en-US" w:eastAsia="zh-CN"/>
        </w:rPr>
        <w:t>最终</w:t>
      </w:r>
      <w:r>
        <w:rPr>
          <w:rFonts w:hint="eastAsia" w:ascii="微软雅黑" w:hAnsi="微软雅黑" w:eastAsia="微软雅黑" w:cs="微软雅黑"/>
          <w:color w:val="auto"/>
          <w:sz w:val="24"/>
          <w:szCs w:val="24"/>
        </w:rPr>
        <w:t>报价超过采购预算或最高限价的；</w:t>
      </w:r>
    </w:p>
    <w:p>
      <w:pPr>
        <w:snapToGrid w:val="0"/>
        <w:spacing w:line="400" w:lineRule="exact"/>
        <w:ind w:firstLine="465"/>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投标人的</w:t>
      </w:r>
      <w:r>
        <w:rPr>
          <w:rFonts w:hint="eastAsia" w:ascii="微软雅黑" w:hAnsi="微软雅黑" w:eastAsia="微软雅黑" w:cs="微软雅黑"/>
          <w:color w:val="auto"/>
          <w:sz w:val="24"/>
          <w:szCs w:val="24"/>
          <w:lang w:val="en-US" w:eastAsia="zh-CN"/>
        </w:rPr>
        <w:t>最终</w:t>
      </w:r>
      <w:r>
        <w:rPr>
          <w:rFonts w:hint="eastAsia" w:ascii="微软雅黑" w:hAnsi="微软雅黑" w:eastAsia="微软雅黑" w:cs="微软雅黑"/>
          <w:color w:val="auto"/>
          <w:sz w:val="24"/>
          <w:szCs w:val="24"/>
        </w:rPr>
        <w:t>报价</w:t>
      </w:r>
      <w:r>
        <w:rPr>
          <w:rFonts w:hint="eastAsia" w:ascii="微软雅黑" w:hAnsi="微软雅黑" w:eastAsia="微软雅黑" w:cs="微软雅黑"/>
          <w:color w:val="auto"/>
          <w:sz w:val="24"/>
          <w:szCs w:val="24"/>
          <w:lang w:val="en-US" w:eastAsia="zh-CN"/>
        </w:rPr>
        <w:t>被</w:t>
      </w:r>
      <w:r>
        <w:rPr>
          <w:rFonts w:hint="default" w:ascii="微软雅黑" w:hAnsi="微软雅黑" w:eastAsia="微软雅黑" w:cs="微软雅黑"/>
          <w:color w:val="auto"/>
          <w:sz w:val="24"/>
          <w:szCs w:val="24"/>
          <w:lang w:eastAsia="zh-CN"/>
        </w:rPr>
        <w:t>评标小组</w:t>
      </w:r>
      <w:r>
        <w:rPr>
          <w:rFonts w:hint="eastAsia" w:ascii="微软雅黑" w:hAnsi="微软雅黑" w:eastAsia="微软雅黑" w:cs="微软雅黑"/>
          <w:color w:val="auto"/>
          <w:sz w:val="24"/>
          <w:szCs w:val="24"/>
          <w:lang w:val="en-US" w:eastAsia="zh-CN"/>
        </w:rPr>
        <w:t>判定为异常低价的</w:t>
      </w:r>
      <w:r>
        <w:rPr>
          <w:rFonts w:hint="eastAsia" w:ascii="微软雅黑" w:hAnsi="微软雅黑" w:eastAsia="微软雅黑" w:cs="微软雅黑"/>
          <w:color w:val="auto"/>
          <w:sz w:val="24"/>
          <w:szCs w:val="24"/>
          <w:lang w:eastAsia="zh-CN"/>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七</w:t>
      </w:r>
      <w:r>
        <w:rPr>
          <w:rFonts w:hint="eastAsia" w:ascii="微软雅黑" w:hAnsi="微软雅黑" w:eastAsia="微软雅黑" w:cs="微软雅黑"/>
          <w:color w:val="auto"/>
          <w:sz w:val="24"/>
          <w:szCs w:val="24"/>
        </w:rPr>
        <w:t>）单位负责人为同一人或者存在直接控股、管理关系的不同投标人，参加同一合同项下的采购活动的；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八</w:t>
      </w:r>
      <w:r>
        <w:rPr>
          <w:rFonts w:hint="eastAsia" w:ascii="微软雅黑" w:hAnsi="微软雅黑" w:eastAsia="微软雅黑" w:cs="微软雅黑"/>
          <w:color w:val="auto"/>
          <w:sz w:val="24"/>
          <w:szCs w:val="24"/>
        </w:rPr>
        <w:t>）为采购项目提供整体设计、规范编制或者项目管理、监理、检测等服务的投标人，再参加该采购项目的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九</w:t>
      </w:r>
      <w:r>
        <w:rPr>
          <w:rFonts w:hint="eastAsia" w:ascii="微软雅黑" w:hAnsi="微软雅黑" w:eastAsia="微软雅黑" w:cs="微软雅黑"/>
          <w:color w:val="auto"/>
          <w:sz w:val="24"/>
          <w:szCs w:val="24"/>
        </w:rPr>
        <w:t>）投标人授权有效期不满足</w:t>
      </w:r>
      <w:r>
        <w:rPr>
          <w:rFonts w:hint="eastAsia" w:ascii="微软雅黑" w:hAnsi="微软雅黑" w:eastAsia="微软雅黑" w:cs="微软雅黑"/>
          <w:color w:val="auto"/>
          <w:sz w:val="24"/>
          <w:szCs w:val="24"/>
          <w:lang w:eastAsia="zh-CN"/>
        </w:rPr>
        <w:t>遴选</w:t>
      </w:r>
      <w:r>
        <w:rPr>
          <w:rFonts w:hint="eastAsia" w:ascii="微软雅黑" w:hAnsi="微软雅黑" w:eastAsia="微软雅黑" w:cs="微软雅黑"/>
          <w:color w:val="auto"/>
          <w:sz w:val="24"/>
          <w:szCs w:val="24"/>
        </w:rPr>
        <w:t>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十</w:t>
      </w:r>
      <w:r>
        <w:rPr>
          <w:rFonts w:hint="eastAsia" w:ascii="微软雅黑" w:hAnsi="微软雅黑" w:eastAsia="微软雅黑" w:cs="微软雅黑"/>
          <w:color w:val="auto"/>
          <w:sz w:val="24"/>
          <w:szCs w:val="24"/>
        </w:rPr>
        <w:t>）投标人响应文件内容有与国家现行法律法规相违背的内容，或附有采购人无法接受的条件；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color w:val="auto"/>
          <w:sz w:val="24"/>
          <w:szCs w:val="24"/>
          <w:lang w:val="en-US" w:eastAsia="zh-CN"/>
        </w:rPr>
        <w:t>一</w:t>
      </w:r>
      <w:r>
        <w:rPr>
          <w:rFonts w:hint="eastAsia" w:ascii="微软雅黑" w:hAnsi="微软雅黑" w:eastAsia="微软雅黑" w:cs="微软雅黑"/>
          <w:color w:val="auto"/>
          <w:sz w:val="24"/>
          <w:szCs w:val="24"/>
        </w:rPr>
        <w:t>）法律、法规和采购文件规定的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4" w:name="_Toc106030891"/>
      <w:bookmarkStart w:id="135" w:name="_Toc76462336"/>
      <w:bookmarkStart w:id="136" w:name="_Toc12222"/>
      <w:bookmarkStart w:id="137" w:name="_Toc10687"/>
      <w:bookmarkStart w:id="138" w:name="_Toc25723"/>
      <w:bookmarkStart w:id="139" w:name="_Toc12481"/>
      <w:r>
        <w:rPr>
          <w:rFonts w:hint="eastAsia" w:ascii="微软雅黑" w:hAnsi="微软雅黑" w:eastAsia="微软雅黑" w:cs="微软雅黑"/>
          <w:color w:val="auto"/>
          <w:sz w:val="24"/>
        </w:rPr>
        <w:t>五、</w:t>
      </w:r>
      <w:bookmarkEnd w:id="134"/>
      <w:bookmarkEnd w:id="135"/>
      <w:bookmarkEnd w:id="136"/>
      <w:bookmarkEnd w:id="137"/>
      <w:r>
        <w:rPr>
          <w:rFonts w:hint="eastAsia" w:ascii="微软雅黑" w:hAnsi="微软雅黑" w:eastAsia="微软雅黑" w:cs="微软雅黑"/>
          <w:color w:val="auto"/>
          <w:sz w:val="24"/>
        </w:rPr>
        <w:t>废标条款</w:t>
      </w:r>
      <w:bookmarkEnd w:id="138"/>
      <w:bookmarkEnd w:id="139"/>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11"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40" w:name="_Toc106030892"/>
      <w:bookmarkStart w:id="141" w:name="_Toc29986"/>
      <w:bookmarkStart w:id="142" w:name="_Toc29948"/>
      <w:bookmarkStart w:id="143" w:name="_Toc76462337"/>
      <w:bookmarkStart w:id="144" w:name="_Toc102227313"/>
      <w:r>
        <w:rPr>
          <w:rFonts w:hint="eastAsia" w:ascii="微软雅黑" w:hAnsi="微软雅黑" w:eastAsia="微软雅黑" w:cs="微软雅黑"/>
          <w:sz w:val="44"/>
        </w:rPr>
        <w:t>第五篇  投标人须知</w:t>
      </w:r>
      <w:bookmarkEnd w:id="140"/>
      <w:bookmarkEnd w:id="141"/>
      <w:bookmarkEnd w:id="142"/>
      <w:bookmarkEnd w:id="143"/>
      <w:bookmarkEnd w:id="14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5" w:name="_Toc26717"/>
      <w:bookmarkStart w:id="146" w:name="_Toc76462338"/>
      <w:bookmarkStart w:id="147" w:name="_Toc19678"/>
      <w:bookmarkStart w:id="148" w:name="_Toc342913389"/>
      <w:bookmarkStart w:id="149" w:name="_Toc106030893"/>
      <w:r>
        <w:rPr>
          <w:rFonts w:hint="eastAsia" w:ascii="微软雅黑" w:hAnsi="微软雅黑" w:eastAsia="微软雅黑" w:cs="微软雅黑"/>
          <w:sz w:val="24"/>
        </w:rPr>
        <w:t>一、</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费用</w:t>
      </w:r>
      <w:bookmarkEnd w:id="145"/>
      <w:bookmarkEnd w:id="146"/>
      <w:bookmarkEnd w:id="147"/>
      <w:bookmarkEnd w:id="148"/>
      <w:bookmarkEnd w:id="14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0" w:name="_Toc342913391"/>
      <w:bookmarkStart w:id="151" w:name="_Toc106030894"/>
      <w:bookmarkStart w:id="152" w:name="_Toc29265"/>
      <w:bookmarkStart w:id="153" w:name="_Toc15712"/>
      <w:bookmarkStart w:id="154" w:name="_Toc76462339"/>
      <w:r>
        <w:rPr>
          <w:rFonts w:hint="eastAsia" w:ascii="微软雅黑" w:hAnsi="微软雅黑" w:eastAsia="微软雅黑" w:cs="微软雅黑"/>
          <w:sz w:val="24"/>
        </w:rPr>
        <w:t>二、</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采购文件</w:t>
      </w:r>
      <w:bookmarkEnd w:id="150"/>
      <w:bookmarkEnd w:id="151"/>
      <w:bookmarkEnd w:id="152"/>
      <w:bookmarkEnd w:id="153"/>
      <w:bookmarkEnd w:id="1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采购文件所有条款内容并同意放弃对这方面有不明白及误解的权利。</w:t>
      </w:r>
      <w:bookmarkStart w:id="155" w:name="_Toc318159780"/>
      <w:bookmarkStart w:id="156" w:name="_Toc318159349"/>
      <w:bookmarkStart w:id="157" w:name="_Toc318166429"/>
      <w:bookmarkStart w:id="158" w:name="_Toc318159160"/>
    </w:p>
    <w:bookmarkEnd w:id="155"/>
    <w:bookmarkEnd w:id="156"/>
    <w:bookmarkEnd w:id="157"/>
    <w:bookmarkEnd w:id="15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342913392"/>
      <w:bookmarkStart w:id="160" w:name="_Toc26007"/>
      <w:bookmarkStart w:id="161" w:name="_Toc76462340"/>
      <w:bookmarkStart w:id="162" w:name="_Toc11128"/>
      <w:bookmarkStart w:id="163" w:name="_Toc102227318"/>
      <w:bookmarkStart w:id="164" w:name="_Toc179714297"/>
      <w:bookmarkStart w:id="165" w:name="_Toc106030895"/>
      <w:r>
        <w:rPr>
          <w:rFonts w:hint="eastAsia" w:ascii="微软雅黑" w:hAnsi="微软雅黑" w:eastAsia="微软雅黑" w:cs="微软雅黑"/>
          <w:sz w:val="24"/>
        </w:rPr>
        <w:t>三、比选要求</w:t>
      </w:r>
      <w:bookmarkEnd w:id="159"/>
      <w:bookmarkEnd w:id="160"/>
      <w:bookmarkEnd w:id="161"/>
      <w:bookmarkEnd w:id="162"/>
      <w:bookmarkEnd w:id="163"/>
      <w:bookmarkEnd w:id="164"/>
      <w:bookmarkEnd w:id="16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公开比选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24"/>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106030896"/>
      <w:bookmarkStart w:id="167" w:name="_Toc76462341"/>
      <w:bookmarkStart w:id="168" w:name="_Toc6435"/>
      <w:bookmarkStart w:id="169" w:name="_Toc13617"/>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66"/>
      <w:bookmarkEnd w:id="167"/>
      <w:bookmarkEnd w:id="168"/>
      <w:bookmarkEnd w:id="169"/>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0" w:name="_Toc9069"/>
      <w:bookmarkStart w:id="171" w:name="_Toc342913395"/>
      <w:bookmarkStart w:id="172" w:name="_Toc106030897"/>
      <w:bookmarkStart w:id="173" w:name="_Toc102227321"/>
      <w:bookmarkStart w:id="174" w:name="_Toc21532"/>
      <w:bookmarkStart w:id="175" w:name="_Toc76462342"/>
      <w:r>
        <w:rPr>
          <w:rFonts w:hint="eastAsia" w:ascii="微软雅黑" w:hAnsi="微软雅黑" w:eastAsia="微软雅黑" w:cs="微软雅黑"/>
          <w:sz w:val="24"/>
        </w:rPr>
        <w:t>五、成交通知</w:t>
      </w:r>
      <w:bookmarkEnd w:id="170"/>
      <w:bookmarkEnd w:id="171"/>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color w:val="auto"/>
          <w:sz w:val="24"/>
          <w:szCs w:val="24"/>
        </w:rPr>
        <w:t>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106030898"/>
      <w:bookmarkStart w:id="177" w:name="_Toc76462343"/>
      <w:bookmarkStart w:id="178" w:name="_Toc21448"/>
      <w:bookmarkStart w:id="179" w:name="_Toc30134"/>
      <w:r>
        <w:rPr>
          <w:rFonts w:hint="eastAsia" w:ascii="微软雅黑" w:hAnsi="微软雅黑" w:eastAsia="微软雅黑" w:cs="微软雅黑"/>
          <w:sz w:val="24"/>
        </w:rPr>
        <w:t>六、质疑处理</w:t>
      </w:r>
      <w:bookmarkEnd w:id="176"/>
      <w:bookmarkEnd w:id="177"/>
      <w:bookmarkEnd w:id="178"/>
      <w:bookmarkEnd w:id="17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80" w:name="_Toc106030899"/>
      <w:bookmarkStart w:id="181" w:name="_Toc28334"/>
      <w:bookmarkStart w:id="182"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3" w:name="_Toc10832"/>
      <w:r>
        <w:rPr>
          <w:rFonts w:hint="eastAsia" w:ascii="微软雅黑" w:hAnsi="微软雅黑" w:eastAsia="微软雅黑" w:cs="微软雅黑"/>
          <w:sz w:val="24"/>
        </w:rPr>
        <w:t>七、</w:t>
      </w:r>
      <w:bookmarkEnd w:id="180"/>
      <w:bookmarkEnd w:id="181"/>
      <w:bookmarkEnd w:id="182"/>
      <w:bookmarkStart w:id="184" w:name="_Toc102227322"/>
      <w:bookmarkStart w:id="185" w:name="_Toc106030901"/>
      <w:bookmarkStart w:id="186" w:name="_Toc342913396"/>
      <w:bookmarkStart w:id="187" w:name="_Toc76462346"/>
      <w:bookmarkStart w:id="188" w:name="_Toc3372"/>
      <w:bookmarkStart w:id="189" w:name="_Toc12789059"/>
      <w:bookmarkStart w:id="190" w:name="_Toc11641055"/>
      <w:r>
        <w:rPr>
          <w:rFonts w:hint="eastAsia" w:ascii="微软雅黑" w:hAnsi="微软雅黑" w:eastAsia="微软雅黑" w:cs="微软雅黑"/>
          <w:sz w:val="24"/>
        </w:rPr>
        <w:t>签订</w:t>
      </w:r>
      <w:bookmarkEnd w:id="184"/>
      <w:r>
        <w:rPr>
          <w:rFonts w:hint="eastAsia" w:ascii="微软雅黑" w:hAnsi="微软雅黑" w:eastAsia="微软雅黑" w:cs="微软雅黑"/>
          <w:sz w:val="24"/>
        </w:rPr>
        <w:t>合同</w:t>
      </w:r>
      <w:bookmarkEnd w:id="183"/>
      <w:bookmarkEnd w:id="185"/>
      <w:bookmarkEnd w:id="186"/>
      <w:bookmarkEnd w:id="187"/>
      <w:bookmarkEnd w:id="188"/>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公开比选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（二）中标人未在规定时间内递交合同或放弃中标资格，则招标人将有充分的理由废除授标，将中标人纳入招标人失信投标人名单并扣除该项目的投标保证金，两年之内不得参与招标人任何级别的招标项目。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12" w:type="default"/>
          <w:footerReference r:id="rId13"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9"/>
      <w:bookmarkEnd w:id="190"/>
    </w:p>
    <w:p>
      <w:pPr>
        <w:pStyle w:val="4"/>
        <w:spacing w:before="200" w:after="200" w:line="240" w:lineRule="auto"/>
        <w:jc w:val="center"/>
        <w:rPr>
          <w:rFonts w:hint="eastAsia" w:ascii="微软雅黑" w:hAnsi="微软雅黑" w:eastAsia="微软雅黑" w:cs="微软雅黑"/>
          <w:sz w:val="44"/>
        </w:rPr>
      </w:pPr>
      <w:bookmarkStart w:id="191" w:name="_Hlt41879464"/>
      <w:bookmarkEnd w:id="191"/>
      <w:bookmarkStart w:id="192" w:name="_Toc106030905"/>
      <w:bookmarkStart w:id="193" w:name="_Toc17104"/>
      <w:bookmarkStart w:id="194" w:name="_Toc27984"/>
      <w:bookmarkStart w:id="195" w:name="_Toc76462349"/>
      <w:r>
        <w:rPr>
          <w:rFonts w:hint="eastAsia" w:ascii="微软雅黑" w:hAnsi="微软雅黑" w:eastAsia="微软雅黑" w:cs="微软雅黑"/>
          <w:sz w:val="44"/>
        </w:rPr>
        <w:t>第六篇  响应文件编制要求</w:t>
      </w:r>
      <w:bookmarkEnd w:id="192"/>
      <w:bookmarkEnd w:id="193"/>
      <w:bookmarkEnd w:id="194"/>
      <w:bookmarkEnd w:id="19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4" w:type="default"/>
      <w:footerReference r:id="rId15"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公开比选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公开比选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9"/>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4">
    <w:nsid w:val="6EFD2C9B"/>
    <w:multiLevelType w:val="singleLevel"/>
    <w:tmpl w:val="6EFD2C9B"/>
    <w:lvl w:ilvl="0" w:tentative="0">
      <w:start w:val="1"/>
      <w:numFmt w:val="decimal"/>
      <w:suff w:val="nothing"/>
      <w:lvlText w:val="（%1）"/>
      <w:lvlJc w:val="left"/>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67378B"/>
    <w:rsid w:val="026C7369"/>
    <w:rsid w:val="02C100FA"/>
    <w:rsid w:val="02C10F3E"/>
    <w:rsid w:val="030620E3"/>
    <w:rsid w:val="0496039D"/>
    <w:rsid w:val="05B83278"/>
    <w:rsid w:val="079B568B"/>
    <w:rsid w:val="07F103E0"/>
    <w:rsid w:val="092E6FC0"/>
    <w:rsid w:val="0BB87E47"/>
    <w:rsid w:val="0D1F249B"/>
    <w:rsid w:val="0D26388C"/>
    <w:rsid w:val="0D2D45FA"/>
    <w:rsid w:val="0D5D37FD"/>
    <w:rsid w:val="0E394E9D"/>
    <w:rsid w:val="0F4F0F37"/>
    <w:rsid w:val="1009316D"/>
    <w:rsid w:val="147A5E14"/>
    <w:rsid w:val="14D11CFB"/>
    <w:rsid w:val="15935DB5"/>
    <w:rsid w:val="15BB3449"/>
    <w:rsid w:val="171C1EE4"/>
    <w:rsid w:val="17324323"/>
    <w:rsid w:val="17A1211B"/>
    <w:rsid w:val="18ED7A84"/>
    <w:rsid w:val="19255AF5"/>
    <w:rsid w:val="1931738A"/>
    <w:rsid w:val="19401112"/>
    <w:rsid w:val="19740A13"/>
    <w:rsid w:val="197539F0"/>
    <w:rsid w:val="1A3A2958"/>
    <w:rsid w:val="1A4047E5"/>
    <w:rsid w:val="1A7E6296"/>
    <w:rsid w:val="1A9D69B7"/>
    <w:rsid w:val="1C3E51DD"/>
    <w:rsid w:val="1F0D01CA"/>
    <w:rsid w:val="21226BB2"/>
    <w:rsid w:val="21864056"/>
    <w:rsid w:val="222348FC"/>
    <w:rsid w:val="22F860AB"/>
    <w:rsid w:val="23F055BC"/>
    <w:rsid w:val="2486441F"/>
    <w:rsid w:val="263535D3"/>
    <w:rsid w:val="286153F5"/>
    <w:rsid w:val="2895673E"/>
    <w:rsid w:val="29601F8B"/>
    <w:rsid w:val="296F02CD"/>
    <w:rsid w:val="2AA01F44"/>
    <w:rsid w:val="2B9D4AB7"/>
    <w:rsid w:val="2C3B49BB"/>
    <w:rsid w:val="2C43216E"/>
    <w:rsid w:val="2CD472B8"/>
    <w:rsid w:val="2D590A63"/>
    <w:rsid w:val="2DB02B6B"/>
    <w:rsid w:val="2DDD1BED"/>
    <w:rsid w:val="300C58E0"/>
    <w:rsid w:val="30607DAE"/>
    <w:rsid w:val="312C1210"/>
    <w:rsid w:val="31DA5A58"/>
    <w:rsid w:val="32FD7152"/>
    <w:rsid w:val="332D1E43"/>
    <w:rsid w:val="348014C3"/>
    <w:rsid w:val="34B35ADC"/>
    <w:rsid w:val="361F2D7D"/>
    <w:rsid w:val="37556B60"/>
    <w:rsid w:val="38CD7FDC"/>
    <w:rsid w:val="38EE7BF2"/>
    <w:rsid w:val="39637BF6"/>
    <w:rsid w:val="3AB207B7"/>
    <w:rsid w:val="3ACE5D4F"/>
    <w:rsid w:val="3BC51F2D"/>
    <w:rsid w:val="3BCC72E2"/>
    <w:rsid w:val="3C55524B"/>
    <w:rsid w:val="3CCE1388"/>
    <w:rsid w:val="3DF6488D"/>
    <w:rsid w:val="3F1C71CA"/>
    <w:rsid w:val="406334F2"/>
    <w:rsid w:val="409F14A1"/>
    <w:rsid w:val="415F6EA3"/>
    <w:rsid w:val="41D61B12"/>
    <w:rsid w:val="42E4764C"/>
    <w:rsid w:val="452C7897"/>
    <w:rsid w:val="46151D23"/>
    <w:rsid w:val="46D026EE"/>
    <w:rsid w:val="494C6B8D"/>
    <w:rsid w:val="497B7CB3"/>
    <w:rsid w:val="49D3665A"/>
    <w:rsid w:val="49E129AF"/>
    <w:rsid w:val="4A8845CE"/>
    <w:rsid w:val="4AAF051E"/>
    <w:rsid w:val="4B26645C"/>
    <w:rsid w:val="4B2D12E0"/>
    <w:rsid w:val="4BEB6B31"/>
    <w:rsid w:val="4DD36371"/>
    <w:rsid w:val="4E875DB8"/>
    <w:rsid w:val="4EEC1F3B"/>
    <w:rsid w:val="4F070047"/>
    <w:rsid w:val="4F3C244F"/>
    <w:rsid w:val="4FCD30B4"/>
    <w:rsid w:val="500C41C5"/>
    <w:rsid w:val="5052092F"/>
    <w:rsid w:val="5115115D"/>
    <w:rsid w:val="51604044"/>
    <w:rsid w:val="521E4A24"/>
    <w:rsid w:val="52D92ACB"/>
    <w:rsid w:val="53B4776F"/>
    <w:rsid w:val="53DF1E3A"/>
    <w:rsid w:val="540F25CE"/>
    <w:rsid w:val="545B425C"/>
    <w:rsid w:val="558E730F"/>
    <w:rsid w:val="573C43EC"/>
    <w:rsid w:val="57857077"/>
    <w:rsid w:val="587934A1"/>
    <w:rsid w:val="58EA1C45"/>
    <w:rsid w:val="5CA67F0E"/>
    <w:rsid w:val="5CC4593C"/>
    <w:rsid w:val="5DAD4E7C"/>
    <w:rsid w:val="5FD65B2B"/>
    <w:rsid w:val="60CB5C8F"/>
    <w:rsid w:val="648E3C9A"/>
    <w:rsid w:val="64DA4767"/>
    <w:rsid w:val="65170F5B"/>
    <w:rsid w:val="65215328"/>
    <w:rsid w:val="65ED2CBA"/>
    <w:rsid w:val="670A099E"/>
    <w:rsid w:val="670E3372"/>
    <w:rsid w:val="68BD663A"/>
    <w:rsid w:val="692F74C0"/>
    <w:rsid w:val="696405DD"/>
    <w:rsid w:val="69BE2355"/>
    <w:rsid w:val="6B75107A"/>
    <w:rsid w:val="6D2C595F"/>
    <w:rsid w:val="6D5236ED"/>
    <w:rsid w:val="6FE969BF"/>
    <w:rsid w:val="701245F9"/>
    <w:rsid w:val="71175C34"/>
    <w:rsid w:val="71F320AC"/>
    <w:rsid w:val="74D70DF7"/>
    <w:rsid w:val="750950F5"/>
    <w:rsid w:val="750D16CF"/>
    <w:rsid w:val="75296395"/>
    <w:rsid w:val="773622B4"/>
    <w:rsid w:val="77BF0123"/>
    <w:rsid w:val="77D50611"/>
    <w:rsid w:val="789F3DA6"/>
    <w:rsid w:val="78A52377"/>
    <w:rsid w:val="79082185"/>
    <w:rsid w:val="79FB3E99"/>
    <w:rsid w:val="7A6F77AB"/>
    <w:rsid w:val="7ABA3FBA"/>
    <w:rsid w:val="7B5B7497"/>
    <w:rsid w:val="7BEF5F10"/>
    <w:rsid w:val="7D9563F1"/>
    <w:rsid w:val="7EB03BCE"/>
    <w:rsid w:val="7F6A59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alloon Text"/>
    <w:basedOn w:val="1"/>
    <w:qFormat/>
    <w:uiPriority w:val="0"/>
    <w:rPr>
      <w:sz w:val="18"/>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next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w:basedOn w:val="1"/>
    <w:next w:val="24"/>
    <w:qFormat/>
    <w:uiPriority w:val="0"/>
    <w:rPr>
      <w:rFonts w:ascii="仿宋_GB2312" w:eastAsia="仿宋_GB2312"/>
      <w:sz w:val="32"/>
    </w:rPr>
  </w:style>
  <w:style w:type="paragraph" w:styleId="24">
    <w:name w:val="Plain Text"/>
    <w:basedOn w:val="1"/>
    <w:next w:val="16"/>
    <w:link w:val="241"/>
    <w:qFormat/>
    <w:uiPriority w:val="0"/>
    <w:rPr>
      <w:rFonts w:ascii="宋体" w:hAnsi="Courier New"/>
      <w:sz w:val="21"/>
    </w:rPr>
  </w:style>
  <w:style w:type="paragraph" w:styleId="25">
    <w:name w:val="Body Text Indent"/>
    <w:basedOn w:val="1"/>
    <w:next w:val="1"/>
    <w:link w:val="74"/>
    <w:qFormat/>
    <w:uiPriority w:val="0"/>
    <w:pPr>
      <w:spacing w:line="700" w:lineRule="exact"/>
      <w:ind w:left="960"/>
    </w:pPr>
    <w:rPr>
      <w:sz w:val="44"/>
    </w:rPr>
  </w:style>
  <w:style w:type="paragraph" w:styleId="26">
    <w:name w:val="List Number 3"/>
    <w:basedOn w:val="1"/>
    <w:qFormat/>
    <w:uiPriority w:val="0"/>
    <w:pPr>
      <w:tabs>
        <w:tab w:val="left" w:pos="2120"/>
      </w:tabs>
      <w:adjustRightInd w:val="0"/>
      <w:snapToGrid w:val="0"/>
      <w:spacing w:line="360" w:lineRule="auto"/>
      <w:ind w:left="2120" w:hanging="720"/>
    </w:pPr>
    <w:rPr>
      <w:sz w:val="24"/>
    </w:rPr>
  </w:style>
  <w:style w:type="paragraph" w:styleId="27">
    <w:name w:val="List 2"/>
    <w:basedOn w:val="1"/>
    <w:qFormat/>
    <w:uiPriority w:val="0"/>
    <w:pPr>
      <w:adjustRightInd w:val="0"/>
      <w:snapToGrid w:val="0"/>
      <w:spacing w:line="360" w:lineRule="auto"/>
      <w:ind w:left="100" w:leftChars="200" w:hanging="200" w:hangingChars="200"/>
    </w:pPr>
    <w:rPr>
      <w:sz w:val="24"/>
    </w:rPr>
  </w:style>
  <w:style w:type="paragraph" w:styleId="28">
    <w:name w:val="List Continue"/>
    <w:basedOn w:val="1"/>
    <w:qFormat/>
    <w:uiPriority w:val="0"/>
    <w:pPr>
      <w:adjustRightInd w:val="0"/>
      <w:snapToGrid w:val="0"/>
      <w:spacing w:after="120" w:line="360" w:lineRule="auto"/>
      <w:ind w:left="420" w:leftChars="200"/>
    </w:pPr>
    <w:rPr>
      <w:sz w:val="24"/>
    </w:rPr>
  </w:style>
  <w:style w:type="paragraph" w:styleId="29">
    <w:name w:val="List Bullet 2"/>
    <w:basedOn w:val="1"/>
    <w:qFormat/>
    <w:uiPriority w:val="0"/>
    <w:pPr>
      <w:numPr>
        <w:ilvl w:val="0"/>
        <w:numId w:val="3"/>
      </w:numPr>
      <w:adjustRightInd w:val="0"/>
      <w:snapToGrid w:val="0"/>
      <w:spacing w:line="360" w:lineRule="auto"/>
    </w:pPr>
    <w:rPr>
      <w:sz w:val="24"/>
    </w:rPr>
  </w:style>
  <w:style w:type="paragraph" w:styleId="30">
    <w:name w:val="index 4"/>
    <w:basedOn w:val="1"/>
    <w:next w:val="1"/>
    <w:qFormat/>
    <w:uiPriority w:val="99"/>
    <w:pPr>
      <w:ind w:left="600" w:leftChars="600"/>
    </w:pPr>
  </w:style>
  <w:style w:type="paragraph" w:styleId="31">
    <w:name w:val="toc 5"/>
    <w:basedOn w:val="1"/>
    <w:next w:val="1"/>
    <w:qFormat/>
    <w:uiPriority w:val="0"/>
    <w:pPr>
      <w:ind w:left="1680" w:leftChars="800"/>
    </w:pPr>
  </w:style>
  <w:style w:type="paragraph" w:styleId="32">
    <w:name w:val="toc 3"/>
    <w:basedOn w:val="1"/>
    <w:next w:val="1"/>
    <w:qFormat/>
    <w:uiPriority w:val="39"/>
    <w:pPr>
      <w:ind w:left="840" w:leftChars="400"/>
    </w:p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5"/>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5"/>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24"/>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5"/>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24"/>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24"/>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4</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2026-10-13T08:23:39Z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04AD4CB82CCD496E81ABD2232BBFBF58</vt:lpwstr>
  </property>
</Properties>
</file>