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pStyle w:val="69"/>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pPr>
        <w:pStyle w:val="70"/>
        <w:rPr>
          <w:rFonts w:hint="eastAsia" w:ascii="微软雅黑" w:hAnsi="微软雅黑" w:eastAsia="微软雅黑" w:cs="微软雅黑"/>
          <w:b w:val="0"/>
          <w:kern w:val="2"/>
          <w:sz w:val="44"/>
          <w:szCs w:val="44"/>
          <w:lang w:val="en-US" w:eastAsia="zh-CN" w:bidi="ar-SA"/>
        </w:rPr>
      </w:pPr>
    </w:p>
    <w:p>
      <w:pPr>
        <w:pStyle w:val="70"/>
        <w:rPr>
          <w:rFonts w:hint="eastAsia" w:ascii="微软雅黑" w:hAnsi="微软雅黑" w:eastAsia="微软雅黑" w:cs="微软雅黑"/>
          <w:b w:val="0"/>
          <w:kern w:val="2"/>
          <w:sz w:val="44"/>
          <w:szCs w:val="44"/>
          <w:lang w:val="en-US" w:eastAsia="zh-CN" w:bidi="ar-SA"/>
        </w:rPr>
      </w:pPr>
    </w:p>
    <w:p>
      <w:pPr>
        <w:spacing w:line="360" w:lineRule="auto"/>
        <w:ind w:firstLine="1440" w:firstLineChars="4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YYW260117</w:t>
      </w:r>
    </w:p>
    <w:p>
      <w:pPr>
        <w:spacing w:line="360" w:lineRule="auto"/>
        <w:ind w:firstLine="1440" w:firstLineChars="400"/>
        <w:outlineLvl w:val="0"/>
        <w:rPr>
          <w:rFonts w:hint="eastAsia" w:ascii="微软雅黑" w:hAnsi="微软雅黑" w:eastAsia="微软雅黑" w:cs="微软雅黑"/>
          <w:b w:val="0"/>
          <w:bCs w:val="0"/>
          <w:sz w:val="36"/>
          <w:szCs w:val="36"/>
          <w:u w:val="single"/>
          <w:lang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b w:val="0"/>
          <w:bCs w:val="0"/>
          <w:sz w:val="36"/>
          <w:szCs w:val="36"/>
          <w:u w:val="single"/>
          <w:lang w:eastAsia="zh-CN"/>
        </w:rPr>
        <w:t>重庆医科大学附属儿童医院</w:t>
      </w:r>
    </w:p>
    <w:p>
      <w:pPr>
        <w:spacing w:line="360" w:lineRule="auto"/>
        <w:ind w:firstLine="3240" w:firstLineChars="900"/>
        <w:outlineLvl w:val="0"/>
        <w:rPr>
          <w:rFonts w:hint="eastAsia" w:ascii="微软雅黑" w:hAnsi="微软雅黑" w:eastAsia="微软雅黑" w:cs="微软雅黑"/>
          <w:b w:val="0"/>
          <w:bCs w:val="0"/>
          <w:sz w:val="36"/>
          <w:szCs w:val="36"/>
          <w:u w:val="single"/>
          <w:lang w:eastAsia="zh-CN"/>
        </w:rPr>
      </w:pPr>
      <w:r>
        <w:rPr>
          <w:rFonts w:hint="eastAsia" w:ascii="微软雅黑" w:hAnsi="微软雅黑" w:eastAsia="微软雅黑" w:cs="微软雅黑"/>
          <w:b w:val="0"/>
          <w:bCs w:val="0"/>
          <w:sz w:val="36"/>
          <w:szCs w:val="36"/>
          <w:u w:val="single"/>
          <w:lang w:eastAsia="zh-CN"/>
        </w:rPr>
        <w:t>医疗法律顾问服务</w:t>
      </w:r>
    </w:p>
    <w:p>
      <w:pPr>
        <w:spacing w:line="360" w:lineRule="auto"/>
        <w:ind w:firstLine="3240" w:firstLineChars="900"/>
        <w:outlineLvl w:val="0"/>
        <w:rPr>
          <w:rFonts w:hint="eastAsia" w:ascii="微软雅黑" w:hAnsi="微软雅黑" w:eastAsia="微软雅黑" w:cs="微软雅黑"/>
          <w:sz w:val="36"/>
          <w:szCs w:val="36"/>
          <w:u w:val="single"/>
          <w:lang w:val="en-US" w:eastAsia="zh-CN"/>
        </w:rPr>
      </w:pPr>
    </w:p>
    <w:p>
      <w:pPr>
        <w:spacing w:line="360" w:lineRule="auto"/>
        <w:ind w:firstLine="3240" w:firstLineChars="900"/>
        <w:outlineLvl w:val="0"/>
        <w:rPr>
          <w:rFonts w:hint="eastAsia" w:ascii="微软雅黑" w:hAnsi="微软雅黑" w:eastAsia="微软雅黑" w:cs="微软雅黑"/>
          <w:sz w:val="36"/>
          <w:szCs w:val="36"/>
          <w:u w:val="single"/>
          <w:lang w:val="en-US" w:eastAsia="zh-CN"/>
        </w:rPr>
      </w:pPr>
    </w:p>
    <w:p>
      <w:pPr>
        <w:spacing w:line="500" w:lineRule="exact"/>
        <w:jc w:val="center"/>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5</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目   录</w:t>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_Toc11153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_Toc11153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_Toc22314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_Toc22314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_Toc30334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_Toc30334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_Toc12821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_Toc12821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_Toc29385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_Toc29385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_Toc21937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_Toc32668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_Toc32668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kern w:val="2"/>
          <w:sz w:val="24"/>
          <w:szCs w:val="24"/>
          <w:lang w:val="en-US" w:eastAsia="zh-CN" w:bidi="ar-SA"/>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_Toc15127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一、项目基本概况介绍</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_Toc6337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_Toc18371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_Toc18371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_Toc18603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_Toc18603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_Toc10843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二、报价方式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_Toc10843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_Toc27394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_Toc24201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_Toc24201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_Toc15660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_Toc15660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_Toc15885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废标条款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_Toc15885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_Toc19388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val="0"/>
          <w:sz w:val="24"/>
          <w:szCs w:val="24"/>
        </w:rPr>
        <w:t xml:space="preserve">第五篇  </w:t>
      </w:r>
      <w:r>
        <w:rPr>
          <w:rFonts w:hint="eastAsia" w:ascii="微软雅黑" w:hAnsi="微软雅黑" w:eastAsia="微软雅黑" w:cs="微软雅黑"/>
          <w:bCs w:val="0"/>
          <w:sz w:val="24"/>
          <w:szCs w:val="24"/>
          <w:lang w:eastAsia="zh-CN"/>
        </w:rPr>
        <w:t>投标人</w:t>
      </w:r>
      <w:r>
        <w:rPr>
          <w:rFonts w:hint="eastAsia" w:ascii="微软雅黑" w:hAnsi="微软雅黑" w:eastAsia="微软雅黑" w:cs="微软雅黑"/>
          <w:bCs w:val="0"/>
          <w:sz w:val="24"/>
          <w:szCs w:val="24"/>
        </w:rPr>
        <w:t>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_Toc19388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_Toc32169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_Toc29479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_Toc29479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_Toc23630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_Toc23630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_Toc16798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_Toc16798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_Toc30288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_Toc30288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_Toc5511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w:t>
      </w:r>
      <w:r>
        <w:rPr>
          <w:rFonts w:hint="eastAsia" w:ascii="微软雅黑" w:hAnsi="微软雅黑" w:eastAsia="微软雅黑" w:cs="微软雅黑"/>
          <w:sz w:val="24"/>
          <w:szCs w:val="24"/>
          <w:lang w:val="en-US" w:eastAsia="zh-CN"/>
        </w:rPr>
        <w:t>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_Toc5511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_Toc32363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_Toc32363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_Toc13524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_Toc13524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_Toc12364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_Toc20531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_Toc31101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_Toc31101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_Toc26771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综合评标应答</w:t>
      </w:r>
      <w:r>
        <w:rPr>
          <w:rFonts w:hint="eastAsia" w:ascii="微软雅黑" w:hAnsi="微软雅黑" w:eastAsia="微软雅黑" w:cs="微软雅黑"/>
          <w:sz w:val="24"/>
          <w:szCs w:val="24"/>
        </w:rPr>
        <w:t>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_Toc26771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02"/>
        </w:tabs>
        <w:spacing w:line="480" w:lineRule="exact"/>
        <w:ind w:left="560"/>
        <w:jc w:val="center"/>
        <w:rPr>
          <w:rFonts w:hint="eastAsia" w:ascii="微软雅黑" w:hAnsi="微软雅黑" w:eastAsia="微软雅黑" w:cs="微软雅黑"/>
          <w:sz w:val="24"/>
          <w:szCs w:val="24"/>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b/>
          <w:sz w:val="44"/>
          <w:szCs w:val="20"/>
        </w:rPr>
      </w:pPr>
      <w:bookmarkStart w:id="0" w:name="_Toc24037"/>
      <w:bookmarkStart w:id="1" w:name="_Toc11641050"/>
      <w:bookmarkStart w:id="2" w:name="_Toc106030870"/>
      <w:bookmarkStart w:id="3" w:name="_Toc11153"/>
      <w:bookmarkStart w:id="4" w:name="_Toc12789052"/>
      <w:bookmarkStart w:id="5" w:name="_Toc76462316"/>
      <w:r>
        <w:rPr>
          <w:rFonts w:hint="eastAsia" w:ascii="微软雅黑" w:hAnsi="微软雅黑" w:eastAsia="微软雅黑" w:cs="微软雅黑"/>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微软雅黑" w:hAnsi="微软雅黑" w:eastAsia="微软雅黑" w:cs="微软雅黑"/>
          <w:sz w:val="28"/>
          <w:szCs w:val="20"/>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eastAsia="zh-CN"/>
        </w:rPr>
        <w:t>重庆医科大学附属儿童医院医疗法律顾问服务</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106030871"/>
      <w:bookmarkStart w:id="7" w:name="_Toc3856"/>
      <w:bookmarkStart w:id="8" w:name="_Toc76462317"/>
      <w:bookmarkStart w:id="9" w:name="_Toc22314"/>
      <w:bookmarkStart w:id="10" w:name="_Toc313893526"/>
      <w:bookmarkStart w:id="11" w:name="_Toc317775175"/>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6"/>
      <w:bookmarkEnd w:id="7"/>
      <w:bookmarkEnd w:id="8"/>
      <w:bookmarkEnd w:id="9"/>
      <w:bookmarkEnd w:id="10"/>
      <w:bookmarkEnd w:id="11"/>
    </w:p>
    <w:tbl>
      <w:tblPr>
        <w:tblStyle w:val="57"/>
        <w:tblW w:w="48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1"/>
        <w:gridCol w:w="3081"/>
        <w:gridCol w:w="1685"/>
        <w:gridCol w:w="1211"/>
        <w:gridCol w:w="14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6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2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94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顾问费用</w:t>
            </w:r>
          </w:p>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b/>
                <w:bCs/>
                <w:kern w:val="0"/>
                <w:sz w:val="21"/>
                <w:szCs w:val="24"/>
                <w:lang w:val="en-US"/>
              </w:rPr>
            </w:pPr>
            <w:bookmarkStart w:id="175" w:name="_GoBack"/>
            <w:bookmarkEnd w:id="175"/>
            <w:r>
              <w:rPr>
                <w:rFonts w:hint="eastAsia" w:ascii="微软雅黑" w:hAnsi="微软雅黑" w:eastAsia="微软雅黑" w:cs="微软雅黑"/>
                <w:b/>
                <w:bCs/>
                <w:kern w:val="0"/>
                <w:sz w:val="21"/>
                <w:szCs w:val="24"/>
                <w:lang w:val="en-US" w:eastAsia="zh-CN"/>
              </w:rPr>
              <w:t>最高限价</w:t>
            </w:r>
          </w:p>
        </w:tc>
        <w:tc>
          <w:tcPr>
            <w:tcW w:w="676"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802"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6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4"/>
                <w:lang w:val="en-US" w:eastAsia="zh-CN"/>
              </w:rPr>
            </w:pPr>
            <w:r>
              <w:rPr>
                <w:rFonts w:hint="eastAsia" w:ascii="微软雅黑" w:hAnsi="微软雅黑" w:eastAsia="微软雅黑" w:cs="微软雅黑"/>
                <w:kern w:val="0"/>
                <w:sz w:val="21"/>
                <w:szCs w:val="24"/>
                <w:lang w:val="en-US" w:eastAsia="zh-CN"/>
              </w:rPr>
              <w:t>YYW260117</w:t>
            </w:r>
          </w:p>
        </w:tc>
        <w:tc>
          <w:tcPr>
            <w:tcW w:w="172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b w:val="0"/>
                <w:bCs/>
                <w:sz w:val="21"/>
                <w:szCs w:val="21"/>
                <w:lang w:val="en-US" w:eastAsia="zh-CN"/>
              </w:rPr>
              <w:t>重庆医科大学附属儿童医院医疗法律顾问服务</w:t>
            </w:r>
          </w:p>
        </w:tc>
        <w:tc>
          <w:tcPr>
            <w:tcW w:w="94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b w:val="0"/>
                <w:bCs/>
                <w:sz w:val="21"/>
                <w:szCs w:val="21"/>
                <w:lang w:val="en-US" w:eastAsia="zh-CN"/>
              </w:rPr>
            </w:pPr>
            <w:r>
              <w:rPr>
                <w:rFonts w:hint="eastAsia" w:ascii="微软雅黑" w:hAnsi="微软雅黑" w:eastAsia="微软雅黑" w:cs="微软雅黑"/>
                <w:b w:val="0"/>
                <w:bCs/>
                <w:sz w:val="21"/>
                <w:szCs w:val="21"/>
                <w:lang w:val="en-US" w:eastAsia="zh-CN"/>
              </w:rPr>
              <w:t>15万元/3年</w:t>
            </w:r>
          </w:p>
        </w:tc>
        <w:tc>
          <w:tcPr>
            <w:tcW w:w="67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2000</w:t>
            </w:r>
          </w:p>
        </w:tc>
        <w:tc>
          <w:tcPr>
            <w:tcW w:w="80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334"/>
      <w:r>
        <w:rPr>
          <w:rFonts w:hint="eastAsia" w:ascii="微软雅黑" w:hAnsi="微软雅黑" w:eastAsia="微软雅黑" w:cs="微软雅黑"/>
          <w:sz w:val="24"/>
        </w:rPr>
        <w:t>二、</w:t>
      </w:r>
      <w:bookmarkEnd w:id="12"/>
      <w:bookmarkEnd w:id="13"/>
      <w:bookmarkEnd w:id="16"/>
      <w:bookmarkStart w:id="18" w:name="_Toc4480"/>
      <w:bookmarkStart w:id="19" w:name="_Toc106030873"/>
      <w:bookmarkStart w:id="20" w:name="_Toc76462319"/>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widowControl w:val="0"/>
        <w:numPr>
          <w:ilvl w:val="0"/>
          <w:numId w:val="0"/>
        </w:numPr>
        <w:spacing w:after="0"/>
        <w:ind w:firstLine="480" w:firstLineChars="20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（二）本项目的特定资格要求：</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1.具有司法部门</w:t>
      </w:r>
      <w:r>
        <w:rPr>
          <w:rFonts w:hint="eastAsia" w:ascii="微软雅黑" w:hAnsi="微软雅黑" w:eastAsia="微软雅黑" w:cs="微软雅黑"/>
          <w:sz w:val="24"/>
          <w:szCs w:val="24"/>
        </w:rPr>
        <w:t>核准</w:t>
      </w:r>
      <w:r>
        <w:rPr>
          <w:rFonts w:hint="eastAsia" w:ascii="微软雅黑" w:hAnsi="微软雅黑" w:eastAsia="微软雅黑" w:cs="微软雅黑"/>
          <w:sz w:val="24"/>
          <w:szCs w:val="24"/>
          <w:lang w:val="en-US" w:eastAsia="zh-CN"/>
        </w:rPr>
        <w:t>的，</w:t>
      </w:r>
      <w:r>
        <w:rPr>
          <w:rFonts w:hint="eastAsia" w:ascii="微软雅黑" w:hAnsi="微软雅黑" w:eastAsia="微软雅黑" w:cs="微软雅黑"/>
          <w:sz w:val="24"/>
          <w:szCs w:val="24"/>
        </w:rPr>
        <w:t>资质年检有效的</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律师事务所执业许可证</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具有履行合同所必需专业服务队伍</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需提供服务团队律师的律师执业证、劳务合同或社保参保证明</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本项目不接受联合体投标。</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1" w:name="_Toc76462320"/>
      <w:bookmarkStart w:id="22" w:name="_Toc106030874"/>
      <w:bookmarkStart w:id="23" w:name="_Toc27954"/>
      <w:bookmarkStart w:id="24" w:name="_Toc12821"/>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1956"/>
      <w:bookmarkStart w:id="26" w:name="_Toc106034625"/>
      <w:bookmarkStart w:id="27" w:name="_Toc65660334"/>
      <w:bookmarkStart w:id="28" w:name="_Toc29385"/>
      <w:bookmarkStart w:id="29" w:name="_Toc521053053"/>
      <w:bookmarkStart w:id="30" w:name="_Toc6178"/>
      <w:bookmarkStart w:id="31" w:name="_Toc525047161"/>
      <w:bookmarkStart w:id="32" w:name="_Toc12841"/>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应足额交纳保证金（保证金金额详见本篇，一、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内容），并通过银行转账的方式直接转入重庆医科大学附属儿童医院对公账户</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lang w:val="en-US" w:eastAsia="zh-CN"/>
        </w:rPr>
        <w:t>单位：重庆医科大学附属儿童医院，开户行：中国建设银行股份有限公司重庆渝中区观音岩支行，账号：50050101380000000168</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2.各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w:t>
      </w:r>
      <w:r>
        <w:rPr>
          <w:rFonts w:hint="eastAsia" w:ascii="微软雅黑" w:hAnsi="微软雅黑" w:eastAsia="微软雅黑" w:cs="微软雅黑"/>
          <w:color w:val="auto"/>
          <w:sz w:val="24"/>
          <w:szCs w:val="24"/>
        </w:rPr>
        <w:t>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sz w:val="24"/>
          <w:szCs w:val="24"/>
        </w:rPr>
        <w:t>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525047162"/>
      <w:bookmarkStart w:id="34" w:name="_Toc106034626"/>
      <w:bookmarkStart w:id="35" w:name="_Toc65660335"/>
      <w:bookmarkStart w:id="36" w:name="_Toc2945"/>
      <w:bookmarkStart w:id="37" w:name="_Toc521053054"/>
      <w:bookmarkStart w:id="38" w:name="_Toc4355"/>
      <w:bookmarkStart w:id="39" w:name="_Toc21937"/>
      <w:bookmarkStart w:id="40" w:name="_Toc1546"/>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33"/>
      <w:bookmarkEnd w:id="34"/>
      <w:bookmarkEnd w:id="35"/>
      <w:bookmarkEnd w:id="36"/>
      <w:bookmarkEnd w:id="37"/>
      <w:bookmarkEnd w:id="38"/>
      <w:bookmarkStart w:id="41" w:name="_Toc16269"/>
      <w:bookmarkStart w:id="42" w:name="_Toc525047163"/>
      <w:bookmarkStart w:id="43" w:name="_Toc106034627"/>
      <w:bookmarkStart w:id="44" w:name="_Toc6563"/>
      <w:bookmarkStart w:id="45" w:name="_Toc65660336"/>
      <w:bookmarkStart w:id="46" w:name="_Toc521053055"/>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投标截止时间前</w:t>
      </w:r>
      <w:r>
        <w:rPr>
          <w:rFonts w:hint="eastAsia" w:ascii="微软雅黑" w:hAnsi="微软雅黑" w:eastAsia="微软雅黑" w:cs="微软雅黑"/>
          <w:sz w:val="24"/>
          <w:szCs w:val="24"/>
        </w:rPr>
        <w:t>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525047164"/>
      <w:bookmarkStart w:id="48" w:name="_Toc521053056"/>
      <w:bookmarkStart w:id="49" w:name="_Toc1733"/>
      <w:bookmarkStart w:id="50" w:name="_Toc65660337"/>
      <w:bookmarkStart w:id="51" w:name="_Toc32668"/>
      <w:bookmarkStart w:id="52" w:name="_Toc24901"/>
      <w:bookmarkStart w:id="53" w:name="_Toc10415"/>
      <w:bookmarkStart w:id="54" w:name="_Toc106034628"/>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418" w:bottom="1134" w:left="1418" w:header="964" w:footer="992" w:gutter="0"/>
          <w:pgNumType w:fmt="numberInDash"/>
          <w:cols w:space="720" w:num="1"/>
          <w:docGrid w:linePitch="312" w:charSpace="0"/>
        </w:sectPr>
      </w:pPr>
    </w:p>
    <w:p>
      <w:pPr>
        <w:pStyle w:val="3"/>
        <w:tabs>
          <w:tab w:val="left" w:pos="3360"/>
        </w:tabs>
        <w:spacing w:before="0" w:beforeLines="0" w:after="0" w:afterLines="0" w:line="360" w:lineRule="auto"/>
        <w:jc w:val="center"/>
        <w:rPr>
          <w:rFonts w:hint="eastAsia" w:ascii="微软雅黑" w:hAnsi="微软雅黑" w:eastAsia="微软雅黑" w:cs="微软雅黑"/>
          <w:b/>
          <w:kern w:val="2"/>
          <w:sz w:val="44"/>
          <w:szCs w:val="20"/>
          <w:lang w:val="en-US" w:eastAsia="zh-CN" w:bidi="ar-SA"/>
        </w:rPr>
      </w:pPr>
      <w:bookmarkStart w:id="55" w:name="_Toc11017"/>
      <w:bookmarkStart w:id="56" w:name="_Toc26176"/>
      <w:bookmarkStart w:id="57" w:name="_Toc2070"/>
      <w:bookmarkStart w:id="58" w:name="_Toc25639"/>
      <w:bookmarkStart w:id="59" w:name="_Toc8649"/>
      <w:bookmarkStart w:id="60" w:name="_Toc32686"/>
      <w:bookmarkStart w:id="61" w:name="_Toc725"/>
      <w:bookmarkStart w:id="62" w:name="_Toc23143"/>
      <w:bookmarkStart w:id="63" w:name="_Toc5461"/>
      <w:bookmarkStart w:id="64" w:name="_Toc75793504"/>
      <w:bookmarkStart w:id="65" w:name="_Toc2422"/>
      <w:bookmarkStart w:id="66" w:name="_Toc19886"/>
      <w:bookmarkStart w:id="67" w:name="_Toc1625"/>
      <w:bookmarkStart w:id="68" w:name="_Toc12959"/>
      <w:bookmarkStart w:id="69" w:name="_Toc1492"/>
      <w:bookmarkStart w:id="70" w:name="_Toc1255"/>
      <w:bookmarkStart w:id="71" w:name="_Toc106030380"/>
      <w:bookmarkStart w:id="72" w:name="_Toc12789058"/>
      <w:r>
        <w:rPr>
          <w:rFonts w:hint="eastAsia" w:ascii="微软雅黑" w:hAnsi="微软雅黑" w:eastAsia="微软雅黑" w:cs="微软雅黑"/>
          <w:b/>
          <w:kern w:val="2"/>
          <w:sz w:val="44"/>
          <w:szCs w:val="20"/>
          <w:lang w:val="en-US" w:eastAsia="zh-CN" w:bidi="ar-SA"/>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kern w:val="2"/>
          <w:sz w:val="44"/>
          <w:szCs w:val="20"/>
          <w:lang w:val="en-US" w:eastAsia="zh-CN" w:bidi="ar-SA"/>
        </w:rPr>
        <w:t>项目技术（质量）需求</w:t>
      </w:r>
      <w:bookmarkEnd w:id="70"/>
      <w:bookmarkEnd w:id="7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73" w:name="_Toc3117"/>
      <w:bookmarkStart w:id="74" w:name="_Toc1866"/>
      <w:bookmarkStart w:id="75" w:name="_Toc15127"/>
      <w:bookmarkStart w:id="76" w:name="_Toc32516"/>
      <w:bookmarkStart w:id="77" w:name="_Toc76462325"/>
      <w:bookmarkStart w:id="78" w:name="_Toc3196"/>
      <w:bookmarkStart w:id="79" w:name="_Toc18470"/>
      <w:bookmarkStart w:id="80" w:name="_Toc106030879"/>
      <w:bookmarkStart w:id="81" w:name="_Toc106030882"/>
      <w:bookmarkStart w:id="82" w:name="_Toc7791"/>
      <w:bookmarkStart w:id="83" w:name="_Toc76462327"/>
      <w:r>
        <w:rPr>
          <w:rFonts w:hint="eastAsia" w:ascii="微软雅黑" w:hAnsi="微软雅黑" w:eastAsia="微软雅黑" w:cs="微软雅黑"/>
          <w:sz w:val="24"/>
        </w:rPr>
        <w:t>一、项目基本概况介绍</w:t>
      </w:r>
      <w:bookmarkEnd w:id="73"/>
      <w:bookmarkEnd w:id="74"/>
      <w:bookmarkEnd w:id="75"/>
      <w:bookmarkEnd w:id="76"/>
      <w:bookmarkEnd w:id="77"/>
      <w:bookmarkEnd w:id="78"/>
      <w:bookmarkEnd w:id="79"/>
      <w:bookmarkEnd w:id="80"/>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41"/>
        <w:gridCol w:w="3011"/>
        <w:gridCol w:w="1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617"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c>
        <w:tc>
          <w:tcPr>
            <w:tcW w:w="1563"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合同有效期</w:t>
            </w:r>
          </w:p>
        </w:tc>
        <w:tc>
          <w:tcPr>
            <w:tcW w:w="818"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7"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b w:val="0"/>
                <w:bCs/>
                <w:sz w:val="24"/>
                <w:szCs w:val="24"/>
                <w:lang w:val="en-US" w:eastAsia="zh-CN"/>
              </w:rPr>
              <w:t>重庆医科大学附属儿童医院医疗法律顾问服务</w:t>
            </w:r>
          </w:p>
        </w:tc>
        <w:tc>
          <w:tcPr>
            <w:tcW w:w="1563"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3年</w:t>
            </w:r>
          </w:p>
        </w:tc>
        <w:tc>
          <w:tcPr>
            <w:tcW w:w="818"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p>
        </w:tc>
      </w:tr>
    </w:tbl>
    <w:p>
      <w:pPr>
        <w:numPr>
          <w:ilvl w:val="0"/>
          <w:numId w:val="14"/>
        </w:numPr>
        <w:spacing w:line="400" w:lineRule="exact"/>
        <w:ind w:firstLine="480" w:firstLineChars="200"/>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项目内容及要求</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医疗纠纷处置等日常法律事务的处理。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1.为医院医疗事务提供法律咨询服务及医院管理及业务需要的政策法规文件资讯；</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协助起草、审查、修改医院医疗重大合同、协议等法律文书，对院内各职能部门科室涉及的医疗性质合同进行合规性审核；参加医院重要医疗业务的协商、谈判、调解；为院方对外医疗合作项目提供法律意见书，必要时候陪同院方参与谈判；为医院的医疗法律行为和法律事实进行律师见证，针对医院重大医疗法律事务提出法律意见与对策，出具《法律意见书》；</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3.每年对职工进行一次医疗法律法规培训，宣传医疗相关的法律法规、司法解释、各级政府部门的相关政策；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接受医院委托，代表医院参与医疗纠纷的处理。包括但不限于申请医调委调解、申请尸检、申请过错损害鉴定、申请司法鉴定等事务，并参加相关的流程；参与诉讼、仲裁、医疗事故鉴定案件的法律论证、策划，代理参加诉讼、鉴定；参与院内外和解、调解，并代表医院针对医患双方合意的赔偿方案予以进行司法确认、司法调解工作，接受医院委托办理催收医疗欠费及诉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5.必要时接受医院委托，代表医院参与包括但不限于劳资纠纷、经济纠纷等其他民事纠纷；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6.提供知识产权保护建议；</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7.草拟、修改院方出具格式文书（包括但不限于：医疗同意书、风险告知书等）；</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8.医院其他法律事务</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9.律师查房等增值服务，法律顾问每年参加我院高风险科室查房至少2次，每次时间不少于1天，检查病历不少于10份。</w:t>
      </w:r>
    </w:p>
    <w:p>
      <w:pPr>
        <w:rPr>
          <w:rFonts w:hint="eastAsia" w:ascii="微软雅黑" w:hAnsi="微软雅黑" w:eastAsia="微软雅黑" w:cs="微软雅黑"/>
          <w:b/>
          <w:sz w:val="44"/>
          <w:szCs w:val="20"/>
        </w:rPr>
      </w:pPr>
      <w:bookmarkStart w:id="84" w:name="_Toc6337"/>
      <w:r>
        <w:rPr>
          <w:rFonts w:hint="eastAsia" w:ascii="微软雅黑" w:hAnsi="微软雅黑" w:eastAsia="微软雅黑" w:cs="微软雅黑"/>
          <w:b/>
          <w:sz w:val="44"/>
          <w:szCs w:val="20"/>
        </w:rPr>
        <w:br w:type="page"/>
      </w:r>
    </w:p>
    <w:p>
      <w:pPr>
        <w:pStyle w:val="4"/>
        <w:spacing w:before="200" w:after="200" w:line="240" w:lineRule="auto"/>
        <w:ind w:firstLine="1761" w:firstLineChars="400"/>
        <w:jc w:val="cente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t xml:space="preserve">第三篇  </w:t>
      </w:r>
      <w:bookmarkEnd w:id="72"/>
      <w:r>
        <w:rPr>
          <w:rFonts w:hint="eastAsia" w:ascii="微软雅黑" w:hAnsi="微软雅黑" w:eastAsia="微软雅黑" w:cs="微软雅黑"/>
          <w:b/>
          <w:sz w:val="44"/>
          <w:szCs w:val="20"/>
        </w:rPr>
        <w:t>项目商务需求</w:t>
      </w:r>
      <w:bookmarkEnd w:id="81"/>
      <w:bookmarkEnd w:id="82"/>
      <w:bookmarkEnd w:id="83"/>
      <w:bookmarkEnd w:id="84"/>
    </w:p>
    <w:tbl>
      <w:tblPr>
        <w:tblStyle w:val="57"/>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6"/>
        <w:gridCol w:w="84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bookmarkStart w:id="85" w:name="_Toc106030887"/>
            <w:bookmarkStart w:id="86" w:name="_Toc6692"/>
            <w:bookmarkStart w:id="87" w:name="_Toc76462332"/>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84"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合同有效期、服务地点及验收方式</w:t>
            </w:r>
          </w:p>
        </w:tc>
        <w:tc>
          <w:tcPr>
            <w:tcW w:w="4215"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合同有效期：3年。</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服务地点：重庆医科大学附属儿童医院渝中院区、两江院区。</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验收方式：按合同约定内容验收。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784"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报价方式及要求</w:t>
            </w:r>
          </w:p>
        </w:tc>
        <w:tc>
          <w:tcPr>
            <w:tcW w:w="4215"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1.该项目可在投标现场进行二次报价。</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2.该项目须对每年顾问费、案件代理费和查房费分别进行报价，包括完成本项目所需的所有费用及各种应纳的税费。因中标人自身原因造成漏报、少报皆由其自行承担责任，采购人不再补偿。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84"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15"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提供现场法律服务时需保证能在约定时间前1小时赶到服务地点。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84"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结算与付款方式</w:t>
            </w:r>
          </w:p>
        </w:tc>
        <w:tc>
          <w:tcPr>
            <w:tcW w:w="4215"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顾问费：每年结算一次，每年服务期结束后，中标人向采购人开具一年服务费用金额的发票，采购人收到发票后一个月以内，以转账方式向中标人支付发票金额100%。</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案件代理费：案件代理费(包括差旅费)按照委托代理合同约定办理结算（代理合同签订后60工作日内）。</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培训费和查房费：每次验收完成后15个工作日内支付。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84"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差旅费用</w:t>
            </w:r>
          </w:p>
        </w:tc>
        <w:tc>
          <w:tcPr>
            <w:tcW w:w="4215"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办案差旅费按以下标准支付：</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1.渝中区、两江新区、沙坪坝区、南岸区、九龙坡区、大渡口区、北碚区、巴南区、高新区范围内案件，差旅费不再计付。</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2.以上9区以外的案件，差旅食宿费由医院据实结算。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84"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15"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1.投标人必须在响应文件中对以上条款和服务承诺明确列出，承诺内容必须达到本篇及协商文件其他条款的要求。</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2.其他未尽事宜由供需双方在采购合同中详细约定。</w:t>
            </w:r>
          </w:p>
        </w:tc>
      </w:tr>
    </w:tbl>
    <w:p>
      <w:pP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br w:type="page"/>
      </w:r>
    </w:p>
    <w:bookmarkEnd w:id="85"/>
    <w:bookmarkEnd w:id="86"/>
    <w:bookmarkEnd w:id="87"/>
    <w:p>
      <w:pPr>
        <w:pStyle w:val="4"/>
        <w:pageBreakBefore w:val="0"/>
        <w:spacing w:before="200" w:after="200" w:line="240" w:lineRule="auto"/>
        <w:jc w:val="center"/>
        <w:rPr>
          <w:rFonts w:hint="eastAsia" w:ascii="微软雅黑" w:hAnsi="微软雅黑" w:eastAsia="微软雅黑" w:cs="微软雅黑"/>
          <w:b/>
          <w:sz w:val="44"/>
          <w:szCs w:val="20"/>
        </w:rPr>
      </w:pPr>
      <w:bookmarkStart w:id="88" w:name="_Toc641"/>
      <w:bookmarkStart w:id="89" w:name="_Toc12791"/>
      <w:bookmarkStart w:id="90" w:name="_Toc18371"/>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88"/>
      <w:bookmarkEnd w:id="89"/>
      <w:bookmarkEnd w:id="90"/>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91" w:name="_Toc18603"/>
      <w:bookmarkStart w:id="92" w:name="_Toc5379"/>
      <w:bookmarkStart w:id="93" w:name="_Toc14958"/>
      <w:bookmarkStart w:id="94" w:name="_Toc76462333"/>
      <w:bookmarkStart w:id="95" w:name="_Toc106030888"/>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91"/>
      <w:bookmarkEnd w:id="92"/>
      <w:bookmarkEnd w:id="93"/>
      <w:bookmarkEnd w:id="94"/>
      <w:bookmarkEnd w:id="9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3706" w:type="dxa"/>
            <w:gridSpan w:val="2"/>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5105" w:type="dxa"/>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510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5105"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5105" w:type="dxa"/>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510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按“第一篇</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资格要求（</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2815" w:type="dxa"/>
            <w:noWrap w:val="0"/>
            <w:vAlign w:val="top"/>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三</w:t>
            </w:r>
            <w:r>
              <w:rPr>
                <w:rFonts w:hint="eastAsia" w:ascii="微软雅黑" w:hAnsi="微软雅黑" w:eastAsia="微软雅黑" w:cs="微软雅黑"/>
                <w:sz w:val="21"/>
                <w:szCs w:val="21"/>
                <w:lang w:eastAsia="zh-CN"/>
              </w:rPr>
              <w:t>）</w:t>
            </w:r>
          </w:p>
        </w:tc>
        <w:tc>
          <w:tcPr>
            <w:tcW w:w="891" w:type="dxa"/>
            <w:noWrap w:val="0"/>
            <w:vAlign w:val="top"/>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2815" w:type="dxa"/>
            <w:noWrap w:val="0"/>
            <w:vAlign w:val="top"/>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w:t>
      </w:r>
      <w:r>
        <w:rPr>
          <w:rFonts w:hint="eastAsia" w:ascii="微软雅黑" w:hAnsi="微软雅黑" w:eastAsia="微软雅黑" w:cs="微软雅黑"/>
          <w:kern w:val="0"/>
          <w:sz w:val="24"/>
          <w:szCs w:val="24"/>
          <w:lang w:eastAsia="zh-CN"/>
        </w:rPr>
        <w:t>投标人</w:t>
      </w:r>
      <w:r>
        <w:rPr>
          <w:rFonts w:hint="eastAsia" w:ascii="微软雅黑" w:hAnsi="微软雅黑" w:eastAsia="微软雅黑" w:cs="微软雅黑"/>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96" w:name="_Toc10843"/>
      <w:bookmarkStart w:id="97" w:name="_Toc4495"/>
      <w:bookmarkStart w:id="98" w:name="_Toc25824"/>
      <w:bookmarkStart w:id="99" w:name="_Toc76462335"/>
      <w:bookmarkStart w:id="100" w:name="_Toc31497"/>
      <w:bookmarkStart w:id="101" w:name="_Toc106030890"/>
      <w:bookmarkStart w:id="102" w:name="_Toc102227320"/>
      <w:bookmarkStart w:id="103" w:name="_Toc342913394"/>
      <w:r>
        <w:rPr>
          <w:rFonts w:hint="eastAsia" w:ascii="微软雅黑" w:hAnsi="微软雅黑" w:eastAsia="微软雅黑" w:cs="微软雅黑"/>
          <w:color w:val="auto"/>
          <w:sz w:val="24"/>
          <w:lang w:val="en-US" w:eastAsia="zh-CN"/>
        </w:rPr>
        <w:t>二、报价方式</w:t>
      </w:r>
      <w:bookmarkEnd w:id="96"/>
      <w:bookmarkEnd w:id="9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4" w:name="_Toc27607"/>
      <w:bookmarkStart w:id="105" w:name="_Toc27394"/>
      <w:r>
        <w:rPr>
          <w:rFonts w:hint="eastAsia" w:ascii="微软雅黑" w:hAnsi="微软雅黑" w:eastAsia="微软雅黑" w:cs="微软雅黑"/>
          <w:b w:val="0"/>
          <w:bCs/>
          <w:color w:val="auto"/>
          <w:sz w:val="24"/>
          <w:szCs w:val="24"/>
          <w:lang w:val="en-US" w:eastAsia="zh-CN"/>
        </w:rPr>
        <w:t>本项目可在开标现场进行二次报价。</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lang w:val="en-US" w:eastAsia="zh-CN"/>
        </w:rPr>
        <w:t>三、评标方法</w:t>
      </w:r>
      <w:bookmarkEnd w:id="98"/>
      <w:bookmarkEnd w:id="104"/>
      <w:bookmarkEnd w:id="105"/>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w:t>
      </w:r>
      <w:r>
        <w:rPr>
          <w:rFonts w:hint="eastAsia" w:ascii="微软雅黑" w:hAnsi="微软雅黑" w:eastAsia="微软雅黑" w:cs="微软雅黑"/>
          <w:color w:val="auto"/>
          <w:kern w:val="0"/>
          <w:sz w:val="24"/>
          <w:szCs w:val="24"/>
          <w:lang w:eastAsia="zh-CN"/>
        </w:rPr>
        <w:t>响应文件</w:t>
      </w:r>
      <w:r>
        <w:rPr>
          <w:rFonts w:hint="eastAsia" w:ascii="微软雅黑" w:hAnsi="微软雅黑" w:eastAsia="微软雅黑" w:cs="微软雅黑"/>
          <w:color w:val="auto"/>
          <w:kern w:val="0"/>
          <w:sz w:val="24"/>
          <w:szCs w:val="24"/>
        </w:rPr>
        <w:t>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推荐资格，招标文件未规定的采取随机抽取方式确定，其他同品牌投标人不作为中标候选人。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进行评价、打分，然后由评标委员会对各成员打分情况进行核查及复核，个别成员对同一投标人同一评分项的打分偏离较大的，应对投标人的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pPr>
        <w:pStyle w:val="4"/>
        <w:numPr>
          <w:ilvl w:val="0"/>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06" w:name="_Toc76462334"/>
      <w:bookmarkStart w:id="107" w:name="_Toc30944"/>
      <w:bookmarkStart w:id="108" w:name="_Toc5973"/>
      <w:bookmarkStart w:id="109" w:name="_Toc24201"/>
      <w:bookmarkStart w:id="110" w:name="_Toc106030889"/>
      <w:bookmarkStart w:id="111" w:name="_Toc18577"/>
      <w:r>
        <w:rPr>
          <w:rFonts w:hint="eastAsia" w:ascii="微软雅黑" w:hAnsi="微软雅黑" w:eastAsia="微软雅黑" w:cs="微软雅黑"/>
          <w:color w:val="auto"/>
          <w:sz w:val="24"/>
          <w:lang w:val="en-US" w:eastAsia="zh-CN"/>
        </w:rPr>
        <w:t>四、评审标准</w:t>
      </w:r>
      <w:bookmarkEnd w:id="106"/>
      <w:bookmarkEnd w:id="107"/>
      <w:bookmarkEnd w:id="108"/>
      <w:bookmarkEnd w:id="109"/>
      <w:bookmarkEnd w:id="110"/>
      <w:bookmarkEnd w:id="111"/>
    </w:p>
    <w:tbl>
      <w:tblPr>
        <w:tblStyle w:val="57"/>
        <w:tblW w:w="104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Layout w:type="fixed"/>
        <w:tblCellMar>
          <w:top w:w="0" w:type="dxa"/>
          <w:left w:w="108" w:type="dxa"/>
          <w:bottom w:w="0" w:type="dxa"/>
          <w:right w:w="108" w:type="dxa"/>
        </w:tblCellMar>
      </w:tblPr>
      <w:tblGrid>
        <w:gridCol w:w="506"/>
        <w:gridCol w:w="1265"/>
        <w:gridCol w:w="1070"/>
        <w:gridCol w:w="699"/>
        <w:gridCol w:w="3862"/>
        <w:gridCol w:w="30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493" w:hRule="atLeast"/>
          <w:jc w:val="center"/>
        </w:trPr>
        <w:tc>
          <w:tcPr>
            <w:tcW w:w="506" w:type="dxa"/>
            <w:tcBorders>
              <w:top w:val="single" w:color="000000" w:sz="4" w:space="0"/>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firstLineChars="0"/>
              <w:jc w:val="center"/>
              <w:textAlignment w:val="auto"/>
              <w:rPr>
                <w:rFonts w:hint="eastAsia" w:ascii="微软雅黑" w:hAnsi="微软雅黑" w:eastAsia="微软雅黑" w:cs="微软雅黑"/>
                <w:b/>
                <w:color w:val="auto"/>
                <w:kern w:val="2"/>
                <w:sz w:val="21"/>
                <w:szCs w:val="21"/>
                <w:highlight w:val="none"/>
                <w:lang w:val="en-US" w:eastAsia="zh-CN" w:bidi="ar-SA"/>
              </w:rPr>
            </w:pPr>
            <w:bookmarkStart w:id="112" w:name="_Toc29489"/>
            <w:bookmarkStart w:id="113" w:name="_Toc15660"/>
            <w:r>
              <w:rPr>
                <w:rFonts w:hint="eastAsia" w:ascii="微软雅黑" w:hAnsi="微软雅黑" w:eastAsia="微软雅黑" w:cs="微软雅黑"/>
                <w:b/>
                <w:color w:val="auto"/>
                <w:sz w:val="21"/>
                <w:szCs w:val="21"/>
                <w:highlight w:val="none"/>
              </w:rPr>
              <w:t>序号</w:t>
            </w:r>
          </w:p>
        </w:tc>
        <w:tc>
          <w:tcPr>
            <w:tcW w:w="1265" w:type="dxa"/>
            <w:tcBorders>
              <w:top w:val="single" w:color="000000" w:sz="4" w:space="0"/>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firstLineChars="0"/>
              <w:jc w:val="center"/>
              <w:textAlignment w:val="auto"/>
              <w:rPr>
                <w:rFonts w:hint="eastAsia" w:ascii="微软雅黑" w:hAnsi="微软雅黑" w:eastAsia="微软雅黑" w:cs="微软雅黑"/>
                <w:b/>
                <w:color w:val="auto"/>
                <w:sz w:val="21"/>
                <w:szCs w:val="21"/>
                <w:highlight w:val="none"/>
                <w:lang w:eastAsia="zh-CN"/>
              </w:rPr>
            </w:pPr>
            <w:r>
              <w:rPr>
                <w:rFonts w:hint="eastAsia" w:ascii="微软雅黑" w:hAnsi="微软雅黑" w:eastAsia="微软雅黑" w:cs="微软雅黑"/>
                <w:b/>
                <w:color w:val="auto"/>
                <w:sz w:val="21"/>
                <w:szCs w:val="21"/>
                <w:highlight w:val="none"/>
                <w:lang w:eastAsia="zh-CN"/>
              </w:rPr>
              <w:t>需求分类</w:t>
            </w:r>
          </w:p>
        </w:tc>
        <w:tc>
          <w:tcPr>
            <w:tcW w:w="1070" w:type="dxa"/>
            <w:tcBorders>
              <w:top w:val="single" w:color="000000" w:sz="4" w:space="0"/>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firstLineChars="0"/>
              <w:jc w:val="center"/>
              <w:textAlignment w:val="auto"/>
              <w:rPr>
                <w:rFonts w:hint="eastAsia" w:ascii="微软雅黑" w:hAnsi="微软雅黑" w:eastAsia="微软雅黑" w:cs="微软雅黑"/>
                <w:b/>
                <w:color w:val="auto"/>
                <w:kern w:val="2"/>
                <w:sz w:val="21"/>
                <w:szCs w:val="21"/>
                <w:highlight w:val="none"/>
                <w:lang w:val="en-US" w:eastAsia="zh-CN" w:bidi="ar-SA"/>
              </w:rPr>
            </w:pPr>
            <w:r>
              <w:rPr>
                <w:rFonts w:hint="eastAsia" w:ascii="微软雅黑" w:hAnsi="微软雅黑" w:eastAsia="微软雅黑" w:cs="微软雅黑"/>
                <w:b/>
                <w:color w:val="auto"/>
                <w:sz w:val="21"/>
                <w:szCs w:val="21"/>
                <w:highlight w:val="none"/>
              </w:rPr>
              <w:t>评分因素及权重</w:t>
            </w:r>
          </w:p>
        </w:tc>
        <w:tc>
          <w:tcPr>
            <w:tcW w:w="699" w:type="dxa"/>
            <w:tcBorders>
              <w:top w:val="single" w:color="000000" w:sz="4" w:space="0"/>
              <w:left w:val="single" w:color="000000" w:sz="4" w:space="0"/>
              <w:bottom w:val="single" w:color="auto" w:sz="4" w:space="0"/>
              <w:right w:val="single" w:color="000000" w:sz="4" w:space="0"/>
            </w:tcBorders>
            <w:shd w:val="clear" w:color="auto" w:fill="FFFFFF"/>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firstLineChars="0"/>
              <w:jc w:val="center"/>
              <w:textAlignment w:val="auto"/>
              <w:rPr>
                <w:rFonts w:hint="eastAsia" w:ascii="微软雅黑" w:hAnsi="微软雅黑" w:eastAsia="微软雅黑" w:cs="微软雅黑"/>
                <w:b/>
                <w:color w:val="auto"/>
                <w:kern w:val="2"/>
                <w:sz w:val="21"/>
                <w:szCs w:val="21"/>
                <w:highlight w:val="none"/>
                <w:lang w:val="en-US" w:eastAsia="zh-CN" w:bidi="ar-SA"/>
              </w:rPr>
            </w:pPr>
            <w:r>
              <w:rPr>
                <w:rFonts w:hint="eastAsia" w:ascii="微软雅黑" w:hAnsi="微软雅黑" w:eastAsia="微软雅黑" w:cs="微软雅黑"/>
                <w:b/>
                <w:color w:val="auto"/>
                <w:sz w:val="21"/>
                <w:szCs w:val="21"/>
                <w:highlight w:val="none"/>
              </w:rPr>
              <w:t>分值</w:t>
            </w:r>
          </w:p>
        </w:tc>
        <w:tc>
          <w:tcPr>
            <w:tcW w:w="3862" w:type="dxa"/>
            <w:tcBorders>
              <w:top w:val="single" w:color="000000" w:sz="4" w:space="0"/>
              <w:left w:val="single" w:color="000000" w:sz="4" w:space="0"/>
              <w:bottom w:val="single" w:color="auto" w:sz="4" w:space="0"/>
              <w:right w:val="single" w:color="auto" w:sz="4" w:space="0"/>
            </w:tcBorders>
            <w:shd w:val="clear" w:color="auto" w:fill="FFFFFF"/>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firstLineChars="0"/>
              <w:jc w:val="center"/>
              <w:textAlignment w:val="auto"/>
              <w:rPr>
                <w:rFonts w:hint="eastAsia" w:ascii="微软雅黑" w:hAnsi="微软雅黑" w:eastAsia="微软雅黑" w:cs="微软雅黑"/>
                <w:b/>
                <w:color w:val="auto"/>
                <w:kern w:val="2"/>
                <w:sz w:val="21"/>
                <w:szCs w:val="21"/>
                <w:highlight w:val="none"/>
                <w:lang w:val="en-US" w:eastAsia="zh-CN" w:bidi="ar-SA"/>
              </w:rPr>
            </w:pPr>
            <w:r>
              <w:rPr>
                <w:rFonts w:hint="eastAsia" w:ascii="微软雅黑" w:hAnsi="微软雅黑" w:eastAsia="微软雅黑" w:cs="微软雅黑"/>
                <w:b/>
                <w:color w:val="auto"/>
                <w:sz w:val="21"/>
                <w:szCs w:val="21"/>
                <w:highlight w:val="none"/>
              </w:rPr>
              <w:t>评分标准</w:t>
            </w:r>
          </w:p>
        </w:tc>
        <w:tc>
          <w:tcPr>
            <w:tcW w:w="3069" w:type="dxa"/>
            <w:tcBorders>
              <w:top w:val="single" w:color="000000" w:sz="4" w:space="0"/>
              <w:left w:val="single" w:color="000000" w:sz="4" w:space="0"/>
              <w:bottom w:val="single" w:color="auto" w:sz="4" w:space="0"/>
              <w:right w:val="single" w:color="auto" w:sz="4" w:space="0"/>
            </w:tcBorders>
            <w:shd w:val="clear" w:color="auto" w:fill="FFFFFF"/>
            <w:noWrap w:val="0"/>
            <w:vAlign w:val="center"/>
          </w:tcPr>
          <w:p>
            <w:pPr>
              <w:pStyle w:val="238"/>
              <w:keepNext w:val="0"/>
              <w:keepLines w:val="0"/>
              <w:pageBreakBefore w:val="0"/>
              <w:widowControl w:val="0"/>
              <w:suppressLineNumbers w:val="0"/>
              <w:kinsoku/>
              <w:wordWrap/>
              <w:overflowPunct/>
              <w:topLinePunct w:val="0"/>
              <w:autoSpaceDE/>
              <w:autoSpaceDN/>
              <w:bidi w:val="0"/>
              <w:adjustRightInd w:val="0"/>
              <w:snapToGrid w:val="0"/>
              <w:spacing w:before="0" w:beforeLines="0" w:after="0" w:afterLines="0" w:line="240" w:lineRule="auto"/>
              <w:ind w:left="0" w:right="0"/>
              <w:textAlignment w:val="auto"/>
              <w:rPr>
                <w:rFonts w:hint="eastAsia" w:ascii="微软雅黑" w:hAnsi="微软雅黑" w:eastAsia="微软雅黑" w:cs="微软雅黑"/>
                <w:b/>
                <w:color w:val="auto"/>
                <w:kern w:val="2"/>
                <w:sz w:val="21"/>
                <w:szCs w:val="21"/>
                <w:highlight w:val="none"/>
                <w:lang w:val="en-US" w:eastAsia="zh-CN" w:bidi="ar-SA"/>
              </w:rPr>
            </w:pPr>
            <w:r>
              <w:rPr>
                <w:rFonts w:hint="eastAsia" w:ascii="微软雅黑" w:hAnsi="微软雅黑" w:eastAsia="微软雅黑" w:cs="微软雅黑"/>
                <w:color w:val="auto"/>
                <w:sz w:val="21"/>
                <w:szCs w:val="21"/>
                <w:highlight w:val="none"/>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493" w:hRule="atLeast"/>
          <w:jc w:val="center"/>
        </w:trPr>
        <w:tc>
          <w:tcPr>
            <w:tcW w:w="506" w:type="dxa"/>
            <w:tcBorders>
              <w:top w:val="single" w:color="000000" w:sz="4" w:space="0"/>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1</w:t>
            </w:r>
          </w:p>
        </w:tc>
        <w:tc>
          <w:tcPr>
            <w:tcW w:w="1265" w:type="dxa"/>
            <w:tcBorders>
              <w:top w:val="single" w:color="000000" w:sz="4" w:space="0"/>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价格需求</w:t>
            </w:r>
          </w:p>
        </w:tc>
        <w:tc>
          <w:tcPr>
            <w:tcW w:w="1070" w:type="dxa"/>
            <w:tcBorders>
              <w:top w:val="single" w:color="000000" w:sz="4" w:space="0"/>
              <w:left w:val="single" w:color="000000" w:sz="4" w:space="0"/>
              <w:right w:val="single" w:color="auto"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投标报价</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（20%）</w:t>
            </w:r>
          </w:p>
        </w:tc>
        <w:tc>
          <w:tcPr>
            <w:tcW w:w="699" w:type="dxa"/>
            <w:tcBorders>
              <w:top w:val="single" w:color="auto" w:sz="4" w:space="0"/>
              <w:left w:val="single" w:color="auto" w:sz="4" w:space="0"/>
              <w:bottom w:val="single" w:color="auto" w:sz="4" w:space="0"/>
              <w:right w:val="single" w:color="000000" w:sz="4" w:space="0"/>
            </w:tcBorders>
            <w:shd w:val="clear" w:color="auto" w:fill="FFFFFF"/>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20</w:t>
            </w:r>
          </w:p>
        </w:tc>
        <w:tc>
          <w:tcPr>
            <w:tcW w:w="3862" w:type="dxa"/>
            <w:tcBorders>
              <w:top w:val="single" w:color="auto" w:sz="4" w:space="0"/>
              <w:left w:val="single" w:color="000000" w:sz="4" w:space="0"/>
              <w:bottom w:val="single" w:color="auto" w:sz="4" w:space="0"/>
              <w:right w:val="single" w:color="auto" w:sz="4" w:space="0"/>
            </w:tcBorders>
            <w:shd w:val="clear" w:color="auto" w:fill="FFFFFF"/>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满足资格性、符合性要求且最后报价最低的投标人的价格为投标基准价，其价格分为满分。其他投标人的价格分统一按照下列公式计算：投标报价得分=（投标基准价/最后投标报价）×价格权值×100。</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default"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2.投标报价由每年顾问费+案件代理费*每年预估案件数量+查房费*每年查房次数组成。</w:t>
            </w:r>
          </w:p>
        </w:tc>
        <w:tc>
          <w:tcPr>
            <w:tcW w:w="3069" w:type="dxa"/>
            <w:tcBorders>
              <w:top w:val="single" w:color="auto" w:sz="4" w:space="0"/>
              <w:left w:val="single" w:color="000000" w:sz="4" w:space="0"/>
              <w:bottom w:val="single" w:color="auto" w:sz="4" w:space="0"/>
              <w:right w:val="single" w:color="auto" w:sz="4" w:space="0"/>
            </w:tcBorders>
            <w:shd w:val="clear" w:color="auto" w:fill="FFFFFF"/>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注：评标小组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小组会应当将其作为无效投标处理。若评标小组成员对是否须由投标人作出报价合理性说明，以及书面说明是否采纳等判断不一致的，按照“少数服从多数”的原则确定评标小组的意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90" w:hRule="atLeast"/>
          <w:jc w:val="center"/>
        </w:trPr>
        <w:tc>
          <w:tcPr>
            <w:tcW w:w="506" w:type="dxa"/>
            <w:vMerge w:val="restart"/>
            <w:tcBorders>
              <w:top w:val="single" w:color="000000" w:sz="4" w:space="0"/>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2</w:t>
            </w:r>
          </w:p>
        </w:tc>
        <w:tc>
          <w:tcPr>
            <w:tcW w:w="1265" w:type="dxa"/>
            <w:vMerge w:val="restart"/>
            <w:tcBorders>
              <w:top w:val="single" w:color="000000" w:sz="4" w:space="0"/>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shd w:val="clear" w:color="auto" w:fill="auto"/>
                <w:lang w:eastAsia="zh-CN"/>
              </w:rPr>
            </w:pPr>
            <w:r>
              <w:rPr>
                <w:rFonts w:hint="eastAsia" w:ascii="微软雅黑" w:hAnsi="微软雅黑" w:eastAsia="微软雅黑" w:cs="微软雅黑"/>
                <w:color w:val="auto"/>
                <w:sz w:val="21"/>
                <w:szCs w:val="21"/>
                <w:highlight w:val="none"/>
                <w:shd w:val="clear" w:color="auto" w:fill="auto"/>
                <w:lang w:eastAsia="zh-CN"/>
              </w:rPr>
              <w:t>技术需求</w:t>
            </w:r>
          </w:p>
        </w:tc>
        <w:tc>
          <w:tcPr>
            <w:tcW w:w="1070" w:type="dxa"/>
            <w:vMerge w:val="restart"/>
            <w:tcBorders>
              <w:top w:val="single" w:color="000000" w:sz="4" w:space="0"/>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shd w:val="clear" w:color="auto" w:fill="auto"/>
                <w:lang w:eastAsia="zh-CN"/>
              </w:rPr>
            </w:pPr>
            <w:r>
              <w:rPr>
                <w:rFonts w:hint="eastAsia" w:ascii="微软雅黑" w:hAnsi="微软雅黑" w:eastAsia="微软雅黑" w:cs="微软雅黑"/>
                <w:color w:val="auto"/>
                <w:sz w:val="21"/>
                <w:szCs w:val="21"/>
                <w:highlight w:val="none"/>
                <w:shd w:val="clear" w:color="auto" w:fill="auto"/>
                <w:lang w:val="en-US" w:eastAsia="zh-CN"/>
              </w:rPr>
              <w:t>履约能力</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47</w:t>
            </w:r>
            <w:r>
              <w:rPr>
                <w:rFonts w:hint="eastAsia" w:ascii="微软雅黑" w:hAnsi="微软雅黑" w:eastAsia="微软雅黑" w:cs="微软雅黑"/>
                <w:sz w:val="21"/>
                <w:szCs w:val="21"/>
              </w:rPr>
              <w:t>%）</w:t>
            </w:r>
          </w:p>
        </w:tc>
        <w:tc>
          <w:tcPr>
            <w:tcW w:w="699" w:type="dxa"/>
            <w:tcBorders>
              <w:top w:val="single" w:color="000000" w:sz="4" w:space="0"/>
              <w:left w:val="single" w:color="000000" w:sz="4" w:space="0"/>
              <w:right w:val="single" w:color="000000" w:sz="4" w:space="0"/>
            </w:tcBorders>
            <w:shd w:val="clear" w:color="auto" w:fill="FFFFFF"/>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2</w:t>
            </w:r>
          </w:p>
        </w:tc>
        <w:tc>
          <w:tcPr>
            <w:tcW w:w="3862" w:type="dxa"/>
            <w:tcBorders>
              <w:top w:val="single" w:color="000000" w:sz="4" w:space="0"/>
              <w:left w:val="single" w:color="000000" w:sz="4" w:space="0"/>
              <w:right w:val="single" w:color="auto" w:sz="4" w:space="0"/>
            </w:tcBorders>
            <w:shd w:val="clear" w:color="auto" w:fill="FFFFFF"/>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事务所成立时间：事务所成立时间大于15年（含15年）得2分；事务所成立时间在10-14年（含10年）得1分；事务所成立时间6-9年（含6年）得0.5分；事务所成立时间6年以下得0分。</w:t>
            </w:r>
          </w:p>
        </w:tc>
        <w:tc>
          <w:tcPr>
            <w:tcW w:w="3069" w:type="dxa"/>
            <w:vMerge w:val="restart"/>
            <w:tcBorders>
              <w:top w:val="single" w:color="000000" w:sz="4" w:space="0"/>
              <w:left w:val="single" w:color="000000" w:sz="4" w:space="0"/>
              <w:right w:val="single" w:color="auto" w:sz="4" w:space="0"/>
            </w:tcBorders>
            <w:shd w:val="clear" w:color="auto" w:fill="FFFFFF"/>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default"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提供注册证明材料复印件并盖章确认，原件备查。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310" w:hRule="atLeast"/>
          <w:jc w:val="center"/>
        </w:trPr>
        <w:tc>
          <w:tcPr>
            <w:tcW w:w="506"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1265"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1070"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699"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2</w:t>
            </w:r>
          </w:p>
        </w:tc>
        <w:tc>
          <w:tcPr>
            <w:tcW w:w="3862"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事务所规模：事务所现有执业律师超过60人（含60人）得2分；事务所现有执业律师40至60人（不含60人）得1分；事务所现有执业律师20至40人（不含40人）得0.5分；事务所现有执业律师20以下（不含20人）不得分。</w:t>
            </w:r>
          </w:p>
        </w:tc>
        <w:tc>
          <w:tcPr>
            <w:tcW w:w="3069" w:type="dxa"/>
            <w:vMerge w:val="continue"/>
            <w:tcBorders>
              <w:left w:val="single" w:color="000000" w:sz="4" w:space="0"/>
              <w:right w:val="single" w:color="auto" w:sz="4" w:space="0"/>
            </w:tcBorders>
            <w:shd w:val="clear" w:color="auto" w:fill="auto"/>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bCs/>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0" w:hRule="atLeast"/>
          <w:jc w:val="center"/>
        </w:trPr>
        <w:tc>
          <w:tcPr>
            <w:tcW w:w="506"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1265"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1070"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699"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6</w:t>
            </w:r>
          </w:p>
        </w:tc>
        <w:tc>
          <w:tcPr>
            <w:tcW w:w="3862"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荣誉：事务所成立后获得市司法局或市律师协会荣誉证书1项得2分，最高得6分。</w:t>
            </w:r>
          </w:p>
        </w:tc>
        <w:tc>
          <w:tcPr>
            <w:tcW w:w="3069" w:type="dxa"/>
            <w:tcBorders>
              <w:left w:val="single" w:color="000000" w:sz="4" w:space="0"/>
              <w:right w:val="single" w:color="auto" w:sz="4" w:space="0"/>
            </w:tcBorders>
            <w:shd w:val="clear" w:color="auto" w:fill="auto"/>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default"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提供证书复印件并盖章确认，原件备查。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0" w:hRule="atLeast"/>
          <w:jc w:val="center"/>
        </w:trPr>
        <w:tc>
          <w:tcPr>
            <w:tcW w:w="506"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1265"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1070"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699"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14</w:t>
            </w:r>
          </w:p>
        </w:tc>
        <w:tc>
          <w:tcPr>
            <w:tcW w:w="3862"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服务规模：事务所（不包含分所）近五年与16家及以上医院签订顾问合同，其中三级医院达6家及以上得14分、三级医院低于6家得8分；与10-15家医院签订顾问合同得6分，与5-9家医院签订顾问合同得4分，与1-4家医院签订顾问合同得1分，未与医院签订顾问合同不得分。</w:t>
            </w:r>
          </w:p>
        </w:tc>
        <w:tc>
          <w:tcPr>
            <w:tcW w:w="3069" w:type="dxa"/>
            <w:tcBorders>
              <w:left w:val="single" w:color="000000" w:sz="4" w:space="0"/>
              <w:right w:val="single" w:color="auto" w:sz="4" w:space="0"/>
            </w:tcBorders>
            <w:shd w:val="clear" w:color="auto" w:fill="auto"/>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提供顾问合同及顾问费发票复印件并盖章确认，原件备查。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0" w:hRule="atLeast"/>
          <w:jc w:val="center"/>
        </w:trPr>
        <w:tc>
          <w:tcPr>
            <w:tcW w:w="506"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1265"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1070"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699"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3</w:t>
            </w:r>
          </w:p>
        </w:tc>
        <w:tc>
          <w:tcPr>
            <w:tcW w:w="3862"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textAlignment w:val="auto"/>
              <w:rPr>
                <w:rFonts w:hint="eastAsia"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事务所总部执业注册地在重庆市主城区得3分，事务所总部执业注册地在重庆（非主城9区），不在重庆市的不得分。</w:t>
            </w:r>
          </w:p>
        </w:tc>
        <w:tc>
          <w:tcPr>
            <w:tcW w:w="3069" w:type="dxa"/>
            <w:tcBorders>
              <w:left w:val="single" w:color="000000" w:sz="4" w:space="0"/>
              <w:right w:val="single" w:color="auto" w:sz="4" w:space="0"/>
            </w:tcBorders>
            <w:shd w:val="clear" w:color="auto" w:fill="auto"/>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textAlignment w:val="auto"/>
              <w:rPr>
                <w:rFonts w:hint="eastAsia"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提供注册证明材料复印件并盖章确认，原件备查。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0" w:hRule="atLeast"/>
          <w:jc w:val="center"/>
        </w:trPr>
        <w:tc>
          <w:tcPr>
            <w:tcW w:w="506"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1265"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1070"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699"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6</w:t>
            </w:r>
          </w:p>
        </w:tc>
        <w:tc>
          <w:tcPr>
            <w:tcW w:w="3862"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textAlignment w:val="auto"/>
              <w:rPr>
                <w:rFonts w:hint="eastAsia"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拟派顾问执业律师团队中具有医学专业教育背景3人及以上得6分，2人得3分，1人得1分，拟派无医学教育背景或仅有医学相关专业背景（医事法律专业、护理专业、药学专业、预防医学专业、公共卫生管理专业、法医专业）不得分（需提供毕业证复印件，原件备查）。</w:t>
            </w:r>
          </w:p>
        </w:tc>
        <w:tc>
          <w:tcPr>
            <w:tcW w:w="3069" w:type="dxa"/>
            <w:tcBorders>
              <w:left w:val="single" w:color="000000" w:sz="4" w:space="0"/>
              <w:right w:val="single" w:color="auto" w:sz="4" w:space="0"/>
            </w:tcBorders>
            <w:shd w:val="clear" w:color="auto" w:fill="auto"/>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textAlignment w:val="auto"/>
              <w:rPr>
                <w:rFonts w:hint="eastAsia"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提供毕业证复印件并盖章确认，原件备查。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0" w:hRule="atLeast"/>
          <w:jc w:val="center"/>
        </w:trPr>
        <w:tc>
          <w:tcPr>
            <w:tcW w:w="506"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1265"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1070"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699"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6</w:t>
            </w:r>
          </w:p>
        </w:tc>
        <w:tc>
          <w:tcPr>
            <w:tcW w:w="3862"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textAlignment w:val="auto"/>
              <w:rPr>
                <w:rFonts w:hint="eastAsia"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律师有为医院提供律师查房服务经验且能提供证明材料并经验丰富者得6分。无此经验或不能提供证明材料不得分。综合评议</w:t>
            </w:r>
          </w:p>
        </w:tc>
        <w:tc>
          <w:tcPr>
            <w:tcW w:w="3069" w:type="dxa"/>
            <w:tcBorders>
              <w:left w:val="single" w:color="000000" w:sz="4" w:space="0"/>
              <w:right w:val="single" w:color="auto" w:sz="4" w:space="0"/>
            </w:tcBorders>
            <w:shd w:val="clear" w:color="auto" w:fill="auto"/>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textAlignment w:val="auto"/>
              <w:rPr>
                <w:rFonts w:hint="eastAsia"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提供协议或合同复印件并盖章确认，原件备查。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506"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1265"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1070"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699"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8</w:t>
            </w:r>
          </w:p>
        </w:tc>
        <w:tc>
          <w:tcPr>
            <w:tcW w:w="3862"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textAlignment w:val="auto"/>
              <w:rPr>
                <w:rFonts w:hint="default"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顾问律师及团队成员处理儿科专科医疗纠纷经验丰富、从业业绩最高者得8分；仅有处理过医疗类纠纷经验者得4分，经验不丰富或无经验不得分。综合评议。</w:t>
            </w:r>
          </w:p>
        </w:tc>
        <w:tc>
          <w:tcPr>
            <w:tcW w:w="3069" w:type="dxa"/>
            <w:tcBorders>
              <w:left w:val="single" w:color="000000" w:sz="4" w:space="0"/>
              <w:right w:val="single" w:color="auto" w:sz="4" w:space="0"/>
            </w:tcBorders>
            <w:shd w:val="clear" w:color="auto" w:fill="auto"/>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textAlignment w:val="auto"/>
              <w:rPr>
                <w:rFonts w:hint="eastAsia"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提供2024、2025年度代理服务医院的诉讼案例清单、判决书复印件并盖章确认，原件备查。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90" w:hRule="atLeast"/>
          <w:jc w:val="center"/>
        </w:trPr>
        <w:tc>
          <w:tcPr>
            <w:tcW w:w="506" w:type="dxa"/>
            <w:vMerge w:val="restart"/>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3</w:t>
            </w:r>
          </w:p>
        </w:tc>
        <w:tc>
          <w:tcPr>
            <w:tcW w:w="1265" w:type="dxa"/>
            <w:vMerge w:val="restart"/>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商务需求</w:t>
            </w:r>
          </w:p>
        </w:tc>
        <w:tc>
          <w:tcPr>
            <w:tcW w:w="1070" w:type="dxa"/>
            <w:vMerge w:val="restart"/>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市场影响力</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30</w:t>
            </w:r>
            <w:r>
              <w:rPr>
                <w:rFonts w:hint="eastAsia" w:ascii="微软雅黑" w:hAnsi="微软雅黑" w:eastAsia="微软雅黑" w:cs="微软雅黑"/>
                <w:sz w:val="21"/>
                <w:szCs w:val="21"/>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lang w:val="en-US" w:eastAsia="zh-CN"/>
              </w:rPr>
            </w:pPr>
          </w:p>
        </w:tc>
        <w:tc>
          <w:tcPr>
            <w:tcW w:w="699"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bCs/>
                <w:sz w:val="21"/>
                <w:szCs w:val="21"/>
                <w:lang w:val="en-US" w:eastAsia="zh-CN"/>
              </w:rPr>
              <w:t>15</w:t>
            </w:r>
          </w:p>
        </w:tc>
        <w:tc>
          <w:tcPr>
            <w:tcW w:w="3862"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textAlignment w:val="auto"/>
              <w:rPr>
                <w:rFonts w:hint="default"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顾问律师及团队成员代理、处理涉及儿科专科医疗纠纷经验丰富、从业业绩最高者得15分；仅有处理医疗类纠纷案件经验较为丰富者得6分，经验不丰富或无经验不得分。综合评议。</w:t>
            </w:r>
          </w:p>
        </w:tc>
        <w:tc>
          <w:tcPr>
            <w:tcW w:w="3069" w:type="dxa"/>
            <w:tcBorders>
              <w:left w:val="single" w:color="000000" w:sz="4" w:space="0"/>
              <w:right w:val="single" w:color="auto" w:sz="4" w:space="0"/>
            </w:tcBorders>
            <w:shd w:val="clear" w:color="auto" w:fill="auto"/>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b/>
                <w:bCs/>
                <w:color w:val="auto"/>
                <w:kern w:val="2"/>
                <w:sz w:val="21"/>
                <w:szCs w:val="21"/>
                <w:highlight w:val="none"/>
                <w:lang w:val="en-US" w:eastAsia="zh-CN" w:bidi="ar-SA"/>
              </w:rPr>
            </w:pPr>
            <w:r>
              <w:rPr>
                <w:rFonts w:hint="eastAsia" w:ascii="微软雅黑" w:hAnsi="微软雅黑" w:eastAsia="微软雅黑" w:cs="微软雅黑"/>
                <w:bCs/>
                <w:sz w:val="21"/>
                <w:szCs w:val="21"/>
                <w:lang w:val="en-US" w:eastAsia="zh-CN"/>
              </w:rPr>
              <w:t>提供2024、2025年度代理服务医院的诉讼案例清单、判决书复印件并盖章确认，原件备查。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90" w:hRule="atLeast"/>
          <w:jc w:val="center"/>
        </w:trPr>
        <w:tc>
          <w:tcPr>
            <w:tcW w:w="506"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lang w:val="en-US" w:eastAsia="zh-CN"/>
              </w:rPr>
            </w:pPr>
          </w:p>
        </w:tc>
        <w:tc>
          <w:tcPr>
            <w:tcW w:w="1265"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lang w:val="en-US" w:eastAsia="zh-CN"/>
              </w:rPr>
            </w:pPr>
          </w:p>
        </w:tc>
        <w:tc>
          <w:tcPr>
            <w:tcW w:w="1070"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lang w:val="en-US" w:eastAsia="zh-CN"/>
              </w:rPr>
            </w:pPr>
          </w:p>
        </w:tc>
        <w:tc>
          <w:tcPr>
            <w:tcW w:w="699"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微软雅黑" w:hAnsi="微软雅黑" w:eastAsia="微软雅黑" w:cs="微软雅黑"/>
                <w:color w:val="auto"/>
                <w:kern w:val="2"/>
                <w:sz w:val="21"/>
                <w:szCs w:val="21"/>
                <w:highlight w:val="none"/>
                <w:shd w:val="clear" w:color="auto" w:fill="auto"/>
                <w:lang w:val="en-US" w:eastAsia="zh-CN" w:bidi="ar-SA"/>
              </w:rPr>
            </w:pPr>
            <w:r>
              <w:rPr>
                <w:rFonts w:hint="eastAsia" w:ascii="微软雅黑" w:hAnsi="微软雅黑" w:eastAsia="微软雅黑" w:cs="微软雅黑"/>
                <w:color w:val="auto"/>
                <w:kern w:val="2"/>
                <w:sz w:val="21"/>
                <w:szCs w:val="21"/>
                <w:highlight w:val="none"/>
                <w:shd w:val="clear" w:color="auto" w:fill="auto"/>
                <w:lang w:val="en-US" w:eastAsia="zh-CN" w:bidi="ar-SA"/>
              </w:rPr>
              <w:t>15</w:t>
            </w:r>
          </w:p>
        </w:tc>
        <w:tc>
          <w:tcPr>
            <w:tcW w:w="3862"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textAlignment w:val="auto"/>
              <w:rPr>
                <w:rFonts w:hint="eastAsia"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有连续担任三甲医院常年法律顾问达25年以上得15分，25年以下1年0.5分，3年以下不得分（需提供医院或其职能部门出具的证明）；</w:t>
            </w:r>
          </w:p>
        </w:tc>
        <w:tc>
          <w:tcPr>
            <w:tcW w:w="3069" w:type="dxa"/>
            <w:tcBorders>
              <w:left w:val="single" w:color="000000" w:sz="4" w:space="0"/>
              <w:right w:val="single" w:color="auto" w:sz="4" w:space="0"/>
            </w:tcBorders>
            <w:shd w:val="clear" w:color="auto" w:fill="auto"/>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textAlignment w:val="auto"/>
              <w:rPr>
                <w:rFonts w:hint="eastAsia"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需提供医院或其职能部门出具的证明。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1153" w:hRule="atLeast"/>
          <w:jc w:val="center"/>
        </w:trPr>
        <w:tc>
          <w:tcPr>
            <w:tcW w:w="506"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1265"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1070"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服务承诺（3%）</w:t>
            </w:r>
          </w:p>
        </w:tc>
        <w:tc>
          <w:tcPr>
            <w:tcW w:w="699"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3</w:t>
            </w:r>
          </w:p>
        </w:tc>
        <w:tc>
          <w:tcPr>
            <w:tcW w:w="3862"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textAlignment w:val="auto"/>
              <w:rPr>
                <w:rFonts w:hint="eastAsia"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承诺服务范围、服务要求完全符合招标人要求得3分，评审人员按照招标人承诺程度酌情打分。</w:t>
            </w:r>
          </w:p>
        </w:tc>
        <w:tc>
          <w:tcPr>
            <w:tcW w:w="3069" w:type="dxa"/>
            <w:tcBorders>
              <w:left w:val="single" w:color="000000" w:sz="4" w:space="0"/>
              <w:right w:val="single" w:color="auto" w:sz="4" w:space="0"/>
            </w:tcBorders>
            <w:shd w:val="clear" w:color="auto" w:fill="auto"/>
            <w:noWrap w:val="0"/>
            <w:vAlign w:val="center"/>
          </w:tcPr>
          <w:p>
            <w:pPr>
              <w:pStyle w:val="2"/>
              <w:keepNext w:val="0"/>
              <w:keepLines w:val="0"/>
              <w:numPr>
                <w:ilvl w:val="0"/>
                <w:numId w:val="0"/>
              </w:numPr>
              <w:suppressLineNumbers w:val="0"/>
              <w:spacing w:before="0" w:beforeAutospacing="0" w:after="0" w:afterAutospacing="0" w:line="240" w:lineRule="auto"/>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提供承诺函，格式自拟。</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、无效响应</w:t>
      </w:r>
      <w:bookmarkEnd w:id="99"/>
      <w:bookmarkEnd w:id="100"/>
      <w:bookmarkEnd w:id="101"/>
      <w:bookmarkEnd w:id="112"/>
      <w:bookmarkEnd w:id="113"/>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lang w:val="en-US" w:eastAsia="zh-CN"/>
        </w:rPr>
        <w:t>投标</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u w:val="none"/>
          <w:lang w:eastAsia="zh-CN"/>
        </w:rPr>
        <w:t>（十）</w:t>
      </w:r>
      <w:r>
        <w:rPr>
          <w:rFonts w:hint="eastAsia" w:ascii="微软雅黑" w:hAnsi="微软雅黑" w:eastAsia="微软雅黑" w:cs="微软雅黑"/>
          <w:sz w:val="24"/>
          <w:szCs w:val="24"/>
          <w:lang w:eastAsia="zh-CN"/>
        </w:rPr>
        <w:t>法律、法规和</w:t>
      </w:r>
      <w:r>
        <w:rPr>
          <w:rFonts w:hint="eastAsia" w:ascii="微软雅黑" w:hAnsi="微软雅黑" w:eastAsia="微软雅黑" w:cs="微软雅黑"/>
          <w:sz w:val="24"/>
          <w:szCs w:val="24"/>
          <w:lang w:val="en-US" w:eastAsia="zh-CN"/>
        </w:rPr>
        <w:t>采购</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bookmarkStart w:id="114" w:name="_Toc106030891"/>
      <w:bookmarkStart w:id="115" w:name="_Toc10687"/>
      <w:bookmarkStart w:id="116" w:name="_Toc76462336"/>
      <w:bookmarkStart w:id="117" w:name="_Toc15885"/>
      <w:bookmarkStart w:id="118" w:name="_Toc29702"/>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w:t>
      </w:r>
      <w:bookmarkEnd w:id="102"/>
      <w:bookmarkEnd w:id="103"/>
      <w:bookmarkEnd w:id="114"/>
      <w:bookmarkEnd w:id="115"/>
      <w:bookmarkEnd w:id="116"/>
      <w:r>
        <w:rPr>
          <w:rFonts w:hint="eastAsia" w:ascii="微软雅黑" w:hAnsi="微软雅黑" w:eastAsia="微软雅黑" w:cs="微软雅黑"/>
          <w:sz w:val="24"/>
          <w:lang w:val="en-US" w:eastAsia="zh-CN"/>
        </w:rPr>
        <w:t>废标条款</w:t>
      </w:r>
      <w:bookmarkEnd w:id="117"/>
      <w:bookmarkEnd w:id="118"/>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color w:val="auto"/>
          <w:sz w:val="24"/>
          <w:szCs w:val="24"/>
        </w:rPr>
        <w:t>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微软雅黑" w:hAnsi="微软雅黑" w:eastAsia="微软雅黑" w:cs="微软雅黑"/>
          <w:b/>
          <w:bCs w:val="0"/>
          <w:sz w:val="44"/>
          <w:szCs w:val="20"/>
        </w:rPr>
      </w:pPr>
      <w:bookmarkStart w:id="119" w:name="_Toc106030892"/>
      <w:bookmarkStart w:id="120" w:name="_Toc29948"/>
      <w:bookmarkStart w:id="121" w:name="_Toc102227313"/>
      <w:bookmarkStart w:id="122" w:name="_Toc76462337"/>
      <w:bookmarkStart w:id="123" w:name="_Toc19388"/>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19"/>
      <w:bookmarkEnd w:id="120"/>
      <w:bookmarkEnd w:id="121"/>
      <w:bookmarkEnd w:id="122"/>
      <w:bookmarkEnd w:id="123"/>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4" w:name="_Toc342913389"/>
      <w:bookmarkStart w:id="125" w:name="_Toc76462338"/>
      <w:bookmarkStart w:id="126" w:name="_Toc106030893"/>
      <w:bookmarkStart w:id="127" w:name="_Toc32169"/>
      <w:bookmarkStart w:id="128" w:name="_Toc26717"/>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24"/>
      <w:bookmarkEnd w:id="125"/>
      <w:bookmarkEnd w:id="126"/>
      <w:bookmarkEnd w:id="127"/>
      <w:bookmarkEnd w:id="128"/>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15712"/>
      <w:bookmarkStart w:id="130" w:name="_Toc342913391"/>
      <w:bookmarkStart w:id="131" w:name="_Toc106030894"/>
      <w:bookmarkStart w:id="132" w:name="_Toc76462339"/>
      <w:bookmarkStart w:id="133" w:name="_Toc29479"/>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29"/>
      <w:bookmarkEnd w:id="130"/>
      <w:bookmarkEnd w:id="131"/>
      <w:bookmarkEnd w:id="132"/>
      <w:bookmarkEnd w:id="133"/>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34" w:name="_Toc318159780"/>
      <w:bookmarkStart w:id="135" w:name="_Toc318159349"/>
      <w:bookmarkStart w:id="136" w:name="_Toc318159160"/>
      <w:bookmarkStart w:id="137" w:name="_Toc318166429"/>
    </w:p>
    <w:bookmarkEnd w:id="134"/>
    <w:bookmarkEnd w:id="135"/>
    <w:bookmarkEnd w:id="136"/>
    <w:bookmarkEnd w:id="137"/>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8" w:name="_Toc102227318"/>
      <w:bookmarkStart w:id="139" w:name="_Toc23630"/>
      <w:bookmarkStart w:id="140" w:name="_Toc76462340"/>
      <w:bookmarkStart w:id="141" w:name="_Toc106030895"/>
      <w:bookmarkStart w:id="142" w:name="_Toc342913392"/>
      <w:bookmarkStart w:id="143" w:name="_Toc26007"/>
      <w:bookmarkStart w:id="144" w:name="_Toc179714297"/>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38"/>
      <w:bookmarkEnd w:id="139"/>
      <w:bookmarkEnd w:id="140"/>
      <w:bookmarkEnd w:id="141"/>
      <w:bookmarkEnd w:id="142"/>
      <w:bookmarkEnd w:id="143"/>
      <w:bookmarkEnd w:id="14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若响应文件出现计算或表达上的错误，修正错误的原则如下：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1.响应文件中开标一览表（报价表）内容与响应文件中相应内容不一致的，以开标一览表（报价表）为准；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pPr>
        <w:pStyle w:val="3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5" w:name="_Toc76462341"/>
      <w:bookmarkStart w:id="146" w:name="_Toc6435"/>
      <w:bookmarkStart w:id="147" w:name="_Toc16798"/>
      <w:bookmarkStart w:id="148" w:name="_Toc106030896"/>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45"/>
      <w:bookmarkEnd w:id="146"/>
      <w:bookmarkEnd w:id="147"/>
      <w:bookmarkEnd w:id="148"/>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9" w:name="_Toc21532"/>
      <w:bookmarkStart w:id="150" w:name="_Toc106030897"/>
      <w:bookmarkStart w:id="151" w:name="_Toc102227321"/>
      <w:bookmarkStart w:id="152" w:name="_Toc76462342"/>
      <w:bookmarkStart w:id="153" w:name="_Toc342913395"/>
      <w:bookmarkStart w:id="154" w:name="_Toc30288"/>
      <w:r>
        <w:rPr>
          <w:rFonts w:hint="eastAsia" w:ascii="微软雅黑" w:hAnsi="微软雅黑" w:eastAsia="微软雅黑" w:cs="微软雅黑"/>
          <w:sz w:val="24"/>
        </w:rPr>
        <w:t>五、成交通知</w:t>
      </w:r>
      <w:bookmarkEnd w:id="149"/>
      <w:bookmarkEnd w:id="150"/>
      <w:bookmarkEnd w:id="151"/>
      <w:bookmarkEnd w:id="152"/>
      <w:bookmarkEnd w:id="153"/>
      <w:bookmarkEnd w:id="15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color w:val="auto"/>
          <w:sz w:val="24"/>
          <w:szCs w:val="24"/>
        </w:rPr>
        <w:t>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5" w:name="_Toc5511"/>
      <w:bookmarkStart w:id="156" w:name="_Toc76462343"/>
      <w:bookmarkStart w:id="157" w:name="_Toc106030898"/>
      <w:bookmarkStart w:id="158" w:name="_Toc21448"/>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55"/>
      <w:bookmarkEnd w:id="156"/>
      <w:bookmarkEnd w:id="157"/>
      <w:bookmarkEnd w:id="15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59" w:name="_Toc28334"/>
      <w:bookmarkStart w:id="160" w:name="_Toc106030899"/>
      <w:bookmarkStart w:id="161" w:name="_Toc76462344"/>
    </w:p>
    <w:p>
      <w:pPr>
        <w:pStyle w:val="4"/>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2" w:name="_Toc32363"/>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59"/>
      <w:bookmarkEnd w:id="160"/>
      <w:bookmarkEnd w:id="161"/>
      <w:bookmarkStart w:id="163" w:name="_Toc102227322"/>
      <w:bookmarkStart w:id="164" w:name="_Toc76462346"/>
      <w:bookmarkStart w:id="165" w:name="_Toc342913396"/>
      <w:bookmarkStart w:id="166" w:name="_Toc3372"/>
      <w:bookmarkStart w:id="167" w:name="_Toc106030901"/>
      <w:bookmarkStart w:id="168" w:name="_Toc11641055"/>
      <w:bookmarkStart w:id="169" w:name="_Toc12789059"/>
      <w:r>
        <w:rPr>
          <w:rFonts w:hint="eastAsia" w:ascii="微软雅黑" w:hAnsi="微软雅黑" w:eastAsia="微软雅黑" w:cs="微软雅黑"/>
          <w:color w:val="auto"/>
          <w:sz w:val="24"/>
        </w:rPr>
        <w:t>签订</w:t>
      </w:r>
      <w:bookmarkEnd w:id="163"/>
      <w:r>
        <w:rPr>
          <w:rFonts w:hint="eastAsia" w:ascii="微软雅黑" w:hAnsi="微软雅黑" w:eastAsia="微软雅黑" w:cs="微软雅黑"/>
          <w:color w:val="auto"/>
          <w:sz w:val="24"/>
        </w:rPr>
        <w:t>合同</w:t>
      </w:r>
      <w:bookmarkEnd w:id="162"/>
      <w:bookmarkEnd w:id="164"/>
      <w:bookmarkEnd w:id="165"/>
      <w:bookmarkEnd w:id="166"/>
      <w:bookmarkEnd w:id="167"/>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w:t>
      </w:r>
      <w:r>
        <w:rPr>
          <w:rFonts w:hint="eastAsia" w:ascii="微软雅黑" w:hAnsi="微软雅黑" w:eastAsia="微软雅黑" w:cs="微软雅黑"/>
          <w:color w:val="auto"/>
          <w:sz w:val="24"/>
          <w:lang w:eastAsia="zh-CN"/>
        </w:rPr>
        <w:t>采购人</w:t>
      </w:r>
      <w:r>
        <w:rPr>
          <w:rFonts w:hint="eastAsia" w:ascii="微软雅黑" w:hAnsi="微软雅黑" w:eastAsia="微软雅黑" w:cs="微软雅黑"/>
          <w:color w:val="auto"/>
          <w:sz w:val="24"/>
        </w:rPr>
        <w:t>将有充分的理由废除授标，将中标人纳入</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68"/>
      <w:bookmarkEnd w:id="169"/>
    </w:p>
    <w:p>
      <w:pPr>
        <w:pStyle w:val="4"/>
        <w:spacing w:before="200" w:after="200" w:line="240" w:lineRule="auto"/>
        <w:jc w:val="center"/>
        <w:rPr>
          <w:rFonts w:hint="eastAsia" w:ascii="微软雅黑" w:hAnsi="微软雅黑" w:eastAsia="微软雅黑" w:cs="微软雅黑"/>
          <w:b/>
          <w:sz w:val="44"/>
          <w:szCs w:val="20"/>
        </w:rPr>
      </w:pPr>
      <w:bookmarkStart w:id="170" w:name="_Hlt41879464"/>
      <w:bookmarkEnd w:id="170"/>
      <w:bookmarkStart w:id="171" w:name="_Toc13524"/>
      <w:bookmarkStart w:id="172" w:name="_Toc27984"/>
      <w:bookmarkStart w:id="173" w:name="_Toc106030905"/>
      <w:bookmarkStart w:id="174" w:name="_Toc76462349"/>
      <w:r>
        <w:rPr>
          <w:rFonts w:hint="eastAsia" w:ascii="微软雅黑" w:hAnsi="微软雅黑" w:eastAsia="微软雅黑" w:cs="微软雅黑"/>
          <w:b/>
          <w:sz w:val="44"/>
          <w:szCs w:val="20"/>
        </w:rPr>
        <w:t>第六篇  响应文件编制要求</w:t>
      </w:r>
      <w:bookmarkEnd w:id="171"/>
      <w:bookmarkEnd w:id="172"/>
      <w:bookmarkEnd w:id="173"/>
      <w:bookmarkEnd w:id="17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综合评标服务部分应答材料（格式内容自拟）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jc w:val="both"/>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CA6D9F"/>
    <w:multiLevelType w:val="singleLevel"/>
    <w:tmpl w:val="EECA6D9F"/>
    <w:lvl w:ilvl="0" w:tentative="0">
      <w:start w:val="2"/>
      <w:numFmt w:val="chineseCounting"/>
      <w:suff w:val="nothing"/>
      <w:lvlText w:val="%1、"/>
      <w:lvlJc w:val="left"/>
      <w:rPr>
        <w:rFonts w:hint="eastAsia"/>
      </w:rPr>
    </w:lvl>
  </w:abstractNum>
  <w:abstractNum w:abstractNumId="1">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9"/>
  </w:num>
  <w:num w:numId="2">
    <w:abstractNumId w:val="6"/>
  </w:num>
  <w:num w:numId="3">
    <w:abstractNumId w:val="4"/>
  </w:num>
  <w:num w:numId="4">
    <w:abstractNumId w:val="10"/>
  </w:num>
  <w:num w:numId="5">
    <w:abstractNumId w:val="13"/>
  </w:num>
  <w:num w:numId="6">
    <w:abstractNumId w:val="1"/>
  </w:num>
  <w:num w:numId="7">
    <w:abstractNumId w:val="7"/>
  </w:num>
  <w:num w:numId="8">
    <w:abstractNumId w:val="12"/>
  </w:num>
  <w:num w:numId="9">
    <w:abstractNumId w:val="2"/>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21377C"/>
    <w:rsid w:val="026C7369"/>
    <w:rsid w:val="030620E3"/>
    <w:rsid w:val="043206CC"/>
    <w:rsid w:val="05844900"/>
    <w:rsid w:val="061218CE"/>
    <w:rsid w:val="06FE671E"/>
    <w:rsid w:val="079B568B"/>
    <w:rsid w:val="07A30BF9"/>
    <w:rsid w:val="07F103E0"/>
    <w:rsid w:val="08183809"/>
    <w:rsid w:val="092E6FC0"/>
    <w:rsid w:val="09A746B3"/>
    <w:rsid w:val="0A823A37"/>
    <w:rsid w:val="0B2471DE"/>
    <w:rsid w:val="0B4077B6"/>
    <w:rsid w:val="0BB87E47"/>
    <w:rsid w:val="0BC54681"/>
    <w:rsid w:val="0BE364E6"/>
    <w:rsid w:val="0CB4432A"/>
    <w:rsid w:val="0D1F249B"/>
    <w:rsid w:val="0D6266C4"/>
    <w:rsid w:val="0DF26CD2"/>
    <w:rsid w:val="0E691BE1"/>
    <w:rsid w:val="0E727B5D"/>
    <w:rsid w:val="104363AE"/>
    <w:rsid w:val="11C02D44"/>
    <w:rsid w:val="147A5E14"/>
    <w:rsid w:val="15935DB5"/>
    <w:rsid w:val="15BB3449"/>
    <w:rsid w:val="17351C20"/>
    <w:rsid w:val="178B1D79"/>
    <w:rsid w:val="17A1211B"/>
    <w:rsid w:val="18247EA8"/>
    <w:rsid w:val="18ED7A84"/>
    <w:rsid w:val="19255AF5"/>
    <w:rsid w:val="193B151F"/>
    <w:rsid w:val="19425287"/>
    <w:rsid w:val="1A7E6296"/>
    <w:rsid w:val="1AAE78A1"/>
    <w:rsid w:val="1AC5734F"/>
    <w:rsid w:val="1C5F6A76"/>
    <w:rsid w:val="1C8D0319"/>
    <w:rsid w:val="1CC31343"/>
    <w:rsid w:val="1F0D01CA"/>
    <w:rsid w:val="1F9008B2"/>
    <w:rsid w:val="21864056"/>
    <w:rsid w:val="22655A2F"/>
    <w:rsid w:val="23C71C0F"/>
    <w:rsid w:val="2486441F"/>
    <w:rsid w:val="24E61AAB"/>
    <w:rsid w:val="254C6FC4"/>
    <w:rsid w:val="25E7798B"/>
    <w:rsid w:val="265B1B40"/>
    <w:rsid w:val="2AA01F44"/>
    <w:rsid w:val="2CD7370E"/>
    <w:rsid w:val="2D5141FA"/>
    <w:rsid w:val="2E2D3EDF"/>
    <w:rsid w:val="2F8E2B89"/>
    <w:rsid w:val="300C58E0"/>
    <w:rsid w:val="30895BF5"/>
    <w:rsid w:val="32C66882"/>
    <w:rsid w:val="332D1E43"/>
    <w:rsid w:val="33564527"/>
    <w:rsid w:val="35397720"/>
    <w:rsid w:val="378E072C"/>
    <w:rsid w:val="37A85EFC"/>
    <w:rsid w:val="38141CAD"/>
    <w:rsid w:val="38FE6730"/>
    <w:rsid w:val="39AA75C6"/>
    <w:rsid w:val="39C353F8"/>
    <w:rsid w:val="3ACE5D4F"/>
    <w:rsid w:val="3C55524B"/>
    <w:rsid w:val="3CD2331B"/>
    <w:rsid w:val="3DF6488D"/>
    <w:rsid w:val="3E15285A"/>
    <w:rsid w:val="3EEC6CD3"/>
    <w:rsid w:val="3F1C71CA"/>
    <w:rsid w:val="3FEE02A2"/>
    <w:rsid w:val="3FFA0903"/>
    <w:rsid w:val="4000052B"/>
    <w:rsid w:val="406334F2"/>
    <w:rsid w:val="40787A26"/>
    <w:rsid w:val="409F14A1"/>
    <w:rsid w:val="40D95636"/>
    <w:rsid w:val="415F6EA3"/>
    <w:rsid w:val="41B20BF4"/>
    <w:rsid w:val="42395B6E"/>
    <w:rsid w:val="423A7D1B"/>
    <w:rsid w:val="4371698F"/>
    <w:rsid w:val="44D57484"/>
    <w:rsid w:val="45236DFE"/>
    <w:rsid w:val="452C7897"/>
    <w:rsid w:val="45AB16BA"/>
    <w:rsid w:val="467C59FB"/>
    <w:rsid w:val="479F10AA"/>
    <w:rsid w:val="48794403"/>
    <w:rsid w:val="487A6880"/>
    <w:rsid w:val="494C6B8D"/>
    <w:rsid w:val="495312E8"/>
    <w:rsid w:val="49595D88"/>
    <w:rsid w:val="497B7CB3"/>
    <w:rsid w:val="4AEC1DD8"/>
    <w:rsid w:val="4B2D12E0"/>
    <w:rsid w:val="4BEB6B31"/>
    <w:rsid w:val="4D4E307F"/>
    <w:rsid w:val="4DD36371"/>
    <w:rsid w:val="4E1E28EC"/>
    <w:rsid w:val="4E7E3BEB"/>
    <w:rsid w:val="4F070047"/>
    <w:rsid w:val="4F3C244F"/>
    <w:rsid w:val="4F5A128A"/>
    <w:rsid w:val="4FF705C0"/>
    <w:rsid w:val="5115115D"/>
    <w:rsid w:val="521E4A24"/>
    <w:rsid w:val="52D92ACB"/>
    <w:rsid w:val="52D93D20"/>
    <w:rsid w:val="5331413B"/>
    <w:rsid w:val="53B4776F"/>
    <w:rsid w:val="53DF1E3A"/>
    <w:rsid w:val="55051FF5"/>
    <w:rsid w:val="558E730F"/>
    <w:rsid w:val="55D12ED5"/>
    <w:rsid w:val="567F7F56"/>
    <w:rsid w:val="569B202A"/>
    <w:rsid w:val="57857077"/>
    <w:rsid w:val="57EF5962"/>
    <w:rsid w:val="5875792F"/>
    <w:rsid w:val="58AF5745"/>
    <w:rsid w:val="591206FA"/>
    <w:rsid w:val="59592E2D"/>
    <w:rsid w:val="5AA16971"/>
    <w:rsid w:val="5B9C3E91"/>
    <w:rsid w:val="5BF33B96"/>
    <w:rsid w:val="5CA67F0E"/>
    <w:rsid w:val="5D8B7FF5"/>
    <w:rsid w:val="5DB83C1E"/>
    <w:rsid w:val="60405A91"/>
    <w:rsid w:val="607A6D16"/>
    <w:rsid w:val="60C15D40"/>
    <w:rsid w:val="60E05AE3"/>
    <w:rsid w:val="61625D90"/>
    <w:rsid w:val="65C328F3"/>
    <w:rsid w:val="66246E50"/>
    <w:rsid w:val="665F56FC"/>
    <w:rsid w:val="673750A5"/>
    <w:rsid w:val="68BD663A"/>
    <w:rsid w:val="692F74C0"/>
    <w:rsid w:val="69482C1A"/>
    <w:rsid w:val="696405DD"/>
    <w:rsid w:val="6AC17039"/>
    <w:rsid w:val="6B030B7C"/>
    <w:rsid w:val="6B2E5407"/>
    <w:rsid w:val="6C6752B2"/>
    <w:rsid w:val="6E0E5A3E"/>
    <w:rsid w:val="6F4859CD"/>
    <w:rsid w:val="6FE969BF"/>
    <w:rsid w:val="70003319"/>
    <w:rsid w:val="701245F9"/>
    <w:rsid w:val="71175C34"/>
    <w:rsid w:val="744B2CC4"/>
    <w:rsid w:val="747D277F"/>
    <w:rsid w:val="74D70DF7"/>
    <w:rsid w:val="750950F5"/>
    <w:rsid w:val="750D16CF"/>
    <w:rsid w:val="76D6519D"/>
    <w:rsid w:val="771F5130"/>
    <w:rsid w:val="789F3DA6"/>
    <w:rsid w:val="78A52377"/>
    <w:rsid w:val="78EF15F1"/>
    <w:rsid w:val="79082185"/>
    <w:rsid w:val="7A6F77AB"/>
    <w:rsid w:val="7AAC4823"/>
    <w:rsid w:val="7B5B7497"/>
    <w:rsid w:val="7BD6204B"/>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1"/>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5"/>
    <w:qFormat/>
    <w:uiPriority w:val="0"/>
  </w:style>
  <w:style w:type="paragraph" w:styleId="33">
    <w:name w:val="Body Text Indent 2"/>
    <w:basedOn w:val="1"/>
    <w:link w:val="76"/>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7"/>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8"/>
    <w:qFormat/>
    <w:uiPriority w:val="0"/>
    <w:pPr>
      <w:adjustRightInd/>
      <w:spacing w:line="240" w:lineRule="auto"/>
      <w:textAlignment w:val="auto"/>
    </w:pPr>
  </w:style>
  <w:style w:type="paragraph" w:styleId="55">
    <w:name w:val="Body Text First Indent"/>
    <w:basedOn w:val="2"/>
    <w:next w:val="56"/>
    <w:qFormat/>
    <w:uiPriority w:val="0"/>
    <w:pPr>
      <w:spacing w:line="360" w:lineRule="auto"/>
      <w:ind w:firstLine="420"/>
    </w:pPr>
    <w:rPr>
      <w:rFonts w:ascii="宋体" w:hAnsi="宋体"/>
      <w:sz w:val="24"/>
    </w:rPr>
  </w:style>
  <w:style w:type="paragraph" w:styleId="56">
    <w:name w:val="Body Text First Indent 2"/>
    <w:basedOn w:val="23"/>
    <w:next w:val="1"/>
    <w:link w:val="79"/>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basedOn w:val="59"/>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basedOn w:val="59"/>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引用1"/>
    <w:basedOn w:val="1"/>
    <w:next w:val="1"/>
    <w:qFormat/>
    <w:uiPriority w:val="99"/>
    <w:rPr>
      <w:rFonts w:ascii="Calibri" w:hAnsi="Calibri"/>
      <w:i/>
      <w:iCs/>
      <w:color w:val="000000"/>
      <w:kern w:val="0"/>
      <w:sz w:val="22"/>
      <w:szCs w:val="20"/>
    </w:rPr>
  </w:style>
  <w:style w:type="paragraph" w:customStyle="1" w:styleId="68">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Char"/>
    <w:link w:val="4"/>
    <w:qFormat/>
    <w:uiPriority w:val="0"/>
    <w:rPr>
      <w:rFonts w:ascii="Arial" w:hAnsi="Arial" w:eastAsia="黑体"/>
      <w:b/>
      <w:kern w:val="2"/>
      <w:sz w:val="32"/>
    </w:rPr>
  </w:style>
  <w:style w:type="character" w:customStyle="1" w:styleId="72">
    <w:name w:val="标题 3 Char"/>
    <w:link w:val="5"/>
    <w:qFormat/>
    <w:uiPriority w:val="0"/>
    <w:rPr>
      <w:rFonts w:eastAsia="宋体"/>
      <w:b/>
      <w:kern w:val="2"/>
      <w:sz w:val="32"/>
      <w:lang w:val="en-US" w:eastAsia="zh-CN"/>
    </w:rPr>
  </w:style>
  <w:style w:type="character" w:customStyle="1" w:styleId="73">
    <w:name w:val="批注文字 Char"/>
    <w:link w:val="20"/>
    <w:qFormat/>
    <w:uiPriority w:val="0"/>
    <w:rPr>
      <w:sz w:val="24"/>
    </w:rPr>
  </w:style>
  <w:style w:type="character" w:customStyle="1" w:styleId="74">
    <w:name w:val="正文文本缩进 Char"/>
    <w:link w:val="23"/>
    <w:qFormat/>
    <w:uiPriority w:val="0"/>
    <w:rPr>
      <w:kern w:val="2"/>
      <w:sz w:val="44"/>
    </w:rPr>
  </w:style>
  <w:style w:type="character" w:customStyle="1" w:styleId="75">
    <w:name w:val="日期 Char"/>
    <w:link w:val="32"/>
    <w:qFormat/>
    <w:uiPriority w:val="0"/>
    <w:rPr>
      <w:kern w:val="2"/>
      <w:sz w:val="28"/>
    </w:rPr>
  </w:style>
  <w:style w:type="character" w:customStyle="1" w:styleId="76">
    <w:name w:val="正文文本缩进 2 Char"/>
    <w:link w:val="33"/>
    <w:qFormat/>
    <w:uiPriority w:val="0"/>
    <w:rPr>
      <w:kern w:val="2"/>
      <w:sz w:val="28"/>
    </w:rPr>
  </w:style>
  <w:style w:type="character" w:customStyle="1" w:styleId="77">
    <w:name w:val="脚注文本 Char"/>
    <w:link w:val="40"/>
    <w:qFormat/>
    <w:uiPriority w:val="0"/>
    <w:rPr>
      <w:kern w:val="2"/>
      <w:sz w:val="18"/>
    </w:rPr>
  </w:style>
  <w:style w:type="character" w:customStyle="1" w:styleId="78">
    <w:name w:val="批注主题 Char"/>
    <w:link w:val="54"/>
    <w:qFormat/>
    <w:uiPriority w:val="0"/>
  </w:style>
  <w:style w:type="character" w:customStyle="1" w:styleId="79">
    <w:name w:val="正文首行缩进 2 Char"/>
    <w:link w:val="56"/>
    <w:qFormat/>
    <w:uiPriority w:val="0"/>
  </w:style>
  <w:style w:type="character" w:customStyle="1" w:styleId="80">
    <w:name w:val="v151"/>
    <w:qFormat/>
    <w:uiPriority w:val="0"/>
    <w:rPr>
      <w:sz w:val="18"/>
    </w:rPr>
  </w:style>
  <w:style w:type="character" w:customStyle="1" w:styleId="81">
    <w:name w:val=" 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 Char Char3"/>
    <w:qFormat/>
    <w:uiPriority w:val="0"/>
    <w:rPr>
      <w:rFonts w:eastAsia="宋体"/>
      <w:kern w:val="2"/>
      <w:sz w:val="18"/>
      <w:lang w:val="en-US" w:eastAsia="zh-CN"/>
    </w:rPr>
  </w:style>
  <w:style w:type="character" w:customStyle="1" w:styleId="89">
    <w:name w:val=" 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 Char Char5"/>
    <w:qFormat/>
    <w:uiPriority w:val="0"/>
    <w:rPr>
      <w:rFonts w:ascii="Arial" w:hAnsi="Arial" w:eastAsia="宋体"/>
      <w:b/>
      <w:smallCaps/>
      <w:kern w:val="28"/>
      <w:sz w:val="36"/>
      <w:lang w:val="en-US" w:eastAsia="en-US"/>
    </w:rPr>
  </w:style>
  <w:style w:type="character" w:customStyle="1" w:styleId="92">
    <w:name w:val=" 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 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 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 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10">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3"/>
    <w:qFormat/>
    <w:uiPriority w:val="0"/>
    <w:pPr>
      <w:spacing w:before="720" w:beforeLines="0" w:beforeAutospacing="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ilvl w:val="1"/>
        <w:numId w:val="0"/>
      </w:numPr>
      <w:spacing w:before="0" w:beforeLines="0" w:beforeAutospacing="0" w:after="0" w:afterLines="0" w:afterAutospacing="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8">
    <w:name w:val=" Char Char14 Char Char"/>
    <w:basedOn w:val="1"/>
    <w:qFormat/>
    <w:uiPriority w:val="0"/>
    <w:rPr>
      <w:sz w:val="21"/>
      <w:szCs w:val="24"/>
    </w:rPr>
  </w:style>
  <w:style w:type="paragraph" w:customStyle="1" w:styleId="129">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30">
    <w:name w:val=" 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 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4">
    <w:name w:val="1"/>
    <w:basedOn w:val="1"/>
    <w:next w:val="30"/>
    <w:qFormat/>
    <w:uiPriority w:val="0"/>
    <w:rPr>
      <w:rFonts w:ascii="宋体" w:hAnsi="Courier New"/>
      <w:sz w:val="21"/>
    </w:rPr>
  </w:style>
  <w:style w:type="paragraph" w:customStyle="1" w:styleId="145">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7">
    <w:name w:val="Char Char Char Char Char Char Char"/>
    <w:basedOn w:val="18"/>
    <w:qFormat/>
    <w:uiPriority w:val="0"/>
    <w:rPr>
      <w:rFonts w:ascii="宋体" w:hAnsi="Tahoma"/>
    </w:rPr>
  </w:style>
  <w:style w:type="paragraph" w:customStyle="1" w:styleId="148">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6">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7">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8">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9">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60">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1">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3"/>
    <w:next w:val="1"/>
    <w:qFormat/>
    <w:uiPriority w:val="0"/>
    <w:pPr>
      <w:spacing w:before="240" w:beforeLines="0" w:beforeAutospacing="0" w:after="720" w:afterLines="0" w:afterAutospacing="0"/>
    </w:pPr>
    <w:rPr>
      <w:sz w:val="28"/>
    </w:rPr>
  </w:style>
  <w:style w:type="paragraph" w:customStyle="1" w:styleId="170">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 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6">
    <w:name w:val=" 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1">
    <w:name w:val=" 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 Char Char Char"/>
    <w:basedOn w:val="1"/>
    <w:qFormat/>
    <w:uiPriority w:val="0"/>
    <w:rPr>
      <w:rFonts w:ascii="Tahoma" w:hAnsi="Tahoma"/>
      <w:sz w:val="24"/>
    </w:rPr>
  </w:style>
  <w:style w:type="paragraph" w:customStyle="1" w:styleId="200">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8">
    <w:name w:val="正文表格"/>
    <w:basedOn w:val="1"/>
    <w:qFormat/>
    <w:uiPriority w:val="0"/>
    <w:pPr>
      <w:adjustRightInd w:val="0"/>
      <w:spacing w:before="40" w:beforeLines="0" w:beforeAutospacing="0" w:after="40" w:afterLines="0" w:afterAutospacing="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0"/>
    <w:qFormat/>
    <w:uiPriority w:val="0"/>
    <w:pPr>
      <w:adjustRightInd w:val="0"/>
    </w:pPr>
    <w:rPr>
      <w:color w:val="000000"/>
      <w:lang w:val="en-GB"/>
    </w:rPr>
  </w:style>
  <w:style w:type="paragraph" w:customStyle="1" w:styleId="211">
    <w:name w:val="Body Text Indent 2"/>
    <w:basedOn w:val="1"/>
    <w:qFormat/>
    <w:uiPriority w:val="0"/>
    <w:pPr>
      <w:adjustRightInd w:val="0"/>
      <w:spacing w:before="120" w:beforeLines="0" w:beforeAutospacing="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3">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afterLines="0" w:afterAutospacing="0" w:line="360" w:lineRule="auto"/>
      <w:ind w:firstLine="200" w:firstLineChars="200"/>
    </w:pPr>
    <w:rPr>
      <w:sz w:val="24"/>
    </w:rPr>
  </w:style>
  <w:style w:type="paragraph" w:customStyle="1" w:styleId="226">
    <w:name w:val=" Char"/>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 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 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59"/>
    <w:link w:val="30"/>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4">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5">
    <w:name w:val="Table Paragraph"/>
    <w:basedOn w:val="1"/>
    <w:qFormat/>
    <w:uiPriority w:val="1"/>
    <w:pPr>
      <w:autoSpaceDE w:val="0"/>
      <w:autoSpaceDN w:val="0"/>
      <w:spacing w:before="99"/>
      <w:jc w:val="left"/>
    </w:pPr>
    <w:rPr>
      <w:rFonts w:hAnsi="宋体" w:cs="宋体"/>
      <w:sz w:val="22"/>
      <w:szCs w:val="22"/>
      <w:lang w:val="zh-CN" w:bidi="zh-CN"/>
    </w:rPr>
  </w:style>
  <w:style w:type="paragraph" w:customStyle="1" w:styleId="246">
    <w:name w:val="无间隔1"/>
    <w:qFormat/>
    <w:uiPriority w:val="99"/>
    <w:pPr>
      <w:widowControl w:val="0"/>
      <w:jc w:val="both"/>
    </w:pPr>
    <w:rPr>
      <w:rFonts w:ascii="Times New Roman" w:hAnsi="Times New Roman" w:eastAsia="宋体" w:cs="Calibri"/>
      <w:kern w:val="2"/>
      <w:sz w:val="21"/>
      <w:szCs w:val="21"/>
      <w:lang w:val="en-US" w:eastAsia="zh-CN" w:bidi="ar-SA"/>
    </w:rPr>
  </w:style>
  <w:style w:type="character" w:customStyle="1" w:styleId="247">
    <w:name w:val="font31"/>
    <w:basedOn w:val="59"/>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346</TotalTime>
  <ScaleCrop>false</ScaleCrop>
  <LinksUpToDate>false</LinksUpToDate>
  <CharactersWithSpaces>13743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Administrator</cp:lastModifiedBy>
  <cp:lastPrinted>2015-03-25T02:14:00Z</cp:lastPrinted>
  <dcterms:modified xsi:type="dcterms:W3CDTF">2026-06-02T08:30:27Z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1614AECAD3D142579AC42AA01EEFAF68</vt:lpwstr>
  </property>
</Properties>
</file>