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pPr>
      <w:r>
        <w:t>重庆医科大学附属儿童医院两江院区污水站室外埋地消防管网漏水改造维修市场调查公示</w:t>
      </w:r>
    </w:p>
    <w:p>
      <w:pPr>
        <w:pStyle w:val="2"/>
        <w:numPr>
          <w:ilvl w:val="0"/>
          <w:numId w:val="1"/>
        </w:numPr>
        <w:topLinePunct w:val="0"/>
        <w:ind w:left="0" w:leftChars="0" w:firstLine="0" w:firstLineChars="0"/>
        <w:rPr>
          <w:rFonts w:hint="eastAsia" w:ascii="黑体" w:hAnsi="黑体" w:eastAsia="黑体" w:cs="黑体"/>
          <w:b w:val="0"/>
        </w:rPr>
      </w:pPr>
      <w:r>
        <w:t>项目概况</w:t>
      </w:r>
    </w:p>
    <w:p>
      <w:pPr>
        <w:pStyle w:val="11"/>
        <w:numPr>
          <w:ilvl w:val="0"/>
          <w:numId w:val="2"/>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项目名称：重庆医科大学附属儿童医院两江院区污水站室外埋地消防管网漏水改造维修</w:t>
      </w:r>
    </w:p>
    <w:p>
      <w:pPr>
        <w:pStyle w:val="11"/>
        <w:numPr>
          <w:ilvl w:val="0"/>
          <w:numId w:val="2"/>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项目地点：重庆医科大学附属儿童医院两江院区污水站区域</w:t>
      </w:r>
    </w:p>
    <w:p>
      <w:pPr>
        <w:pStyle w:val="11"/>
        <w:numPr>
          <w:ilvl w:val="0"/>
          <w:numId w:val="2"/>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项目背景：两江院区污水站室外埋地消防管网因使用年限及地质条件等因素，出现管网漏水问题，导致消防系统压力不稳定，存在消防安全隐患。为保障院区消防安全，需对该区域漏水的消防管网进行改造维修。</w:t>
      </w:r>
    </w:p>
    <w:p>
      <w:pPr>
        <w:pStyle w:val="11"/>
        <w:numPr>
          <w:ilvl w:val="0"/>
          <w:numId w:val="2"/>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主要内容：对污水站室外埋地消防管网进行全面检测，确定漏水点位置及损坏程度；根据检测结果制定维修方案，对损坏的管道进行更换、修复或重新敷设；维修完成后进行压力测试及系统调试，确保消防管网恢复正常使用功能。</w:t>
      </w:r>
    </w:p>
    <w:p>
      <w:pPr>
        <w:pStyle w:val="2"/>
        <w:numPr>
          <w:ilvl w:val="0"/>
          <w:numId w:val="1"/>
        </w:numPr>
        <w:topLinePunct w:val="0"/>
        <w:ind w:left="0" w:leftChars="0" w:firstLine="0" w:firstLineChars="0"/>
        <w:rPr>
          <w:rFonts w:hint="eastAsia" w:ascii="黑体" w:hAnsi="黑体" w:eastAsia="黑体" w:cs="黑体"/>
          <w:b w:val="0"/>
        </w:rPr>
      </w:pPr>
      <w:r>
        <w:t>调查方式</w:t>
      </w:r>
    </w:p>
    <w:p>
      <w:pPr>
        <w:pStyle w:val="3"/>
        <w:numPr>
          <w:ilvl w:val="0"/>
          <w:numId w:val="3"/>
        </w:numPr>
        <w:topLinePunct w:val="0"/>
        <w:ind w:left="0" w:leftChars="0" w:firstLine="0" w:firstLineChars="0"/>
        <w:rPr>
          <w:rFonts w:hint="eastAsia" w:ascii="黑体" w:hAnsi="黑体" w:eastAsia="黑体" w:cs="黑体"/>
          <w:b w:val="0"/>
        </w:rPr>
      </w:pPr>
      <w:r>
        <w:t>资质要求</w:t>
      </w:r>
    </w:p>
    <w:p>
      <w:pPr>
        <w:pStyle w:val="11"/>
        <w:numPr>
          <w:ilvl w:val="0"/>
          <w:numId w:val="4"/>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企业资质：具备独立法人资格，持有有效的营业执照。</w:t>
      </w:r>
    </w:p>
    <w:p>
      <w:pPr>
        <w:pStyle w:val="11"/>
        <w:numPr>
          <w:ilvl w:val="0"/>
          <w:numId w:val="4"/>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行业资质：具备消防设施工程专业承包二级及以上资质，或市政公用工程施工总承包三级及以上资质（可承担相应的消防管网维修工程）。</w:t>
      </w:r>
    </w:p>
    <w:p>
      <w:pPr>
        <w:pStyle w:val="11"/>
        <w:numPr>
          <w:ilvl w:val="0"/>
          <w:numId w:val="4"/>
        </w:numPr>
        <w:ind w:left="0" w:leftChars="0" w:firstLine="480" w:firstLineChars="0"/>
        <w:rPr>
          <w:rFonts w:ascii="Times New Roman" w:hAnsi="Times New Roman" w:eastAsia="宋体" w:cs="Times New Roman"/>
          <w:b w:val="0"/>
          <w:sz w:val="24"/>
          <w:szCs w:val="24"/>
        </w:rPr>
      </w:pPr>
      <w:bookmarkStart w:id="0" w:name="_GoBack"/>
      <w:bookmarkEnd w:id="0"/>
      <w:r>
        <w:rPr>
          <w:rFonts w:ascii="Times New Roman" w:hAnsi="Times New Roman" w:eastAsia="宋体" w:cs="Times New Roman"/>
          <w:sz w:val="24"/>
          <w:szCs w:val="24"/>
        </w:rPr>
        <w:t>其他要求：具备有效的安全生产许可证，无重大违法违规记录，在“信用中国”等平台无不良信用信息。</w:t>
      </w:r>
    </w:p>
    <w:p>
      <w:pPr>
        <w:pStyle w:val="3"/>
        <w:numPr>
          <w:ilvl w:val="0"/>
          <w:numId w:val="3"/>
        </w:numPr>
        <w:topLinePunct w:val="0"/>
        <w:ind w:left="0" w:leftChars="0" w:firstLine="0" w:firstLineChars="0"/>
        <w:rPr>
          <w:rFonts w:hint="eastAsia" w:ascii="黑体" w:hAnsi="黑体" w:eastAsia="黑体" w:cs="黑体"/>
          <w:b w:val="0"/>
        </w:rPr>
      </w:pPr>
      <w:r>
        <w:t>现场踏勘</w:t>
      </w:r>
    </w:p>
    <w:p>
      <w:pPr>
        <w:pStyle w:val="11"/>
        <w:rPr>
          <w:rFonts w:ascii="Times New Roman" w:hAnsi="Times New Roman" w:eastAsia="宋体" w:cs="Times New Roman"/>
          <w:sz w:val="24"/>
          <w:szCs w:val="24"/>
        </w:rPr>
      </w:pPr>
      <w:r>
        <w:rPr>
          <w:rFonts w:ascii="Times New Roman" w:hAnsi="Times New Roman" w:eastAsia="宋体" w:cs="Times New Roman"/>
          <w:sz w:val="24"/>
          <w:szCs w:val="24"/>
        </w:rPr>
        <w:t>报名单位需于2026年</w:t>
      </w:r>
      <w:r>
        <w:rPr>
          <w:rFonts w:hint="eastAsia" w:cs="Times New Roman"/>
          <w:sz w:val="24"/>
          <w:szCs w:val="24"/>
          <w:lang w:val="en-US" w:eastAsia="zh-CN"/>
        </w:rPr>
        <w:t>6</w:t>
      </w:r>
      <w:r>
        <w:rPr>
          <w:rFonts w:ascii="Times New Roman" w:hAnsi="Times New Roman" w:eastAsia="宋体" w:cs="Times New Roman"/>
          <w:sz w:val="24"/>
          <w:szCs w:val="24"/>
        </w:rPr>
        <w:t>月</w:t>
      </w:r>
      <w:r>
        <w:rPr>
          <w:rFonts w:hint="eastAsia" w:cs="Times New Roman"/>
          <w:sz w:val="24"/>
          <w:szCs w:val="24"/>
          <w:lang w:val="en-US" w:eastAsia="zh-CN"/>
        </w:rPr>
        <w:t>5</w:t>
      </w:r>
      <w:r>
        <w:rPr>
          <w:rFonts w:ascii="Times New Roman" w:hAnsi="Times New Roman" w:eastAsia="宋体" w:cs="Times New Roman"/>
          <w:sz w:val="24"/>
          <w:szCs w:val="24"/>
        </w:rPr>
        <w:t>日</w:t>
      </w:r>
      <w:r>
        <w:rPr>
          <w:rFonts w:hint="eastAsia" w:cs="Times New Roman"/>
          <w:sz w:val="24"/>
          <w:szCs w:val="24"/>
          <w:lang w:val="en-US" w:eastAsia="zh-CN"/>
        </w:rPr>
        <w:t>前</w:t>
      </w:r>
      <w:r>
        <w:rPr>
          <w:rFonts w:ascii="Times New Roman" w:hAnsi="Times New Roman" w:eastAsia="宋体" w:cs="Times New Roman"/>
          <w:sz w:val="24"/>
          <w:szCs w:val="24"/>
        </w:rPr>
        <w:t>，到重庆医科大学附属儿童医院两江院区污水站现场踏勘，了解管网实际情况。</w:t>
      </w:r>
    </w:p>
    <w:p>
      <w:pPr>
        <w:pStyle w:val="2"/>
        <w:numPr>
          <w:ilvl w:val="0"/>
          <w:numId w:val="1"/>
        </w:numPr>
        <w:topLinePunct w:val="0"/>
        <w:ind w:left="0" w:leftChars="0" w:firstLine="0" w:firstLineChars="0"/>
        <w:rPr>
          <w:rFonts w:hint="eastAsia" w:ascii="黑体" w:hAnsi="黑体" w:eastAsia="黑体" w:cs="黑体"/>
          <w:b w:val="0"/>
        </w:rPr>
      </w:pPr>
      <w:r>
        <w:t>技术要求</w:t>
      </w:r>
    </w:p>
    <w:p>
      <w:pPr>
        <w:pStyle w:val="11"/>
        <w:numPr>
          <w:ilvl w:val="0"/>
          <w:numId w:val="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检测要求：采用专业的管道检测技术（如管道内窥镜、声呐检测、压力测试等），准确查找漏水点，提供详细的检测报告，包括漏水点位置、数量、管道损坏情况等。</w:t>
      </w:r>
    </w:p>
    <w:p>
      <w:pPr>
        <w:pStyle w:val="11"/>
        <w:numPr>
          <w:ilvl w:val="0"/>
          <w:numId w:val="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材料要求：维修更换的管道及配件需符合国家现行标准及设计要求，具有产品合格证、检验报告等质量证明文件；优先选用耐腐蚀、使用寿命长的管材（如球墨铸铁管、PE管等）。</w:t>
      </w:r>
    </w:p>
    <w:p>
      <w:pPr>
        <w:pStyle w:val="11"/>
        <w:numPr>
          <w:ilvl w:val="0"/>
          <w:numId w:val="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施工要求：严格按照国家及行业相关施工规范进行施工，做好施工前的现场勘查和安全技术交底；施工过程中采取有效的防护措施，避免对周边环境、地下管线及建筑物造成损坏；对开挖的沟槽及时进行支护，确保施工安全；管道安装完成后进行冲洗、试压，试验压力符合设计及规范要求。</w:t>
      </w:r>
    </w:p>
    <w:p>
      <w:pPr>
        <w:pStyle w:val="11"/>
        <w:numPr>
          <w:ilvl w:val="0"/>
          <w:numId w:val="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质量要求：工程质量需达到国家现行《建筑给水排水及采暖工程施工质量验收规范》（GB 50242）、《消防设施通用规范》（GB 55036）等相关标准的合格等级，确保消防管网无渗漏、压力稳定、排水通畅。</w:t>
      </w:r>
    </w:p>
    <w:p>
      <w:pPr>
        <w:pStyle w:val="11"/>
        <w:numPr>
          <w:ilvl w:val="0"/>
          <w:numId w:val="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工期要求：自合同签订之日起，总工期不超过30个日历天（具体工期可根据现场实际情况协商确定，但需满足院区消防安全紧急需求）。</w:t>
      </w:r>
    </w:p>
    <w:p>
      <w:pPr>
        <w:pStyle w:val="2"/>
        <w:numPr>
          <w:ilvl w:val="0"/>
          <w:numId w:val="1"/>
        </w:numPr>
        <w:topLinePunct w:val="0"/>
        <w:ind w:left="0" w:leftChars="0" w:firstLine="0" w:firstLineChars="0"/>
        <w:rPr>
          <w:rFonts w:hint="eastAsia" w:ascii="黑体" w:hAnsi="黑体" w:eastAsia="黑体" w:cs="黑体"/>
          <w:b w:val="0"/>
        </w:rPr>
      </w:pPr>
      <w:r>
        <w:t>报价要求</w:t>
      </w:r>
    </w:p>
    <w:p>
      <w:pPr>
        <w:pStyle w:val="11"/>
        <w:numPr>
          <w:ilvl w:val="0"/>
          <w:numId w:val="6"/>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报价范围：包括但不限于项目涉及的管道检测费、材料费（管道、配件、阀门等）、人工费、机械使用费、管理费、利润、税金、措施项目费（如沟槽开挖与回填、支护、降水等）、不可预见费及售后服务等所有费用。</w:t>
      </w:r>
    </w:p>
    <w:p>
      <w:pPr>
        <w:pStyle w:val="11"/>
        <w:numPr>
          <w:ilvl w:val="0"/>
          <w:numId w:val="6"/>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报价方式：采用固定总价报价，报价应详细列出各项费用构成，标明主要材料的品牌、规格、型号及单价。</w:t>
      </w:r>
    </w:p>
    <w:p>
      <w:pPr>
        <w:pStyle w:val="11"/>
        <w:numPr>
          <w:ilvl w:val="0"/>
          <w:numId w:val="6"/>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报价有效期：自报价截止之日起90天内有效。</w:t>
      </w:r>
    </w:p>
    <w:p>
      <w:pPr>
        <w:pStyle w:val="2"/>
        <w:numPr>
          <w:ilvl w:val="0"/>
          <w:numId w:val="1"/>
        </w:numPr>
        <w:topLinePunct w:val="0"/>
        <w:ind w:left="0" w:leftChars="0" w:firstLine="0" w:firstLineChars="0"/>
        <w:rPr>
          <w:rFonts w:hint="eastAsia" w:ascii="黑体" w:hAnsi="黑体" w:eastAsia="黑体" w:cs="黑体"/>
          <w:b w:val="0"/>
        </w:rPr>
      </w:pPr>
      <w:r>
        <w:t>售后服务要求</w:t>
      </w:r>
    </w:p>
    <w:p>
      <w:pPr>
        <w:pStyle w:val="11"/>
        <w:numPr>
          <w:ilvl w:val="0"/>
          <w:numId w:val="7"/>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保修期：工程竣工验收合格后，提供至少2年的免费保修期，保修期内如出现质量问题，施工单位需在接到通知后24小时内到场维修，并承担相关费用。</w:t>
      </w:r>
    </w:p>
    <w:p>
      <w:pPr>
        <w:pStyle w:val="11"/>
        <w:numPr>
          <w:ilvl w:val="0"/>
          <w:numId w:val="7"/>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技术支持：保修期内提供免费的技术咨询服务，对使用方提出的问题及时给予解答。</w:t>
      </w:r>
    </w:p>
    <w:p>
      <w:pPr>
        <w:pStyle w:val="2"/>
        <w:numPr>
          <w:ilvl w:val="0"/>
          <w:numId w:val="1"/>
        </w:numPr>
        <w:topLinePunct w:val="0"/>
        <w:ind w:left="0" w:leftChars="0" w:firstLine="0" w:firstLineChars="0"/>
        <w:rPr>
          <w:rFonts w:hint="eastAsia" w:ascii="黑体" w:hAnsi="黑体" w:eastAsia="黑体" w:cs="黑体"/>
          <w:b w:val="0"/>
        </w:rPr>
      </w:pPr>
      <w:r>
        <w:t>需提供的资料</w:t>
      </w:r>
    </w:p>
    <w:p>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企业营业执照副本复印件（加盖公章）；</w:t>
      </w:r>
    </w:p>
    <w:p>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相关行业资质证书复印件（加盖公章）；</w:t>
      </w:r>
    </w:p>
    <w:p>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安全生产许可证复印件（加盖公章）；</w:t>
      </w:r>
    </w:p>
    <w:p>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项目经理及技术负责人的资格证书、职称证书复印件（加盖公章）；</w:t>
      </w:r>
    </w:p>
    <w:p>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近三年内类似项目业绩证明材料（合同复印件等，加盖公章）；</w:t>
      </w:r>
    </w:p>
    <w:p>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详细的施工组织设计或维修方案（包括检测方案、施工工艺、进度计划、安全保障措施等）；</w:t>
      </w:r>
    </w:p>
    <w:p>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报价单（加盖公章）；</w:t>
      </w:r>
    </w:p>
    <w:p>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其他可证明企业实力的资料。</w:t>
      </w:r>
    </w:p>
    <w:p>
      <w:pPr>
        <w:pStyle w:val="2"/>
        <w:numPr>
          <w:ilvl w:val="0"/>
          <w:numId w:val="1"/>
        </w:numPr>
        <w:topLinePunct w:val="0"/>
        <w:ind w:left="0" w:leftChars="0" w:firstLine="0" w:firstLineChars="0"/>
        <w:rPr>
          <w:rFonts w:hint="eastAsia" w:ascii="黑体" w:hAnsi="黑体" w:eastAsia="黑体" w:cs="黑体"/>
          <w:b w:val="0"/>
        </w:rPr>
      </w:pPr>
      <w:r>
        <w:t>调查时间安排</w:t>
      </w:r>
    </w:p>
    <w:p>
      <w:pPr>
        <w:pStyle w:val="11"/>
        <w:numPr>
          <w:ilvl w:val="0"/>
          <w:numId w:val="9"/>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资料提交截止时间：</w:t>
      </w:r>
      <w:r>
        <w:rPr>
          <w:rFonts w:hint="eastAsia" w:cs="Times New Roman"/>
          <w:sz w:val="24"/>
          <w:szCs w:val="24"/>
          <w:lang w:val="en-US" w:eastAsia="zh-CN"/>
        </w:rPr>
        <w:t>2026</w:t>
      </w:r>
      <w:r>
        <w:rPr>
          <w:rFonts w:ascii="Times New Roman" w:hAnsi="Times New Roman" w:eastAsia="宋体" w:cs="Times New Roman"/>
          <w:sz w:val="24"/>
          <w:szCs w:val="24"/>
        </w:rPr>
        <w:t>年</w:t>
      </w:r>
      <w:r>
        <w:rPr>
          <w:rFonts w:hint="eastAsia" w:cs="Times New Roman"/>
          <w:sz w:val="24"/>
          <w:szCs w:val="24"/>
          <w:lang w:val="en-US" w:eastAsia="zh-CN"/>
        </w:rPr>
        <w:t>6</w:t>
      </w:r>
      <w:r>
        <w:rPr>
          <w:rFonts w:ascii="Times New Roman" w:hAnsi="Times New Roman" w:eastAsia="宋体" w:cs="Times New Roman"/>
          <w:sz w:val="24"/>
          <w:szCs w:val="24"/>
        </w:rPr>
        <w:t>月</w:t>
      </w:r>
      <w:r>
        <w:rPr>
          <w:rFonts w:hint="eastAsia" w:cs="Times New Roman"/>
          <w:sz w:val="24"/>
          <w:szCs w:val="24"/>
          <w:lang w:val="en-US" w:eastAsia="zh-CN"/>
        </w:rPr>
        <w:t>5</w:t>
      </w:r>
      <w:r>
        <w:rPr>
          <w:rFonts w:ascii="Times New Roman" w:hAnsi="Times New Roman" w:eastAsia="宋体" w:cs="Times New Roman"/>
          <w:sz w:val="24"/>
          <w:szCs w:val="24"/>
        </w:rPr>
        <w:t>日</w:t>
      </w:r>
      <w:r>
        <w:rPr>
          <w:rFonts w:hint="eastAsia" w:cs="Times New Roman"/>
          <w:sz w:val="24"/>
          <w:szCs w:val="24"/>
          <w:lang w:val="en-US" w:eastAsia="zh-CN"/>
        </w:rPr>
        <w:t>17</w:t>
      </w:r>
      <w:r>
        <w:rPr>
          <w:rFonts w:ascii="Times New Roman" w:hAnsi="Times New Roman" w:eastAsia="宋体" w:cs="Times New Roman"/>
          <w:sz w:val="24"/>
          <w:szCs w:val="24"/>
        </w:rPr>
        <w:t>时（北京时间）</w:t>
      </w:r>
    </w:p>
    <w:p>
      <w:pPr>
        <w:pStyle w:val="11"/>
        <w:numPr>
          <w:ilvl w:val="0"/>
          <w:numId w:val="9"/>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联系人及联系方式：联系人：</w:t>
      </w:r>
      <w:r>
        <w:rPr>
          <w:rFonts w:hint="eastAsia" w:cs="Times New Roman"/>
          <w:sz w:val="24"/>
          <w:szCs w:val="24"/>
          <w:lang w:val="en-US" w:eastAsia="zh-CN"/>
        </w:rPr>
        <w:t>赵老师</w:t>
      </w:r>
      <w:r>
        <w:rPr>
          <w:rFonts w:ascii="Times New Roman" w:hAnsi="Times New Roman" w:eastAsia="宋体" w:cs="Times New Roman"/>
          <w:sz w:val="24"/>
          <w:szCs w:val="24"/>
        </w:rPr>
        <w:t>；联系电话：</w:t>
      </w:r>
      <w:r>
        <w:rPr>
          <w:rFonts w:hint="eastAsia" w:cs="Times New Roman"/>
          <w:sz w:val="24"/>
          <w:szCs w:val="24"/>
          <w:lang w:val="en-US" w:eastAsia="zh-CN"/>
        </w:rPr>
        <w:t>68370996</w:t>
      </w:r>
      <w:r>
        <w:rPr>
          <w:rFonts w:ascii="Times New Roman" w:hAnsi="Times New Roman" w:eastAsia="宋体" w:cs="Times New Roman"/>
          <w:sz w:val="24"/>
          <w:szCs w:val="24"/>
        </w:rPr>
        <w:t>；电子邮箱：</w:t>
      </w:r>
      <w:r>
        <w:rPr>
          <w:rFonts w:hint="eastAsia" w:cs="Times New Roman"/>
          <w:sz w:val="24"/>
          <w:szCs w:val="24"/>
          <w:lang w:val="en-US" w:eastAsia="zh-CN"/>
        </w:rPr>
        <w:t>317973058@QQ.COM</w:t>
      </w:r>
    </w:p>
    <w:p>
      <w:pPr>
        <w:pStyle w:val="11"/>
        <w:numPr>
          <w:ilvl w:val="0"/>
          <w:numId w:val="9"/>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资料提交方式：将上述资料密封后（注明项目名称及单位名称）送达或邮寄至重庆医科大学附属儿童医院两江院区（地址：</w:t>
      </w:r>
      <w:r>
        <w:rPr>
          <w:rFonts w:hint="eastAsia" w:cs="Times New Roman"/>
          <w:sz w:val="24"/>
          <w:szCs w:val="24"/>
          <w:lang w:val="en-US" w:eastAsia="zh-CN"/>
        </w:rPr>
        <w:t>医技楼LG层保卫处办公室</w:t>
      </w:r>
      <w:r>
        <w:rPr>
          <w:rFonts w:ascii="Times New Roman" w:hAnsi="Times New Roman" w:eastAsia="宋体" w:cs="Times New Roman"/>
          <w:sz w:val="24"/>
          <w:szCs w:val="24"/>
        </w:rPr>
        <w:t>），同时将电子版资料上传到电子招投标平台。</w:t>
      </w:r>
    </w:p>
    <w:p>
      <w:pPr>
        <w:pStyle w:val="2"/>
        <w:numPr>
          <w:ilvl w:val="0"/>
          <w:numId w:val="1"/>
        </w:numPr>
        <w:topLinePunct w:val="0"/>
        <w:ind w:left="0" w:leftChars="0" w:firstLine="0" w:firstLineChars="0"/>
        <w:rPr>
          <w:rFonts w:hint="eastAsia" w:ascii="黑体" w:hAnsi="黑体" w:eastAsia="黑体" w:cs="黑体"/>
          <w:b w:val="0"/>
        </w:rPr>
      </w:pPr>
      <w:r>
        <w:t>其他事项</w:t>
      </w:r>
    </w:p>
    <w:p>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本次市场调查仅为项目前期信息收集，不构成正式招标或合同要约，医院保留根据调查结果调整项目内容及采购方式的权利。</w:t>
      </w:r>
    </w:p>
    <w:p>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参与单位提供的所有资料必须真实有效，如有弄虚作假，将取消其参与资格。</w:t>
      </w:r>
    </w:p>
    <w:p>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医院将组织相关人员对提交的资料进行审核，必要时可能进行现场考察或约谈。</w:t>
      </w:r>
    </w:p>
    <w:p>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本公示未尽事宜，可随时与联系人沟通。</w:t>
      </w:r>
    </w:p>
    <w:p>
      <w:pPr>
        <w:spacing w:line="360" w:lineRule="auto"/>
        <w:jc w:val="righ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重庆医科大学附属儿童医院</w:t>
      </w:r>
    </w:p>
    <w:p>
      <w:pPr>
        <w:spacing w:line="360" w:lineRule="auto"/>
        <w:jc w:val="righ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2026年5月27日  </w:t>
      </w:r>
    </w:p>
    <w:sectPr>
      <w:pgSz w:w="11906" w:h="16838"/>
      <w:pgMar w:top="1134" w:right="1134" w:bottom="1134" w:left="1134" w:header="851" w:footer="992" w:gutter="0"/>
      <w:pgBorders>
        <w:top w:val="none" w:sz="0" w:space="0"/>
        <w:left w:val="none" w:sz="0" w:space="0"/>
        <w:bottom w:val="none" w:sz="0" w:space="0"/>
        <w:right w:val="none" w:sz="0" w:space="0"/>
      </w:pgBorders>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2E2580"/>
    <w:multiLevelType w:val="singleLevel"/>
    <w:tmpl w:val="812E2580"/>
    <w:lvl w:ilvl="0" w:tentative="0">
      <w:start w:val="1"/>
      <w:numFmt w:val="decimal"/>
      <w:suff w:val="space"/>
      <w:lvlText w:val="%1."/>
      <w:lvlJc w:val="left"/>
      <w:pPr>
        <w:ind w:left="0" w:firstLine="480"/>
      </w:pPr>
      <w:rPr>
        <w:rFonts w:hint="default"/>
      </w:rPr>
    </w:lvl>
  </w:abstractNum>
  <w:abstractNum w:abstractNumId="1">
    <w:nsid w:val="8BF32AE8"/>
    <w:multiLevelType w:val="singleLevel"/>
    <w:tmpl w:val="8BF32AE8"/>
    <w:lvl w:ilvl="0" w:tentative="0">
      <w:start w:val="1"/>
      <w:numFmt w:val="chineseCounting"/>
      <w:suff w:val="nothing"/>
      <w:lvlText w:val="（%1）"/>
      <w:lvlJc w:val="left"/>
      <w:pPr>
        <w:ind w:left="0" w:firstLine="0"/>
      </w:pPr>
      <w:rPr>
        <w:rFonts w:hint="eastAsia"/>
      </w:rPr>
    </w:lvl>
  </w:abstractNum>
  <w:abstractNum w:abstractNumId="2">
    <w:nsid w:val="AC3763B2"/>
    <w:multiLevelType w:val="singleLevel"/>
    <w:tmpl w:val="AC3763B2"/>
    <w:lvl w:ilvl="0" w:tentative="0">
      <w:start w:val="1"/>
      <w:numFmt w:val="decimal"/>
      <w:suff w:val="space"/>
      <w:lvlText w:val="%1."/>
      <w:lvlJc w:val="left"/>
      <w:pPr>
        <w:ind w:left="0" w:firstLine="480"/>
      </w:pPr>
      <w:rPr>
        <w:rFonts w:hint="default"/>
      </w:rPr>
    </w:lvl>
  </w:abstractNum>
  <w:abstractNum w:abstractNumId="3">
    <w:nsid w:val="ACB89AAE"/>
    <w:multiLevelType w:val="singleLevel"/>
    <w:tmpl w:val="ACB89AAE"/>
    <w:lvl w:ilvl="0" w:tentative="0">
      <w:start w:val="1"/>
      <w:numFmt w:val="decimal"/>
      <w:suff w:val="space"/>
      <w:lvlText w:val="%1."/>
      <w:lvlJc w:val="left"/>
      <w:pPr>
        <w:ind w:left="0" w:firstLine="480"/>
      </w:pPr>
      <w:rPr>
        <w:rFonts w:hint="default"/>
      </w:rPr>
    </w:lvl>
  </w:abstractNum>
  <w:abstractNum w:abstractNumId="4">
    <w:nsid w:val="B9ABA582"/>
    <w:multiLevelType w:val="singleLevel"/>
    <w:tmpl w:val="B9ABA582"/>
    <w:lvl w:ilvl="0" w:tentative="0">
      <w:start w:val="1"/>
      <w:numFmt w:val="decimal"/>
      <w:suff w:val="space"/>
      <w:lvlText w:val="%1."/>
      <w:lvlJc w:val="left"/>
      <w:pPr>
        <w:ind w:left="0" w:firstLine="480"/>
      </w:pPr>
      <w:rPr>
        <w:rFonts w:hint="default"/>
      </w:rPr>
    </w:lvl>
  </w:abstractNum>
  <w:abstractNum w:abstractNumId="5">
    <w:nsid w:val="23CCEEBC"/>
    <w:multiLevelType w:val="singleLevel"/>
    <w:tmpl w:val="23CCEEBC"/>
    <w:lvl w:ilvl="0" w:tentative="0">
      <w:start w:val="1"/>
      <w:numFmt w:val="decimal"/>
      <w:suff w:val="space"/>
      <w:lvlText w:val="%1."/>
      <w:lvlJc w:val="left"/>
      <w:pPr>
        <w:ind w:left="0" w:firstLine="480"/>
      </w:pPr>
      <w:rPr>
        <w:rFonts w:hint="default"/>
      </w:rPr>
    </w:lvl>
  </w:abstractNum>
  <w:abstractNum w:abstractNumId="6">
    <w:nsid w:val="29BD585B"/>
    <w:multiLevelType w:val="singleLevel"/>
    <w:tmpl w:val="29BD585B"/>
    <w:lvl w:ilvl="0" w:tentative="0">
      <w:start w:val="1"/>
      <w:numFmt w:val="decimal"/>
      <w:suff w:val="space"/>
      <w:lvlText w:val="%1."/>
      <w:lvlJc w:val="left"/>
      <w:pPr>
        <w:ind w:left="0" w:firstLine="480"/>
      </w:pPr>
      <w:rPr>
        <w:rFonts w:hint="default"/>
      </w:rPr>
    </w:lvl>
  </w:abstractNum>
  <w:abstractNum w:abstractNumId="7">
    <w:nsid w:val="6877EA29"/>
    <w:multiLevelType w:val="singleLevel"/>
    <w:tmpl w:val="6877EA29"/>
    <w:lvl w:ilvl="0" w:tentative="0">
      <w:start w:val="1"/>
      <w:numFmt w:val="chineseCounting"/>
      <w:suff w:val="nothing"/>
      <w:lvlText w:val="%1、"/>
      <w:lvlJc w:val="left"/>
      <w:pPr>
        <w:ind w:left="0" w:firstLine="0"/>
      </w:pPr>
      <w:rPr>
        <w:rFonts w:hint="eastAsia"/>
      </w:rPr>
    </w:lvl>
  </w:abstractNum>
  <w:abstractNum w:abstractNumId="8">
    <w:nsid w:val="705D9513"/>
    <w:multiLevelType w:val="singleLevel"/>
    <w:tmpl w:val="705D9513"/>
    <w:lvl w:ilvl="0" w:tentative="0">
      <w:start w:val="1"/>
      <w:numFmt w:val="decimal"/>
      <w:suff w:val="space"/>
      <w:lvlText w:val="%1."/>
      <w:lvlJc w:val="left"/>
      <w:pPr>
        <w:ind w:left="0" w:firstLine="480"/>
      </w:pPr>
      <w:rPr>
        <w:rFonts w:hint="default"/>
      </w:rPr>
    </w:lvl>
  </w:abstractNum>
  <w:abstractNum w:abstractNumId="9">
    <w:nsid w:val="75B1E527"/>
    <w:multiLevelType w:val="singleLevel"/>
    <w:tmpl w:val="75B1E527"/>
    <w:lvl w:ilvl="0" w:tentative="0">
      <w:start w:val="1"/>
      <w:numFmt w:val="decimal"/>
      <w:suff w:val="space"/>
      <w:lvlText w:val="%1."/>
      <w:lvlJc w:val="left"/>
      <w:pPr>
        <w:ind w:left="0" w:firstLine="480"/>
      </w:pPr>
      <w:rPr>
        <w:rFonts w:hint="default"/>
      </w:rPr>
    </w:lvl>
  </w:abstractNum>
  <w:num w:numId="1">
    <w:abstractNumId w:val="7"/>
  </w:num>
  <w:num w:numId="2">
    <w:abstractNumId w:val="3"/>
  </w:num>
  <w:num w:numId="3">
    <w:abstractNumId w:val="1"/>
  </w:num>
  <w:num w:numId="4">
    <w:abstractNumId w:val="9"/>
  </w:num>
  <w:num w:numId="5">
    <w:abstractNumId w:val="5"/>
  </w:num>
  <w:num w:numId="6">
    <w:abstractNumId w:val="6"/>
  </w:num>
  <w:num w:numId="7">
    <w:abstractNumId w:val="8"/>
  </w:num>
  <w:num w:numId="8">
    <w:abstractNumId w:val="4"/>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2E598C"/>
    <w:rsid w:val="2C2E598C"/>
    <w:rsid w:val="4E474E50"/>
    <w:rsid w:val="4E7774C7"/>
    <w:rsid w:val="52F94E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semiHidden/>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semiHidden/>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semiHidden/>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semiHidden/>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semiHidden/>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semiHidden/>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semiHidden/>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5">
    <w:name w:val="Default Paragraph Font"/>
    <w:semiHidden/>
    <w:qFormat/>
    <w:uiPriority w:val="0"/>
  </w:style>
  <w:style w:type="table" w:default="1" w:styleId="14">
    <w:name w:val="Normal Table"/>
    <w:semiHidden/>
    <w:uiPriority w:val="0"/>
    <w:tblPr>
      <w:tblCellMar>
        <w:top w:w="0" w:type="dxa"/>
        <w:left w:w="108" w:type="dxa"/>
        <w:bottom w:w="0" w:type="dxa"/>
        <w:right w:w="108" w:type="dxa"/>
      </w:tblCellMar>
    </w:tblPr>
  </w:style>
  <w:style w:type="paragraph" w:styleId="11">
    <w:name w:val="Body Text"/>
    <w:qForma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3">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2026-05-27T03:03:00Z</dcterms:created>
  <dc:creator>刘英</dc:creator>
  <cp:lastModifiedBy>桃子宝贝</cp:lastModifiedBy>
  <dcterms:modified xsi:type="dcterms:W3CDTF">2026-05-28T06:33:31Z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903C894E6E42491085506402246FBEDE_11</vt:lpwstr>
  </property>
  <property fmtid="{D5CDD505-2E9C-101B-9397-08002B2CF9AE}" pid="4" name="KSOTemplateDocerSaveRecord">
    <vt:lpwstr>eyJoZGlkIjoiNzU3Y2YwZjJjYjlmNmI1MTMwMzQ4YWE3MzAwNGRmM2QiLCJ1c2VySWQiOiIyNjM1MTI3MDcifQ==</vt:lpwstr>
  </property>
</Properties>
</file>