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firstLine="0" w:firstLineChars="0"/>
        <w:jc w:val="center"/>
        <w:rPr>
          <w:rFonts w:ascii="宋体" w:hAnsi="宋体"/>
          <w:b/>
          <w:bCs/>
          <w:sz w:val="44"/>
          <w:szCs w:val="44"/>
          <w:lang w:eastAsia="zh-CN"/>
        </w:rPr>
      </w:pPr>
      <w:r>
        <w:rPr>
          <w:rFonts w:hint="eastAsia" w:ascii="宋体" w:hAnsi="宋体"/>
          <w:b/>
          <w:bCs/>
          <w:sz w:val="44"/>
          <w:szCs w:val="44"/>
          <w:lang w:eastAsia="zh-CN"/>
        </w:rPr>
        <w:t>住院医师规范化培训教学管理系统</w:t>
      </w:r>
    </w:p>
    <w:p>
      <w:pPr>
        <w:ind w:firstLine="0" w:firstLineChars="0"/>
        <w:jc w:val="center"/>
        <w:rPr>
          <w:rFonts w:hint="eastAsia" w:ascii="宋体" w:hAnsi="宋体"/>
          <w:b/>
          <w:bCs/>
          <w:sz w:val="44"/>
          <w:szCs w:val="44"/>
          <w:lang w:eastAsia="zh-CN"/>
        </w:rPr>
      </w:pPr>
      <w:r>
        <w:rPr>
          <w:rFonts w:hint="eastAsia" w:ascii="宋体" w:hAnsi="宋体"/>
          <w:b/>
          <w:bCs/>
          <w:sz w:val="44"/>
          <w:szCs w:val="44"/>
          <w:lang w:eastAsia="zh-CN"/>
        </w:rPr>
        <w:t>概况及要求</w:t>
      </w:r>
    </w:p>
    <w:p>
      <w:pPr>
        <w:ind w:firstLine="0" w:firstLineChars="0"/>
        <w:jc w:val="both"/>
        <w:rPr>
          <w:b/>
          <w:bCs/>
          <w:sz w:val="30"/>
          <w:szCs w:val="30"/>
          <w:lang w:eastAsia="zh-CN"/>
        </w:rPr>
      </w:pPr>
      <w:r>
        <w:rPr>
          <w:rFonts w:hint="eastAsia"/>
          <w:b/>
          <w:bCs/>
          <w:sz w:val="30"/>
          <w:szCs w:val="30"/>
          <w:lang w:eastAsia="zh-CN"/>
        </w:rPr>
        <w:t>一、项目概况</w:t>
      </w:r>
    </w:p>
    <w:p>
      <w:pPr>
        <w:pStyle w:val="20"/>
        <w:spacing w:before="78"/>
        <w:ind w:left="7" w:right="321" w:firstLine="478"/>
        <w:jc w:val="both"/>
        <w:rPr>
          <w:spacing w:val="-1"/>
          <w:szCs w:val="24"/>
          <w:lang w:eastAsia="zh-CN"/>
        </w:rPr>
      </w:pPr>
      <w:r>
        <w:rPr>
          <w:spacing w:val="-1"/>
          <w:szCs w:val="24"/>
          <w:lang w:eastAsia="zh-CN"/>
        </w:rPr>
        <w:t xml:space="preserve"> “</w:t>
      </w:r>
      <w:r>
        <w:rPr>
          <w:rFonts w:hint="eastAsia"/>
          <w:spacing w:val="-1"/>
          <w:szCs w:val="24"/>
          <w:lang w:eastAsia="zh-CN"/>
        </w:rPr>
        <w:t>住院医师规范化培训教学管理系统</w:t>
      </w:r>
      <w:r>
        <w:rPr>
          <w:spacing w:val="-86"/>
          <w:szCs w:val="24"/>
          <w:lang w:eastAsia="zh-CN"/>
        </w:rPr>
        <w:t xml:space="preserve"> </w:t>
      </w:r>
      <w:r>
        <w:rPr>
          <w:spacing w:val="-1"/>
          <w:szCs w:val="24"/>
          <w:lang w:eastAsia="zh-CN"/>
        </w:rPr>
        <w:t>”，</w:t>
      </w:r>
      <w:r>
        <w:rPr>
          <w:rFonts w:hint="eastAsia"/>
          <w:lang w:eastAsia="zh-CN"/>
        </w:rPr>
        <w:t xml:space="preserve"> </w:t>
      </w:r>
      <w:r>
        <w:rPr>
          <w:rFonts w:hint="default" w:ascii="Times New Roman" w:hAnsi="Times New Roman" w:cs="Times New Roman"/>
          <w:kern w:val="0"/>
          <w:szCs w:val="21"/>
          <w:highlight w:val="none"/>
          <w:lang w:eastAsia="zh-Hans"/>
        </w:rPr>
        <w:t>按照基本</w:t>
      </w:r>
      <w:r>
        <w:rPr>
          <w:rFonts w:hint="default" w:ascii="Times New Roman" w:hAnsi="Times New Roman" w:cs="Times New Roman"/>
          <w:kern w:val="0"/>
          <w:szCs w:val="21"/>
          <w:highlight w:val="none"/>
          <w:lang w:val="en-US" w:eastAsia="zh-CN"/>
        </w:rPr>
        <w:t>模块完整</w:t>
      </w:r>
      <w:r>
        <w:rPr>
          <w:rFonts w:hint="default" w:ascii="Times New Roman" w:hAnsi="Times New Roman" w:cs="Times New Roman"/>
          <w:kern w:val="0"/>
          <w:szCs w:val="21"/>
          <w:highlight w:val="none"/>
          <w:lang w:eastAsia="zh-Hans"/>
        </w:rPr>
        <w:t>、</w:t>
      </w:r>
      <w:r>
        <w:rPr>
          <w:rFonts w:hint="default" w:ascii="Times New Roman" w:hAnsi="Times New Roman" w:cs="Times New Roman"/>
          <w:kern w:val="0"/>
          <w:szCs w:val="21"/>
          <w:highlight w:val="none"/>
          <w:lang w:val="en-US" w:eastAsia="zh-CN"/>
        </w:rPr>
        <w:t>管理</w:t>
      </w:r>
      <w:r>
        <w:rPr>
          <w:rFonts w:hint="default" w:ascii="Times New Roman" w:hAnsi="Times New Roman" w:cs="Times New Roman"/>
          <w:kern w:val="0"/>
          <w:szCs w:val="21"/>
          <w:highlight w:val="none"/>
          <w:lang w:eastAsia="zh-Hans"/>
        </w:rPr>
        <w:t>流程规范、技术规范到位的要求，</w:t>
      </w:r>
      <w:r>
        <w:rPr>
          <w:rFonts w:hint="default" w:ascii="Times New Roman" w:hAnsi="Times New Roman" w:cs="Times New Roman"/>
          <w:kern w:val="0"/>
          <w:szCs w:val="21"/>
          <w:highlight w:val="none"/>
          <w:lang w:val="en-US" w:eastAsia="zh-CN"/>
        </w:rPr>
        <w:t>在</w:t>
      </w:r>
      <w:r>
        <w:rPr>
          <w:rFonts w:hint="eastAsia"/>
          <w:spacing w:val="-1"/>
          <w:szCs w:val="24"/>
          <w:lang w:eastAsia="zh-CN"/>
        </w:rPr>
        <w:t>住院医师规范化培训（</w:t>
      </w:r>
      <w:r>
        <w:rPr>
          <w:rFonts w:hint="eastAsia"/>
          <w:spacing w:val="-1"/>
          <w:szCs w:val="24"/>
          <w:lang w:val="en-US" w:eastAsia="zh-CN"/>
        </w:rPr>
        <w:t>以下简称：</w:t>
      </w:r>
      <w:r>
        <w:rPr>
          <w:rFonts w:hint="eastAsia" w:ascii="Times New Roman" w:hAnsi="Times New Roman" w:cs="Times New Roman"/>
          <w:kern w:val="0"/>
          <w:szCs w:val="21"/>
          <w:highlight w:val="none"/>
          <w:lang w:val="en-US" w:eastAsia="zh-CN"/>
        </w:rPr>
        <w:t>住培</w:t>
      </w:r>
      <w:r>
        <w:rPr>
          <w:rFonts w:hint="eastAsia"/>
          <w:spacing w:val="-1"/>
          <w:szCs w:val="24"/>
          <w:lang w:eastAsia="zh-CN"/>
        </w:rPr>
        <w:t>）</w:t>
      </w:r>
      <w:r>
        <w:rPr>
          <w:rFonts w:hint="default" w:ascii="Times New Roman" w:hAnsi="Times New Roman" w:cs="Times New Roman"/>
          <w:kern w:val="0"/>
          <w:szCs w:val="21"/>
          <w:highlight w:val="none"/>
          <w:lang w:val="en-US" w:eastAsia="zh-CN"/>
        </w:rPr>
        <w:t>日常教学管理要求、国家住培驻省评估和重庆市住培综合评价的基础上，完成信息化记录与整理，依托住培教学管理系统</w:t>
      </w:r>
      <w:r>
        <w:rPr>
          <w:rFonts w:hint="default" w:ascii="Times New Roman" w:hAnsi="Times New Roman" w:cs="Times New Roman"/>
          <w:kern w:val="0"/>
          <w:szCs w:val="21"/>
          <w:highlight w:val="none"/>
          <w:lang w:eastAsia="zh-Hans"/>
        </w:rPr>
        <w:t>进行数据采集、</w:t>
      </w:r>
      <w:r>
        <w:rPr>
          <w:rFonts w:hint="default" w:ascii="Times New Roman" w:hAnsi="Times New Roman" w:cs="Times New Roman"/>
          <w:kern w:val="0"/>
          <w:szCs w:val="21"/>
          <w:highlight w:val="none"/>
          <w:lang w:val="en-US" w:eastAsia="zh-CN"/>
        </w:rPr>
        <w:t>电子资料归档</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lang w:val="en-US" w:eastAsia="zh-CN"/>
        </w:rPr>
        <w:t>考核成绩分析与</w:t>
      </w:r>
      <w:r>
        <w:rPr>
          <w:rFonts w:hint="default" w:ascii="Times New Roman" w:hAnsi="Times New Roman" w:cs="Times New Roman"/>
          <w:kern w:val="0"/>
          <w:szCs w:val="21"/>
          <w:highlight w:val="none"/>
          <w:lang w:eastAsia="zh-Hans"/>
        </w:rPr>
        <w:t>和管理</w:t>
      </w:r>
      <w:r>
        <w:rPr>
          <w:rFonts w:hint="default" w:ascii="Times New Roman" w:hAnsi="Times New Roman" w:cs="Times New Roman"/>
          <w:kern w:val="0"/>
          <w:szCs w:val="21"/>
          <w:highlight w:val="none"/>
          <w:lang w:val="en-US" w:eastAsia="zh-CN"/>
        </w:rPr>
        <w:t>等</w:t>
      </w:r>
      <w:r>
        <w:rPr>
          <w:rFonts w:hint="default" w:ascii="Times New Roman" w:hAnsi="Times New Roman" w:cs="Times New Roman"/>
          <w:kern w:val="0"/>
          <w:szCs w:val="21"/>
          <w:highlight w:val="none"/>
          <w:lang w:eastAsia="zh-Hans"/>
        </w:rPr>
        <w:t>，建成集中管理、安全便捷、精准高效的</w:t>
      </w:r>
      <w:r>
        <w:rPr>
          <w:rFonts w:hint="default" w:ascii="Times New Roman" w:hAnsi="Times New Roman" w:cs="Times New Roman"/>
          <w:kern w:val="0"/>
          <w:szCs w:val="21"/>
          <w:highlight w:val="none"/>
          <w:lang w:val="en-US" w:eastAsia="zh-CN"/>
        </w:rPr>
        <w:t>住培教学管理</w:t>
      </w:r>
      <w:r>
        <w:rPr>
          <w:rFonts w:hint="default" w:ascii="Times New Roman" w:hAnsi="Times New Roman" w:cs="Times New Roman"/>
          <w:kern w:val="0"/>
          <w:szCs w:val="21"/>
          <w:highlight w:val="none"/>
          <w:lang w:eastAsia="zh-Hans"/>
        </w:rPr>
        <w:t>信息化管理体系</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lang w:eastAsia="zh-Hans"/>
        </w:rPr>
        <w:t>提高教学部门</w:t>
      </w:r>
      <w:r>
        <w:rPr>
          <w:rFonts w:hint="default" w:ascii="Times New Roman" w:hAnsi="Times New Roman" w:cs="Times New Roman"/>
          <w:kern w:val="0"/>
          <w:szCs w:val="21"/>
          <w:highlight w:val="none"/>
          <w:lang w:val="en-US" w:eastAsia="zh-CN"/>
        </w:rPr>
        <w:t>和临床、医技科室</w:t>
      </w:r>
      <w:r>
        <w:rPr>
          <w:rFonts w:hint="default" w:ascii="Times New Roman" w:hAnsi="Times New Roman" w:cs="Times New Roman"/>
          <w:kern w:val="0"/>
          <w:szCs w:val="21"/>
          <w:highlight w:val="none"/>
          <w:lang w:eastAsia="zh-Hans"/>
        </w:rPr>
        <w:t>的</w:t>
      </w:r>
      <w:r>
        <w:rPr>
          <w:rFonts w:hint="default" w:ascii="Times New Roman" w:hAnsi="Times New Roman" w:cs="Times New Roman"/>
          <w:kern w:val="0"/>
          <w:szCs w:val="21"/>
          <w:highlight w:val="none"/>
          <w:lang w:val="en-US" w:eastAsia="zh-CN"/>
        </w:rPr>
        <w:t>管理</w:t>
      </w:r>
      <w:r>
        <w:rPr>
          <w:rFonts w:hint="default" w:ascii="Times New Roman" w:hAnsi="Times New Roman" w:cs="Times New Roman"/>
          <w:kern w:val="0"/>
          <w:szCs w:val="21"/>
          <w:highlight w:val="none"/>
          <w:lang w:eastAsia="zh-Hans"/>
        </w:rPr>
        <w:t>效率</w:t>
      </w:r>
      <w:r>
        <w:rPr>
          <w:rFonts w:hint="default" w:ascii="Times New Roman" w:hAnsi="Times New Roman" w:cs="Times New Roman"/>
          <w:kern w:val="0"/>
          <w:szCs w:val="21"/>
          <w:highlight w:val="none"/>
          <w:lang w:val="en-US" w:eastAsia="zh-CN"/>
        </w:rPr>
        <w:t>和</w:t>
      </w:r>
      <w:r>
        <w:rPr>
          <w:rFonts w:hint="default" w:ascii="Times New Roman" w:hAnsi="Times New Roman" w:cs="Times New Roman"/>
          <w:kern w:val="0"/>
          <w:szCs w:val="21"/>
          <w:highlight w:val="none"/>
          <w:lang w:eastAsia="zh-Hans"/>
        </w:rPr>
        <w:t>教学质量</w:t>
      </w:r>
      <w:r>
        <w:rPr>
          <w:rFonts w:hint="eastAsia"/>
          <w:spacing w:val="-1"/>
          <w:szCs w:val="24"/>
          <w:lang w:eastAsia="zh-CN"/>
        </w:rPr>
        <w:t>。</w:t>
      </w:r>
    </w:p>
    <w:p>
      <w:pPr>
        <w:pStyle w:val="20"/>
        <w:spacing w:before="78"/>
        <w:ind w:right="321" w:firstLine="0" w:firstLineChars="0"/>
        <w:jc w:val="both"/>
        <w:rPr>
          <w:b/>
          <w:bCs/>
          <w:sz w:val="30"/>
          <w:szCs w:val="30"/>
          <w:lang w:eastAsia="zh-CN"/>
        </w:rPr>
      </w:pPr>
      <w:r>
        <w:rPr>
          <w:rFonts w:hint="eastAsia"/>
          <w:b/>
          <w:bCs/>
          <w:sz w:val="30"/>
          <w:szCs w:val="30"/>
          <w:lang w:eastAsia="zh-CN"/>
        </w:rPr>
        <w:t>二、功能描述</w:t>
      </w:r>
    </w:p>
    <w:tbl>
      <w:tblPr>
        <w:tblStyle w:val="33"/>
        <w:tblW w:w="92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418"/>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04" w:type="dxa"/>
            <w:vAlign w:val="center"/>
          </w:tcPr>
          <w:p>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
                <w:bCs/>
                <w:sz w:val="24"/>
              </w:rPr>
            </w:pPr>
            <w:r>
              <w:rPr>
                <w:rFonts w:hint="default" w:ascii="Times New Roman" w:hAnsi="Times New Roman" w:cs="Times New Roman"/>
                <w:b/>
                <w:bCs/>
                <w:sz w:val="24"/>
              </w:rPr>
              <w:t>序号</w:t>
            </w:r>
          </w:p>
        </w:tc>
        <w:tc>
          <w:tcPr>
            <w:tcW w:w="1418" w:type="dxa"/>
            <w:vAlign w:val="center"/>
          </w:tcPr>
          <w:p>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
                <w:bCs/>
                <w:sz w:val="24"/>
              </w:rPr>
            </w:pPr>
            <w:r>
              <w:rPr>
                <w:rFonts w:hint="default" w:ascii="Times New Roman" w:hAnsi="Times New Roman" w:cs="Times New Roman"/>
                <w:b/>
                <w:bCs/>
                <w:sz w:val="24"/>
              </w:rPr>
              <w:t>功能模块</w:t>
            </w:r>
          </w:p>
        </w:tc>
        <w:tc>
          <w:tcPr>
            <w:tcW w:w="7082" w:type="dxa"/>
            <w:vAlign w:val="center"/>
          </w:tcPr>
          <w:p>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
                <w:bCs/>
                <w:sz w:val="24"/>
              </w:rPr>
            </w:pPr>
            <w:r>
              <w:rPr>
                <w:rFonts w:hint="default" w:ascii="Times New Roman" w:hAnsi="Times New Roman" w:cs="Times New Roman"/>
                <w:b/>
                <w:bCs/>
                <w:sz w:val="24"/>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1</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总体要求</w:t>
            </w:r>
          </w:p>
        </w:tc>
        <w:tc>
          <w:tcPr>
            <w:tcW w:w="7082" w:type="dxa"/>
          </w:tcPr>
          <w:p>
            <w:pPr>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auto"/>
                <w:sz w:val="24"/>
                <w:szCs w:val="24"/>
                <w:highlight w:val="none"/>
                <w:lang w:eastAsia="zh-CN"/>
              </w:rPr>
              <w:t>支持PC端及移动端，</w:t>
            </w:r>
            <w:r>
              <w:rPr>
                <w:rFonts w:hint="eastAsia" w:ascii="Times New Roman" w:hAnsi="Times New Roman" w:cs="Times New Roman"/>
                <w:color w:val="auto"/>
                <w:sz w:val="24"/>
                <w:szCs w:val="24"/>
                <w:highlight w:val="none"/>
                <w:lang w:val="en-US" w:eastAsia="zh-CN"/>
              </w:rPr>
              <w:t>至少</w:t>
            </w:r>
            <w:r>
              <w:rPr>
                <w:rFonts w:hint="default" w:ascii="Times New Roman" w:hAnsi="Times New Roman" w:eastAsia="宋体" w:cs="Times New Roman"/>
                <w:color w:val="auto"/>
                <w:sz w:val="24"/>
                <w:szCs w:val="24"/>
                <w:highlight w:val="none"/>
                <w:lang w:eastAsia="zh-CN"/>
              </w:rPr>
              <w:t>支持1000个以上客户端同时上线访问服务器，支持用户和用户组权限统一设置维护；支持各教学管理模块运行在统一平台，数据共享。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auto"/>
                <w:sz w:val="24"/>
                <w:szCs w:val="24"/>
                <w:highlight w:val="none"/>
                <w:lang w:val="en-US" w:eastAsia="zh-CN"/>
              </w:rPr>
              <w:t>系统设置</w:t>
            </w:r>
          </w:p>
        </w:tc>
        <w:tc>
          <w:tcPr>
            <w:tcW w:w="7082" w:type="dxa"/>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科室管理支持树形多层级结构分布，科室树结构至少支持到5层。可将科室分成多个带教组，可设置轮转容量，发布科室介绍，允许一个科室秘书管理多个不同科室。支持为管理人员配置不同的分管科室，方便管理不同的科室及人员；</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2.支持基地和科室群组管理，可单独为基地、科室、督导建立不同群组，可将多个专业基地设为一个基地组，配置教学小组，将多个科室设置为一个科室组，配置带教小组；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9" w:hRule="atLeast"/>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3</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auto"/>
                <w:sz w:val="24"/>
                <w:szCs w:val="24"/>
                <w:highlight w:val="none"/>
                <w:lang w:val="en-US" w:eastAsia="zh-CN"/>
              </w:rPr>
              <w:t>通知提醒</w:t>
            </w:r>
          </w:p>
        </w:tc>
        <w:tc>
          <w:tcPr>
            <w:tcW w:w="7082" w:type="dxa"/>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1.支持配置各类提醒功能的开关起停用状态，需要支持对学员、带教老师、科室秘书等多种角色进行提醒；</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2.根据不同的角色显示不同的待办工作，方便管理人员及时掌握自己应处理的工作事项；</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3.支持微信服务通知模式，支持教学活动、考勤、出科申请等至少15种业务的微信通知服务，是否使用微信通知可逐项开关设置起停用状态，方便院方自定义选用。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4</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eastAsia" w:ascii="Times New Roman" w:hAnsi="Times New Roman" w:cs="Times New Roman"/>
                <w:color w:val="auto"/>
                <w:sz w:val="24"/>
                <w:szCs w:val="24"/>
                <w:highlight w:val="none"/>
                <w:lang w:val="en-US" w:eastAsia="zh-CN"/>
              </w:rPr>
              <w:t>住院医师</w:t>
            </w:r>
            <w:r>
              <w:rPr>
                <w:rFonts w:hint="default" w:ascii="Times New Roman" w:hAnsi="Times New Roman" w:eastAsia="宋体" w:cs="Times New Roman"/>
                <w:color w:val="auto"/>
                <w:sz w:val="24"/>
                <w:szCs w:val="24"/>
                <w:highlight w:val="none"/>
                <w:lang w:val="en-US" w:eastAsia="zh-CN"/>
              </w:rPr>
              <w:t>管理</w:t>
            </w:r>
          </w:p>
        </w:tc>
        <w:tc>
          <w:tcPr>
            <w:tcW w:w="7082" w:type="dxa"/>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1.轮转</w:t>
            </w:r>
            <w:r>
              <w:rPr>
                <w:rFonts w:hint="eastAsia" w:ascii="Times New Roman" w:hAnsi="Times New Roman" w:cs="Times New Roman"/>
                <w:color w:val="000000" w:themeColor="text1"/>
                <w:sz w:val="24"/>
                <w:szCs w:val="24"/>
                <w:lang w:val="en-US" w:eastAsia="zh-CN"/>
                <w14:textFill>
                  <w14:solidFill>
                    <w14:schemeClr w14:val="tx1"/>
                  </w14:solidFill>
                </w14:textFill>
              </w:rPr>
              <w:t>计划</w:t>
            </w:r>
            <w:r>
              <w:rPr>
                <w:rFonts w:hint="default" w:ascii="Times New Roman" w:hAnsi="Times New Roman" w:cs="Times New Roman"/>
                <w:color w:val="000000" w:themeColor="text1"/>
                <w:sz w:val="24"/>
                <w:szCs w:val="24"/>
                <w14:textFill>
                  <w14:solidFill>
                    <w14:schemeClr w14:val="tx1"/>
                  </w14:solidFill>
                </w14:textFill>
              </w:rPr>
              <w:t>：汇总记录学员的详细轮转情况，除轮转科室、出入科时间、带教老师等信息外，还能记录学员的毕结业情况、表彰奖励情况、差错事故情况、论文文章及证书记录等。</w:t>
            </w:r>
            <w:r>
              <w:rPr>
                <w:rFonts w:hint="eastAsia" w:ascii="Times New Roman" w:hAnsi="Times New Roman" w:cs="Times New Roman"/>
                <w:color w:val="000000" w:themeColor="text1"/>
                <w:sz w:val="24"/>
                <w:szCs w:val="24"/>
                <w:lang w:val="en-US" w:eastAsia="zh-CN"/>
                <w14:textFill>
                  <w14:solidFill>
                    <w14:schemeClr w14:val="tx1"/>
                  </w14:solidFill>
                </w14:textFill>
              </w:rPr>
              <w:t>有</w:t>
            </w:r>
            <w:r>
              <w:rPr>
                <w:rFonts w:hint="default" w:ascii="Times New Roman" w:hAnsi="Times New Roman" w:cs="Times New Roman"/>
                <w:color w:val="000000" w:themeColor="text1"/>
                <w:sz w:val="24"/>
                <w:szCs w:val="24"/>
                <w14:textFill>
                  <w14:solidFill>
                    <w14:schemeClr w14:val="tx1"/>
                  </w14:solidFill>
                </w14:textFill>
              </w:rPr>
              <w:t>与导师的师生定期互动记录；</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2.支持登记学员各类平时成绩，可单独登记学员年度考核、月度考核</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过程考核（含形成性评价项目）</w:t>
            </w:r>
            <w:r>
              <w:rPr>
                <w:rFonts w:hint="default" w:ascii="Times New Roman" w:hAnsi="Times New Roman" w:cs="Times New Roman"/>
                <w:color w:val="000000" w:themeColor="text1"/>
                <w:sz w:val="24"/>
                <w:szCs w:val="24"/>
                <w14:textFill>
                  <w14:solidFill>
                    <w14:schemeClr w14:val="tx1"/>
                  </w14:solidFill>
                </w14:textFill>
              </w:rPr>
              <w:t>分项成绩，支持登记执业医师资格证考试成绩，支持自定义分类考试成绩登记；</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3.支持管理部门批量导出多学员的照片附件，批量导出的人员名单可筛选范围，导出的压缩包文件中包含的照片文件名需支持管理人员自定义；</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4.支持学员档案汇总页面，在一个页面中显示学员档案综合信息。支持将学员档案直接导出生成在一份word文档中，该文档需包含学员的完整轮转</w:t>
            </w:r>
            <w:r>
              <w:rPr>
                <w:rFonts w:hint="eastAsia" w:ascii="Times New Roman" w:hAnsi="Times New Roman" w:cs="Times New Roman"/>
                <w:color w:val="000000" w:themeColor="text1"/>
                <w:sz w:val="24"/>
                <w:szCs w:val="24"/>
                <w:lang w:val="en-US" w:eastAsia="zh-CN"/>
                <w14:textFill>
                  <w14:solidFill>
                    <w14:schemeClr w14:val="tx1"/>
                  </w14:solidFill>
                </w14:textFill>
              </w:rPr>
              <w:t>计划</w:t>
            </w:r>
            <w:r>
              <w:rPr>
                <w:rFonts w:hint="default"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考试考核成绩，完成病例病种和</w:t>
            </w:r>
            <w:r>
              <w:rPr>
                <w:rFonts w:hint="default" w:ascii="Times New Roman" w:hAnsi="Times New Roman" w:cs="Times New Roman"/>
                <w:color w:val="000000" w:themeColor="text1"/>
                <w:sz w:val="24"/>
                <w:szCs w:val="24"/>
                <w14:textFill>
                  <w14:solidFill>
                    <w14:schemeClr w14:val="tx1"/>
                  </w14:solidFill>
                </w14:textFill>
              </w:rPr>
              <w:t>以及参加的教学活动清单；</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5</w:t>
            </w:r>
            <w:r>
              <w:rPr>
                <w:rFonts w:hint="default" w:ascii="Times New Roman" w:hAnsi="Times New Roman" w:cs="Times New Roman"/>
                <w:color w:val="000000" w:themeColor="text1"/>
                <w:sz w:val="24"/>
                <w:szCs w:val="24"/>
                <w14:textFill>
                  <w14:solidFill>
                    <w14:schemeClr w14:val="tx1"/>
                  </w14:solidFill>
                </w14:textFill>
              </w:rPr>
              <w:t>.支持各类人员统计报表，需支持统计在岗的学员人数、师资人数，能按月显示人员进出和变化情况，支持汇总学员的轮转</w:t>
            </w:r>
            <w:r>
              <w:rPr>
                <w:rFonts w:hint="eastAsia" w:ascii="Times New Roman" w:hAnsi="Times New Roman" w:cs="Times New Roman"/>
                <w:color w:val="000000" w:themeColor="text1"/>
                <w:sz w:val="24"/>
                <w:szCs w:val="24"/>
                <w:lang w:val="en-US" w:eastAsia="zh-CN"/>
                <w14:textFill>
                  <w14:solidFill>
                    <w14:schemeClr w14:val="tx1"/>
                  </w14:solidFill>
                </w14:textFill>
              </w:rPr>
              <w:t>计划</w:t>
            </w:r>
            <w:r>
              <w:rPr>
                <w:rFonts w:hint="default" w:ascii="Times New Roman" w:hAnsi="Times New Roman" w:cs="Times New Roman"/>
                <w:color w:val="000000" w:themeColor="text1"/>
                <w:sz w:val="24"/>
                <w:szCs w:val="24"/>
                <w14:textFill>
                  <w14:solidFill>
                    <w14:schemeClr w14:val="tx1"/>
                  </w14:solidFill>
                </w14:textFill>
              </w:rPr>
              <w:t>统计；</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6</w:t>
            </w:r>
            <w:r>
              <w:rPr>
                <w:rFonts w:hint="default" w:ascii="Times New Roman" w:hAnsi="Times New Roman" w:cs="Times New Roman"/>
                <w:color w:val="000000" w:themeColor="text1"/>
                <w:sz w:val="24"/>
                <w:szCs w:val="24"/>
                <w14:textFill>
                  <w14:solidFill>
                    <w14:schemeClr w14:val="tx1"/>
                  </w14:solidFill>
                </w14:textFill>
              </w:rPr>
              <w:t>.支持学员自行申请责任导师，支持申请优先第一人、顺位第二人，支持调剂。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5</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auto"/>
                <w:sz w:val="24"/>
                <w:szCs w:val="24"/>
                <w:highlight w:val="none"/>
                <w:lang w:val="en-US" w:eastAsia="zh-CN"/>
              </w:rPr>
              <w:t>轮转管理</w:t>
            </w:r>
          </w:p>
        </w:tc>
        <w:tc>
          <w:tcPr>
            <w:tcW w:w="7082" w:type="dxa"/>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1.系统内置西医2022国家标准</w:t>
            </w:r>
            <w:r>
              <w:rPr>
                <w:rFonts w:hint="eastAsia" w:ascii="Times New Roman" w:hAnsi="Times New Roman" w:cs="Times New Roman"/>
                <w:sz w:val="24"/>
                <w:szCs w:val="24"/>
                <w:lang w:eastAsia="zh-CN"/>
              </w:rPr>
              <w:t>，</w:t>
            </w:r>
            <w:r>
              <w:rPr>
                <w:rFonts w:hint="default" w:ascii="Times New Roman" w:hAnsi="Times New Roman" w:cs="Times New Roman"/>
                <w:sz w:val="24"/>
                <w:szCs w:val="24"/>
              </w:rPr>
              <w:t>支持不同参培年份的学员使用不同标准，可适配国家、省及自定义培训细则内容；</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2.智能排班：系统内置智能排版模块，支持按周/半月/月进行轮转排班；支持结合轮转排班模板、科室负载情况自动排班。支持排班结果微调后再发布，支持备份/还原/调整排班结果，支持批量调整后一次性发布；</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3.支持轮转计划批量导入，支持导入时由用户自行选择是否覆盖亦或清除，支持导入时由用户自行确定是否需要合并相同的轮转计划为一条；</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4.支持微调轮转计划，通过上下移或拖拽方式进行调整、支持轮转计划拆分、合并，支持学员轮转过程中阶段出科；</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支持自行配置出科的各类成绩项，可设置成绩项是否使用、是否必填才允许出科。支持设置成绩项权重，支持按权重自动计算出科总成绩。支持设置自定义成绩项，学员综合成绩只显示启用的成绩项，出科鉴定表能直观实时体现自定义成绩项；</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6.支持每个成绩项都可以上传佐证附件，并支持上传多个附件。支持配置教学小组并指定组长，支持配置签名，导出学员的轮转记录Word文档自动附带教学小组组长签字；</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7.支持学员自行登录管理后台维护和管理电子轮转手册，支持自行录入和批量导入电子轮转手册记录，支持学员直接查看轮转是否已经达到国家轮转大纲及细则规定的数量要求，支持直接查看国家轮转大纲及细则的手册；</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8.支持批量导出学员的全部轮转记录为一份Word，用于向相关单位申请结业。导出的具体章节内容可自行选择，至少应包含出科申请、出科小结、带教评语、出科考核结果、过程记录、教学活动记录，出科附件、病历书写照片等，支持自行选择是否导出全部轮转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6</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数据统计</w:t>
            </w:r>
          </w:p>
        </w:tc>
        <w:tc>
          <w:tcPr>
            <w:tcW w:w="7082" w:type="dxa"/>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1.支持学员自行登记电子轮转手册（登记手册），支持登记病种、技能、手术，支持因轮转计划调整导致的异常数据手工调整重新匹配到国家标准的细则要求项目；</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2.支持住培过程数据自动上报功能，满足主管单位数据收集要求，支持异常数据更新维护及重新上报；</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根据树形科室上下级报表统计需要，应支持下级科室的统计数据合并到上级科室数据、下级科室的数据单独体现与上级科室数据相互独立、上级数据自动虚拟为下一级单列数据上级数据合并下级所有科室数据等3种统计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7</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教学活动管理</w:t>
            </w:r>
          </w:p>
        </w:tc>
        <w:tc>
          <w:tcPr>
            <w:tcW w:w="7082" w:type="dxa"/>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1.教学活动类别可配置，支持配置病例讨论、教学查房、小讲课等不同教学活动类别各自的参数，支持自定义教学活动类别对应为国家标准教学活动类别；</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支持按教学活动类别配合不同的达标计算因子，自动计算达标。达标计算因子至少应包括签到率要求、现场照片数量要求、测评率要求等。达标教学活动展示时能与普通教学活动有明显区别，引导教学实施部门踊跃举办教学活动；</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3.支持全院公示标杆教学活动，并支持对公示活动进行留言及互动；</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4.支持动态二维码/静态二维码2种二维码生成方式，实现防伪及防止非现场扫码签到；</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5.支持各类课件和教案直接在线预览，需支持PDF、Word、Excel、PPT文档的在线预览；</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6.教学管理支持学员教员参活次数、教学类别次数年报等至少10种不同统计口径的月年报统计报表。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8</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督导管理</w:t>
            </w:r>
          </w:p>
        </w:tc>
        <w:tc>
          <w:tcPr>
            <w:tcW w:w="7082" w:type="dxa"/>
          </w:tcPr>
          <w:p>
            <w:pPr>
              <w:keepNext w:val="0"/>
              <w:keepLines w:val="0"/>
              <w:pageBreakBefore w:val="0"/>
              <w:widowControl w:val="0"/>
              <w:numPr>
                <w:ilvl w:val="0"/>
                <w:numId w:val="7"/>
              </w:numPr>
              <w:kinsoku/>
              <w:wordWrap/>
              <w:overflowPunct/>
              <w:topLinePunct w:val="0"/>
              <w:autoSpaceDE/>
              <w:autoSpaceDN/>
              <w:bidi w:val="0"/>
              <w:adjustRightInd/>
              <w:snapToGrid w:val="0"/>
              <w:spacing w:after="0" w:line="360" w:lineRule="auto"/>
              <w:ind w:firstLine="0" w:firstLineChars="0"/>
              <w:jc w:val="left"/>
              <w:textAlignment w:val="auto"/>
              <w:rPr>
                <w:rFonts w:hint="eastAsia"/>
                <w:lang w:eastAsia="zh-CN"/>
              </w:rPr>
            </w:pPr>
            <w:r>
              <w:rPr>
                <w:rFonts w:hint="default" w:ascii="Times New Roman" w:hAnsi="Times New Roman" w:cs="Times New Roman"/>
                <w:sz w:val="24"/>
                <w:szCs w:val="24"/>
              </w:rPr>
              <w:t>支持进行多种形式的督导，主要包括教学督导、科室督导、出科督导等；</w:t>
            </w:r>
          </w:p>
          <w:p>
            <w:pPr>
              <w:pStyle w:val="2"/>
              <w:ind w:left="0" w:leftChars="0" w:firstLine="0" w:firstLineChars="0"/>
              <w:rPr>
                <w:rFonts w:hint="default"/>
                <w:lang w:val="en-US" w:eastAsia="zh-CN"/>
              </w:rPr>
            </w:pPr>
            <w:r>
              <w:rPr>
                <w:rFonts w:hint="eastAsia" w:ascii="Times New Roman" w:hAnsi="Times New Roman" w:cs="Times New Roman"/>
                <w:sz w:val="24"/>
                <w:szCs w:val="24"/>
                <w:lang w:val="en-US" w:eastAsia="zh-CN"/>
              </w:rPr>
              <w:t>2.支持授权督导在线查询轮转计划、考核计划、教学活动计划和开展情况；</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.支持配置督导专家组，并指定专家组成员。支持批量、随机指定督导专家；</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rPr>
              <w:t>.支持在线填写整改报告，督导专家可审核并确认整改情况，支持导出督导报告。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9</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考勤请假管理</w:t>
            </w:r>
          </w:p>
        </w:tc>
        <w:tc>
          <w:tcPr>
            <w:tcW w:w="7082" w:type="dxa"/>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1.支持跨天打卡考勤，第一天晚上打卡签到跨到第二天能自动提示签退；</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2.支持设置是否允许补考勤，设置每周允许补考勤的次数，设置未排考勤班次时能自由打卡等各类考勤细节控制参数；</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3.支持扫码打卡(支持一天双卡，一天四卡)和定位打卡，支持可根据不同的考勤班次单独为每个班次设定是采用扫码打卡还是定位打卡，或者两者都用；</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4.支持自定义请假类型，每个请假类型可配置多个请假审核流程，每个流程都支持多角色审核；</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5.请假可关联补轮转计划，如果请假时间较长能自动追加请假时的轮转计划，以便达到国家规定的轮转时长要求；</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6.可自定义请假审核流程，根据请假天数设置不同的审核人员和审核环节，支持维护请假规定、安全协议等；</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7.支持上报/审核学员月度考勤数据。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10</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师资管理</w:t>
            </w:r>
          </w:p>
        </w:tc>
        <w:tc>
          <w:tcPr>
            <w:tcW w:w="7082" w:type="dxa"/>
            <w:tcBorders>
              <w:bottom w:val="single" w:color="auto" w:sz="4" w:space="0"/>
            </w:tcBorders>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sz w:val="24"/>
                <w:szCs w:val="24"/>
                <w:lang w:val="en-US" w:eastAsia="zh-CN"/>
              </w:rPr>
            </w:pPr>
            <w:r>
              <w:rPr>
                <w:rFonts w:hint="default"/>
                <w:sz w:val="24"/>
                <w:szCs w:val="24"/>
                <w:lang w:val="en-US" w:eastAsia="zh-CN"/>
              </w:rPr>
              <w:t>1.</w:t>
            </w:r>
            <w:r>
              <w:rPr>
                <w:rFonts w:hint="eastAsia"/>
                <w:sz w:val="24"/>
                <w:szCs w:val="24"/>
                <w:lang w:val="en-US" w:eastAsia="zh-CN"/>
              </w:rPr>
              <w:t>教学</w:t>
            </w:r>
            <w:r>
              <w:rPr>
                <w:rFonts w:hint="default"/>
                <w:sz w:val="24"/>
                <w:szCs w:val="24"/>
                <w:lang w:val="en-US" w:eastAsia="zh-CN"/>
              </w:rPr>
              <w:t>秘书科对教员提交的师资申请进行初步审核，并支持对在聘中的师资进行解聘申请；</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sz w:val="24"/>
                <w:szCs w:val="24"/>
                <w:lang w:val="en-US" w:eastAsia="zh-CN"/>
              </w:rPr>
            </w:pPr>
            <w:r>
              <w:rPr>
                <w:rFonts w:hint="default"/>
                <w:sz w:val="24"/>
                <w:szCs w:val="24"/>
                <w:lang w:val="en-US" w:eastAsia="zh-CN"/>
              </w:rPr>
              <w:t xml:space="preserve">2.管理师资信息，查看和管理院内所有师资信息、师聘记录、解聘记录； </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cs="Times New Roman"/>
                <w:sz w:val="24"/>
                <w:szCs w:val="24"/>
                <w:lang w:val="en-US" w:eastAsia="zh-CN"/>
              </w:rPr>
            </w:pPr>
            <w:r>
              <w:rPr>
                <w:rFonts w:hint="default"/>
                <w:sz w:val="24"/>
                <w:szCs w:val="24"/>
                <w:lang w:val="en-US" w:eastAsia="zh-CN"/>
              </w:rPr>
              <w:t>3.支持对教员提交的师资申请进行最终审核。支持对基地秘书提交的解聘</w:t>
            </w:r>
            <w:r>
              <w:rPr>
                <w:rFonts w:hint="default" w:cs="Times New Roman"/>
                <w:sz w:val="24"/>
                <w:szCs w:val="24"/>
                <w:lang w:val="en-US" w:eastAsia="zh-CN"/>
              </w:rPr>
              <w:t>申请进行审核；支持直接对师资进行解聘操作</w:t>
            </w:r>
            <w:r>
              <w:rPr>
                <w:rFonts w:hint="eastAsia"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cs="Times New Roman"/>
                <w:sz w:val="24"/>
                <w:szCs w:val="24"/>
                <w:lang w:val="en-US" w:eastAsia="zh-CN"/>
              </w:rPr>
            </w:pPr>
            <w:r>
              <w:rPr>
                <w:rFonts w:hint="eastAsia" w:cs="Times New Roman"/>
                <w:sz w:val="24"/>
                <w:szCs w:val="24"/>
                <w:lang w:val="en-US" w:eastAsia="zh-CN"/>
              </w:rPr>
              <w:t>4</w:t>
            </w:r>
            <w:r>
              <w:rPr>
                <w:rFonts w:hint="default" w:cs="Times New Roman"/>
                <w:sz w:val="24"/>
                <w:szCs w:val="24"/>
                <w:lang w:val="en-US" w:eastAsia="zh-CN"/>
              </w:rPr>
              <w:t>.师资情况：汇总记录师资的详细师资聘用解聘及教学情况，除带教学员记录、导师指导记录外，还能记录师资的培训进修情况、教学聘任情况、表彰奖励情况、差错事故情况、论文文章及证书记录等</w:t>
            </w:r>
            <w:r>
              <w:rPr>
                <w:rFonts w:hint="eastAsia"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cs="Times New Roman"/>
                <w:sz w:val="24"/>
                <w:szCs w:val="24"/>
                <w:lang w:val="en-US" w:eastAsia="zh-CN"/>
              </w:rPr>
            </w:pPr>
            <w:r>
              <w:rPr>
                <w:rFonts w:hint="eastAsia" w:cs="Times New Roman"/>
                <w:sz w:val="24"/>
                <w:szCs w:val="24"/>
                <w:lang w:val="en-US" w:eastAsia="zh-CN"/>
              </w:rPr>
              <w:t>5.支持记录</w:t>
            </w:r>
            <w:r>
              <w:rPr>
                <w:rFonts w:hint="default" w:cs="Times New Roman"/>
                <w:sz w:val="24"/>
                <w:szCs w:val="24"/>
                <w:lang w:val="en-US" w:eastAsia="zh-CN"/>
              </w:rPr>
              <w:t>需记录与指导学生的师生定期互动记录</w:t>
            </w:r>
            <w:r>
              <w:rPr>
                <w:rFonts w:hint="eastAsia"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sz w:val="24"/>
                <w:szCs w:val="24"/>
                <w:lang w:val="en-US" w:eastAsia="zh-CN"/>
              </w:rPr>
            </w:pPr>
            <w:r>
              <w:rPr>
                <w:rFonts w:hint="eastAsia" w:cs="Times New Roman"/>
                <w:sz w:val="24"/>
                <w:szCs w:val="24"/>
                <w:lang w:val="en-US" w:eastAsia="zh-CN"/>
              </w:rPr>
              <w:t>6.支持汇总师资的带教统计。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11</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结业管理</w:t>
            </w:r>
          </w:p>
        </w:tc>
        <w:tc>
          <w:tcPr>
            <w:tcW w:w="7082" w:type="dxa"/>
            <w:tcBorders>
              <w:top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Calibri" w:hAnsi="Calibri" w:eastAsia="宋体" w:cs="Times New Roman"/>
                <w:kern w:val="2"/>
                <w:sz w:val="24"/>
                <w:szCs w:val="24"/>
                <w:u w:val="none"/>
                <w:lang w:val="en-US" w:eastAsia="zh-CN" w:bidi="ar-SA"/>
              </w:rPr>
            </w:pPr>
            <w:r>
              <w:rPr>
                <w:rFonts w:hint="default" w:ascii="Calibri" w:hAnsi="Calibri" w:eastAsia="宋体" w:cs="Times New Roman"/>
                <w:kern w:val="2"/>
                <w:sz w:val="24"/>
                <w:szCs w:val="24"/>
                <w:u w:val="none"/>
                <w:lang w:val="en-US" w:eastAsia="zh-CN" w:bidi="ar-SA"/>
              </w:rPr>
              <w:t>1.支持学员发起毕结业申请，登记毕结业日期，就业去向，去向单位等信息。支持查询毕结业申请记录；</w:t>
            </w:r>
          </w:p>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Calibri" w:hAnsi="Calibri" w:eastAsia="宋体" w:cs="Times New Roman"/>
                <w:kern w:val="2"/>
                <w:sz w:val="24"/>
                <w:szCs w:val="24"/>
                <w:u w:val="none"/>
                <w:lang w:val="en-US" w:eastAsia="zh-CN" w:bidi="ar-SA"/>
              </w:rPr>
            </w:pPr>
            <w:r>
              <w:rPr>
                <w:rFonts w:hint="default" w:ascii="Calibri" w:hAnsi="Calibri" w:eastAsia="宋体" w:cs="Times New Roman"/>
                <w:kern w:val="2"/>
                <w:sz w:val="24"/>
                <w:szCs w:val="24"/>
                <w:u w:val="none"/>
                <w:lang w:val="en-US" w:eastAsia="zh-CN" w:bidi="ar-SA"/>
              </w:rPr>
              <w:t>2.可查询一个月、三个月、六个月内即将毕业的人员名单，用于科教管理部门提前准备结业相关事宜。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center"/>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12</w:t>
            </w:r>
          </w:p>
        </w:tc>
        <w:tc>
          <w:tcPr>
            <w:tcW w:w="1418" w:type="dxa"/>
            <w:vAlign w:val="center"/>
          </w:tcPr>
          <w:p>
            <w:pPr>
              <w:keepNext w:val="0"/>
              <w:keepLines w:val="0"/>
              <w:pageBreakBefore w:val="0"/>
              <w:widowControl w:val="0"/>
              <w:kinsoku/>
              <w:wordWrap/>
              <w:overflowPunct/>
              <w:topLinePunct w:val="0"/>
              <w:autoSpaceDE/>
              <w:autoSpaceDN/>
              <w:bidi w:val="0"/>
              <w:adjustRightInd/>
              <w:snapToGrid w:val="0"/>
              <w:spacing w:after="0" w:line="360" w:lineRule="auto"/>
              <w:ind w:firstLine="0" w:firstLineChars="0"/>
              <w:jc w:val="lef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考核与评价</w:t>
            </w:r>
          </w:p>
        </w:tc>
        <w:tc>
          <w:tcPr>
            <w:tcW w:w="7082" w:type="dxa"/>
            <w:tcBorders>
              <w:top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firstLine="0" w:firstLineChars="0"/>
              <w:jc w:val="left"/>
              <w:textAlignment w:val="auto"/>
              <w:rPr>
                <w:rFonts w:hint="eastAsia" w:cs="Times New Roman"/>
                <w:sz w:val="24"/>
                <w:szCs w:val="24"/>
                <w:lang w:val="en-US" w:eastAsia="zh-CN"/>
              </w:rPr>
            </w:pPr>
            <w:r>
              <w:rPr>
                <w:rFonts w:hint="eastAsia" w:cs="Times New Roman"/>
                <w:sz w:val="24"/>
                <w:szCs w:val="24"/>
                <w:lang w:val="en-US" w:eastAsia="zh-CN"/>
              </w:rPr>
              <w:t>1.支持形成性评价考核和雷达图，生成考核成绩变化趋势或住院医师成长曲线等；</w:t>
            </w:r>
          </w:p>
          <w:p>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firstLine="0" w:firstLineChars="0"/>
              <w:jc w:val="left"/>
              <w:textAlignment w:val="auto"/>
              <w:rPr>
                <w:rFonts w:hint="default" w:cs="Times New Roman"/>
                <w:sz w:val="24"/>
                <w:szCs w:val="24"/>
                <w:lang w:val="en-US" w:eastAsia="zh-CN"/>
              </w:rPr>
            </w:pPr>
            <w:r>
              <w:rPr>
                <w:rFonts w:hint="eastAsia" w:cs="Times New Roman"/>
                <w:sz w:val="24"/>
                <w:szCs w:val="24"/>
                <w:lang w:val="en-US" w:eastAsia="zh-CN"/>
              </w:rPr>
              <w:t>2.支持在线理论考核、技能考核成绩录入和住院医师综合评价；</w:t>
            </w:r>
          </w:p>
          <w:p>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firstLine="0" w:firstLineChars="0"/>
              <w:jc w:val="left"/>
              <w:textAlignment w:val="auto"/>
              <w:rPr>
                <w:rFonts w:hint="eastAsia" w:cs="Times New Roman"/>
                <w:sz w:val="24"/>
                <w:szCs w:val="24"/>
                <w:lang w:val="en-US" w:eastAsia="zh-CN"/>
              </w:rPr>
            </w:pPr>
            <w:r>
              <w:rPr>
                <w:rFonts w:hint="eastAsia" w:cs="Times New Roman"/>
                <w:sz w:val="24"/>
                <w:szCs w:val="24"/>
                <w:lang w:val="en-US" w:eastAsia="zh-CN"/>
              </w:rPr>
              <w:t>3.支持考核成绩整理与分析；</w:t>
            </w:r>
          </w:p>
          <w:p>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firstLine="0" w:firstLineChars="0"/>
              <w:jc w:val="left"/>
              <w:textAlignment w:val="auto"/>
              <w:rPr>
                <w:rFonts w:hint="eastAsia" w:cs="Times New Roman"/>
                <w:sz w:val="24"/>
                <w:szCs w:val="24"/>
                <w:lang w:val="en-US" w:eastAsia="zh-CN"/>
              </w:rPr>
            </w:pPr>
            <w:r>
              <w:rPr>
                <w:rFonts w:hint="eastAsia" w:cs="Times New Roman"/>
                <w:sz w:val="24"/>
                <w:szCs w:val="24"/>
                <w:lang w:val="en-US" w:eastAsia="zh-CN"/>
              </w:rPr>
              <w:t>4.支持理论考核试卷分析；</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firstLine="0" w:firstLineChars="0"/>
              <w:jc w:val="left"/>
              <w:textAlignment w:val="auto"/>
              <w:rPr>
                <w:rFonts w:hint="default"/>
                <w:sz w:val="24"/>
                <w:szCs w:val="24"/>
                <w:lang w:val="en-US" w:eastAsia="zh-CN"/>
              </w:rPr>
            </w:pPr>
            <w:r>
              <w:rPr>
                <w:rFonts w:hint="eastAsia" w:cs="Times New Roman"/>
                <w:sz w:val="24"/>
                <w:szCs w:val="24"/>
                <w:lang w:val="en-US" w:eastAsia="zh-CN"/>
              </w:rPr>
              <w:t>5.支持成绩导出等。</w:t>
            </w:r>
          </w:p>
        </w:tc>
      </w:tr>
    </w:tbl>
    <w:p>
      <w:pPr>
        <w:pStyle w:val="20"/>
        <w:spacing w:before="78"/>
        <w:ind w:right="321" w:firstLine="0" w:firstLineChars="0"/>
        <w:jc w:val="both"/>
        <w:rPr>
          <w:rFonts w:hint="eastAsia" w:ascii="宋体" w:hAnsi="宋体" w:cs="宋体"/>
          <w:sz w:val="28"/>
          <w:szCs w:val="28"/>
          <w:lang w:eastAsia="zh-CN"/>
        </w:rPr>
      </w:pPr>
    </w:p>
    <w:p>
      <w:pPr>
        <w:pStyle w:val="20"/>
        <w:spacing w:before="78"/>
        <w:ind w:right="321" w:firstLine="0" w:firstLineChars="0"/>
        <w:jc w:val="both"/>
        <w:rPr>
          <w:rFonts w:hint="eastAsia" w:eastAsia="宋体"/>
          <w:b/>
          <w:bCs/>
          <w:sz w:val="30"/>
          <w:szCs w:val="30"/>
          <w:lang w:eastAsia="zh-CN"/>
        </w:rPr>
      </w:pPr>
      <w:r>
        <w:rPr>
          <w:rFonts w:hint="eastAsia" w:eastAsia="宋体"/>
          <w:b/>
          <w:bCs/>
          <w:sz w:val="30"/>
          <w:szCs w:val="30"/>
          <w:lang w:val="en-US" w:eastAsia="zh-CN"/>
        </w:rPr>
        <w:t>三、</w:t>
      </w:r>
      <w:r>
        <w:rPr>
          <w:rFonts w:hint="eastAsia" w:eastAsia="宋体"/>
          <w:b/>
          <w:bCs/>
          <w:sz w:val="30"/>
          <w:szCs w:val="30"/>
          <w:lang w:eastAsia="zh-CN"/>
        </w:rPr>
        <w:t>质保及报价要求</w:t>
      </w:r>
    </w:p>
    <w:p>
      <w:pPr>
        <w:pStyle w:val="165"/>
        <w:ind w:firstLine="480" w:firstLineChars="200"/>
        <w:jc w:val="left"/>
        <w:rPr>
          <w:rFonts w:hint="eastAsia" w:ascii="宋体" w:hAnsi="宋体" w:eastAsia="宋体" w:cs="宋体"/>
          <w:szCs w:val="22"/>
          <w:lang w:eastAsia="zh-CN"/>
        </w:rPr>
      </w:pPr>
      <w:r>
        <w:rPr>
          <w:rFonts w:hint="eastAsia" w:ascii="宋体" w:hAnsi="宋体" w:eastAsia="宋体" w:cs="宋体"/>
          <w:szCs w:val="22"/>
        </w:rPr>
        <w:t>1.免费质保期为3年，在质保期内若现场系统软件问题由中标人无偿整改</w:t>
      </w:r>
      <w:r>
        <w:rPr>
          <w:rFonts w:hint="eastAsia" w:ascii="宋体" w:hAnsi="宋体" w:eastAsia="宋体" w:cs="宋体"/>
          <w:szCs w:val="22"/>
          <w:lang w:eastAsia="zh-CN"/>
        </w:rPr>
        <w:t>。</w:t>
      </w:r>
    </w:p>
    <w:p>
      <w:pPr>
        <w:pStyle w:val="165"/>
        <w:ind w:firstLine="480" w:firstLineChars="200"/>
        <w:jc w:val="left"/>
        <w:rPr>
          <w:rFonts w:hint="eastAsia" w:ascii="宋体" w:hAnsi="宋体" w:eastAsia="宋体" w:cs="宋体"/>
          <w:szCs w:val="22"/>
        </w:rPr>
      </w:pPr>
      <w:r>
        <w:rPr>
          <w:rFonts w:hint="eastAsia" w:ascii="宋体" w:hAnsi="宋体" w:eastAsia="宋体" w:cs="宋体"/>
          <w:szCs w:val="22"/>
        </w:rPr>
        <w:t>2.在免费质保期内，如系统出现问题，中标人技术服务人员应在2小时内作出响应，24小时内处理完毕，如24小时内未处理完毕须提供采购人认可的应急处理方案。除不可抗力和使用方责任外，费用全部由中标人承担。如果中标人在接到通知后未及时作出响应，中标人必须对由于故障所造成的损失后果负责。</w:t>
      </w:r>
    </w:p>
    <w:p>
      <w:pPr>
        <w:pStyle w:val="165"/>
        <w:ind w:firstLine="480" w:firstLineChars="200"/>
        <w:jc w:val="left"/>
        <w:rPr>
          <w:rFonts w:hint="eastAsia" w:ascii="宋体" w:hAnsi="宋体" w:eastAsia="宋体" w:cs="宋体"/>
          <w:szCs w:val="22"/>
        </w:rPr>
      </w:pPr>
      <w:r>
        <w:rPr>
          <w:rFonts w:hint="eastAsia" w:ascii="宋体" w:hAnsi="宋体" w:eastAsia="宋体" w:cs="宋体"/>
          <w:szCs w:val="22"/>
        </w:rPr>
        <w:t>3. 在免费质保期内，如中标人的产品技术升级，中标人应及时通知采购人，如采购人有相应要求，中标人应对采购人购买的产品进行免费升级。</w:t>
      </w:r>
    </w:p>
    <w:p>
      <w:pPr>
        <w:pStyle w:val="165"/>
        <w:ind w:firstLine="480" w:firstLineChars="200"/>
        <w:jc w:val="left"/>
        <w:rPr>
          <w:rFonts w:hint="eastAsia" w:ascii="宋体" w:hAnsi="宋体" w:eastAsia="宋体" w:cs="宋体"/>
          <w:szCs w:val="22"/>
        </w:rPr>
      </w:pPr>
      <w:r>
        <w:rPr>
          <w:rFonts w:hint="eastAsia" w:ascii="宋体" w:hAnsi="宋体" w:eastAsia="宋体" w:cs="宋体"/>
          <w:szCs w:val="22"/>
        </w:rPr>
        <w:t>4.免费质保期后，中标人应同样提供免费电话咨询服务。</w:t>
      </w:r>
    </w:p>
    <w:p>
      <w:pPr>
        <w:pStyle w:val="165"/>
        <w:ind w:firstLine="480" w:firstLineChars="200"/>
        <w:jc w:val="left"/>
        <w:rPr>
          <w:rFonts w:hint="eastAsia" w:ascii="宋体" w:hAnsi="宋体" w:eastAsia="宋体" w:cs="宋体"/>
          <w:szCs w:val="22"/>
        </w:rPr>
      </w:pPr>
      <w:r>
        <w:rPr>
          <w:rFonts w:hint="eastAsia" w:ascii="宋体" w:hAnsi="宋体" w:eastAsia="宋体" w:cs="宋体"/>
          <w:szCs w:val="22"/>
        </w:rPr>
        <w:t>5.免费质保期后，采购人需要继续由原中标人提供售后服务的，该中标人应以优惠价格提供售后服务。</w:t>
      </w:r>
    </w:p>
    <w:p>
      <w:pPr>
        <w:pStyle w:val="165"/>
        <w:ind w:firstLine="480" w:firstLineChars="200"/>
        <w:jc w:val="left"/>
        <w:rPr>
          <w:rFonts w:hint="eastAsia" w:ascii="宋体" w:hAnsi="宋体" w:cs="宋体"/>
        </w:rPr>
      </w:pPr>
      <w:r>
        <w:rPr>
          <w:rFonts w:hint="eastAsia" w:ascii="宋体" w:hAnsi="宋体" w:eastAsia="宋体" w:cs="宋体"/>
          <w:szCs w:val="22"/>
          <w:lang w:val="en-US" w:eastAsia="zh-CN"/>
        </w:rPr>
        <w:t>6.</w:t>
      </w:r>
      <w:r>
        <w:rPr>
          <w:rFonts w:hint="default" w:ascii="Times New Roman" w:hAnsi="Times New Roman" w:eastAsia="宋体" w:cs="Times New Roman"/>
          <w:highlight w:val="none"/>
          <w:lang w:val="en-US" w:eastAsia="zh-CN"/>
        </w:rPr>
        <w:t>报价须为人民币报价，包含：服务费、车旅费、运输费（含装卸费）、保险费、安装调试费、税费、培训费、专用维修设备的使用费等所有费用。</w:t>
      </w:r>
    </w:p>
    <w:sectPr>
      <w:headerReference r:id="rId7" w:type="first"/>
      <w:footerReference r:id="rId10" w:type="first"/>
      <w:headerReference r:id="rId5" w:type="default"/>
      <w:footerReference r:id="rId8" w:type="default"/>
      <w:headerReference r:id="rId6" w:type="even"/>
      <w:footerReference r:id="rId9" w:type="even"/>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4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4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7"/>
      <w:lvlText w:val=""/>
      <w:lvlJc w:val="left"/>
      <w:pPr>
        <w:tabs>
          <w:tab w:val="left" w:pos="360"/>
        </w:tabs>
        <w:ind w:left="360" w:hanging="360"/>
      </w:pPr>
      <w:rPr>
        <w:rFonts w:hint="default" w:ascii="Symbol" w:hAnsi="Symbol"/>
      </w:rPr>
    </w:lvl>
  </w:abstractNum>
  <w:abstractNum w:abstractNumId="6">
    <w:nsid w:val="04ACFFBE"/>
    <w:multiLevelType w:val="singleLevel"/>
    <w:tmpl w:val="04ACFFBE"/>
    <w:lvl w:ilvl="0" w:tentative="0">
      <w:start w:val="1"/>
      <w:numFmt w:val="decimal"/>
      <w:lvlText w:val="%1."/>
      <w:lvlJc w:val="left"/>
      <w:pPr>
        <w:tabs>
          <w:tab w:val="left" w:pos="312"/>
        </w:tabs>
      </w:pPr>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F4925"/>
    <w:rsid w:val="0015074B"/>
    <w:rsid w:val="001A299E"/>
    <w:rsid w:val="0029639D"/>
    <w:rsid w:val="002B6CFC"/>
    <w:rsid w:val="00326F90"/>
    <w:rsid w:val="004A0B60"/>
    <w:rsid w:val="00536103"/>
    <w:rsid w:val="00841775"/>
    <w:rsid w:val="00910D2B"/>
    <w:rsid w:val="009C65DB"/>
    <w:rsid w:val="00AA1D8D"/>
    <w:rsid w:val="00B47730"/>
    <w:rsid w:val="00CB0664"/>
    <w:rsid w:val="00FC693F"/>
    <w:rsid w:val="054A1F3C"/>
    <w:rsid w:val="07981947"/>
    <w:rsid w:val="13503067"/>
    <w:rsid w:val="1452141E"/>
    <w:rsid w:val="2FBF7E3C"/>
    <w:rsid w:val="387666CC"/>
    <w:rsid w:val="42650E90"/>
    <w:rsid w:val="4BF20C50"/>
    <w:rsid w:val="65336EFE"/>
    <w:rsid w:val="6D215C5F"/>
    <w:rsid w:val="757A4300"/>
    <w:rsid w:val="BD67643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360" w:lineRule="auto"/>
      <w:ind w:firstLine="561" w:firstLineChars="200"/>
    </w:pPr>
    <w:rPr>
      <w:rFonts w:ascii="Cambria" w:hAnsi="Cambria" w:eastAsia="宋体" w:cstheme="minorBidi"/>
      <w:sz w:val="24"/>
      <w:szCs w:val="22"/>
      <w:lang w:val="en-US" w:eastAsia="en-US" w:bidi="ar-SA"/>
    </w:rPr>
  </w:style>
  <w:style w:type="paragraph" w:styleId="5">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000000" w:themeColor="text1"/>
      <w:szCs w:val="28"/>
      <w14:textFill>
        <w14:solidFill>
          <w14:schemeClr w14:val="tx1"/>
        </w14:solidFill>
      </w14:textFill>
    </w:rPr>
  </w:style>
  <w:style w:type="paragraph" w:styleId="6">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000000" w:themeColor="text1"/>
      <w:szCs w:val="26"/>
      <w14:textFill>
        <w14:solidFill>
          <w14:schemeClr w14:val="tx1"/>
        </w14:solidFill>
      </w14:textFill>
    </w:rPr>
  </w:style>
  <w:style w:type="paragraph" w:styleId="7">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3"/>
    <w:link w:val="136"/>
    <w:unhideWhenUsed/>
    <w:qFormat/>
    <w:uiPriority w:val="99"/>
    <w:pPr>
      <w:tabs>
        <w:tab w:val="center" w:pos="4680"/>
        <w:tab w:val="right" w:pos="9360"/>
      </w:tabs>
      <w:spacing w:after="0" w:line="240" w:lineRule="auto"/>
    </w:pPr>
  </w:style>
  <w:style w:type="paragraph" w:styleId="3">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4">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List Bullet"/>
    <w:basedOn w:val="1"/>
    <w:unhideWhenUsed/>
    <w:qFormat/>
    <w:uiPriority w:val="99"/>
    <w:pPr>
      <w:numPr>
        <w:ilvl w:val="0"/>
        <w:numId w:val="3"/>
      </w:numPr>
      <w:contextualSpacing/>
    </w:pPr>
  </w:style>
  <w:style w:type="paragraph" w:styleId="18">
    <w:name w:val="Body Text 3"/>
    <w:basedOn w:val="1"/>
    <w:link w:val="147"/>
    <w:unhideWhenUsed/>
    <w:qFormat/>
    <w:uiPriority w:val="99"/>
    <w:pPr>
      <w:spacing w:after="120"/>
    </w:pPr>
    <w:rPr>
      <w:sz w:val="16"/>
      <w:szCs w:val="16"/>
    </w:rPr>
  </w:style>
  <w:style w:type="paragraph" w:styleId="19">
    <w:name w:val="List Bullet 3"/>
    <w:basedOn w:val="1"/>
    <w:unhideWhenUsed/>
    <w:qFormat/>
    <w:uiPriority w:val="99"/>
    <w:pPr>
      <w:numPr>
        <w:ilvl w:val="0"/>
        <w:numId w:val="4"/>
      </w:numPr>
      <w:contextualSpacing/>
    </w:pPr>
  </w:style>
  <w:style w:type="paragraph" w:styleId="20">
    <w:name w:val="Body Text"/>
    <w:basedOn w:val="1"/>
    <w:link w:val="145"/>
    <w:unhideWhenUsed/>
    <w:qFormat/>
    <w:uiPriority w:val="99"/>
    <w:pPr>
      <w:spacing w:after="120"/>
    </w:pPr>
  </w:style>
  <w:style w:type="paragraph" w:styleId="21">
    <w:name w:val="List Number 3"/>
    <w:basedOn w:val="1"/>
    <w:unhideWhenUsed/>
    <w:qFormat/>
    <w:uiPriority w:val="99"/>
    <w:pPr>
      <w:numPr>
        <w:ilvl w:val="0"/>
        <w:numId w:val="5"/>
      </w:numPr>
      <w:contextualSpacing/>
    </w:pPr>
  </w:style>
  <w:style w:type="paragraph" w:styleId="22">
    <w:name w:val="List 2"/>
    <w:basedOn w:val="1"/>
    <w:unhideWhenUsed/>
    <w:qFormat/>
    <w:uiPriority w:val="99"/>
    <w:pPr>
      <w:ind w:left="720" w:hanging="360"/>
      <w:contextualSpacing/>
    </w:pPr>
  </w:style>
  <w:style w:type="paragraph" w:styleId="23">
    <w:name w:val="List Continue"/>
    <w:basedOn w:val="1"/>
    <w:unhideWhenUsed/>
    <w:qFormat/>
    <w:uiPriority w:val="99"/>
    <w:pPr>
      <w:spacing w:after="120"/>
      <w:ind w:left="360"/>
      <w:contextualSpacing/>
    </w:pPr>
  </w:style>
  <w:style w:type="paragraph" w:styleId="24">
    <w:name w:val="List Bullet 2"/>
    <w:basedOn w:val="1"/>
    <w:unhideWhenUsed/>
    <w:qFormat/>
    <w:uiPriority w:val="99"/>
    <w:pPr>
      <w:numPr>
        <w:ilvl w:val="0"/>
        <w:numId w:val="6"/>
      </w:numPr>
      <w:contextualSpacing/>
    </w:pPr>
  </w:style>
  <w:style w:type="paragraph" w:styleId="25">
    <w:name w:val="footer"/>
    <w:basedOn w:val="1"/>
    <w:link w:val="137"/>
    <w:unhideWhenUsed/>
    <w:qFormat/>
    <w:uiPriority w:val="99"/>
    <w:pPr>
      <w:tabs>
        <w:tab w:val="center" w:pos="4680"/>
        <w:tab w:val="right" w:pos="9360"/>
      </w:tabs>
      <w:spacing w:after="0" w:line="240" w:lineRule="auto"/>
    </w:pPr>
  </w:style>
  <w:style w:type="paragraph" w:styleId="26">
    <w:name w:val="Subtitle"/>
    <w:basedOn w:val="1"/>
    <w:next w:val="1"/>
    <w:link w:val="143"/>
    <w:qFormat/>
    <w:uiPriority w:val="11"/>
    <w:rPr>
      <w:rFonts w:asciiTheme="majorHAnsi" w:hAnsiTheme="majorHAnsi" w:eastAsiaTheme="majorEastAsia" w:cstheme="majorBidi"/>
      <w:i/>
      <w:iCs/>
      <w:color w:val="4F81BD" w:themeColor="accent1"/>
      <w:spacing w:val="15"/>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6"/>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Normal (Web)"/>
    <w:basedOn w:val="1"/>
    <w:semiHidden/>
    <w:unhideWhenUsed/>
    <w:qFormat/>
    <w:uiPriority w:val="99"/>
    <w:pPr>
      <w:spacing w:beforeAutospacing="1" w:after="0" w:afterAutospacing="1"/>
    </w:pPr>
    <w:rPr>
      <w:rFonts w:cs="Times New Roman"/>
      <w:lang w:eastAsia="zh-CN"/>
    </w:r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5">
    <w:name w:val="Light Shading"/>
    <w:basedOn w:val="33"/>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qFormat/>
    <w:uiPriority w:val="60"/>
    <w:rPr>
      <w:color w:val="376092" w:themeColor="accent1" w:themeShade="BF"/>
    </w:rPr>
    <w:tblPr>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qFormat/>
    <w:uiPriority w:val="60"/>
    <w:rPr>
      <w:color w:val="953735" w:themeColor="accent2" w:themeShade="BF"/>
    </w:rPr>
    <w:tblPr>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qFormat/>
    <w:uiPriority w:val="60"/>
    <w:rPr>
      <w:color w:val="7793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qFormat/>
    <w:uiPriority w:val="60"/>
    <w:rPr>
      <w:color w:val="604A7B" w:themeColor="accent4" w:themeShade="BF"/>
    </w:rPr>
    <w:tblPr>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qFormat/>
    <w:uiPriority w:val="60"/>
    <w:rPr>
      <w:color w:val="31859C" w:themeColor="accent5" w:themeShade="BF"/>
    </w:rPr>
    <w:tblPr>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qFormat/>
    <w:uiPriority w:val="60"/>
    <w:rPr>
      <w:color w:val="E46C0A" w:themeColor="accent6" w:themeShade="BF"/>
    </w:rPr>
    <w:tblPr>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qFormat/>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qFormat/>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qFormat/>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qFormat/>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qFormat/>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qFormat/>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qFormat/>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qFormat/>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qFormat/>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qFormat/>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qFormat/>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qFormat/>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qFormat/>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qFormat/>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qFormat/>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qFormat/>
    <w:uiPriority w:val="70"/>
    <w:rPr>
      <w:color w:val="FFFFFF" w:themeColor="background1"/>
      <w14:textFill>
        <w14:solidFill>
          <w14:schemeClr w14:val="bg1"/>
        </w14:solidFill>
      </w14:textFill>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rPr>
      <w:color w:val="FFFFFF" w:themeColor="background1"/>
      <w14:textFill>
        <w14:solidFill>
          <w14:schemeClr w14:val="bg1"/>
        </w14:solidFill>
      </w14:textFill>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rPr>
      <w:color w:val="FFFFFF" w:themeColor="background1"/>
      <w14:textFill>
        <w14:solidFill>
          <w14:schemeClr w14:val="bg1"/>
        </w14:solidFill>
      </w14:textFill>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rPr>
      <w:color w:val="FFFFFF" w:themeColor="background1"/>
      <w14:textFill>
        <w14:solidFill>
          <w14:schemeClr w14:val="bg1"/>
        </w14:solidFill>
      </w14:textFill>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rPr>
      <w:color w:val="FFFFFF" w:themeColor="background1"/>
      <w14:textFill>
        <w14:solidFill>
          <w14:schemeClr w14:val="bg1"/>
        </w14:solidFill>
      </w14:textFill>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qFormat/>
    <w:uiPriority w:val="70"/>
    <w:rPr>
      <w:color w:val="FFFFFF" w:themeColor="background1"/>
      <w14:textFill>
        <w14:solidFill>
          <w14:schemeClr w14:val="bg1"/>
        </w14:solidFill>
      </w14:textFill>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qFormat/>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qFormat/>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qFormat/>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qFormat/>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qFormat/>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qFormat/>
    <w:uiPriority w:val="72"/>
    <w:rPr>
      <w:color w:val="000000" w:themeColor="text1"/>
      <w14:textFill>
        <w14:solidFill>
          <w14:schemeClr w14:val="tx1"/>
        </w14:solidFill>
      </w14:textFill>
    </w:rPr>
    <w:tblPr>
      <w:tblStyleRowBandSize w:val="1"/>
      <w:tblStyleColBandSize w:val="1"/>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qFormat/>
    <w:uiPriority w:val="72"/>
    <w:rPr>
      <w:color w:val="000000" w:themeColor="text1"/>
      <w14:textFill>
        <w14:solidFill>
          <w14:schemeClr w14:val="tx1"/>
        </w14:solidFill>
      </w14:textFill>
    </w:rPr>
    <w:tblPr>
      <w:tblStyleRowBandSize w:val="1"/>
      <w:tblStyleColBandSize w:val="1"/>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qFormat/>
    <w:uiPriority w:val="72"/>
    <w:rPr>
      <w:color w:val="000000" w:themeColor="text1"/>
      <w14:textFill>
        <w14:solidFill>
          <w14:schemeClr w14:val="tx1"/>
        </w14:solidFill>
      </w14:textFill>
    </w:rPr>
    <w:tblPr>
      <w:tblStyleRowBandSize w:val="1"/>
      <w:tblStyleColBandSize w:val="1"/>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qFormat/>
    <w:uiPriority w:val="72"/>
    <w:rPr>
      <w:color w:val="000000" w:themeColor="text1"/>
      <w14:textFill>
        <w14:solidFill>
          <w14:schemeClr w14:val="tx1"/>
        </w14:solidFill>
      </w14:textFill>
    </w:rPr>
    <w:tblPr>
      <w:tblStyleRowBandSize w:val="1"/>
      <w:tblStyleColBandSize w:val="1"/>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qFormat/>
    <w:uiPriority w:val="72"/>
    <w:rPr>
      <w:color w:val="000000" w:themeColor="text1"/>
      <w14:textFill>
        <w14:solidFill>
          <w14:schemeClr w14:val="tx1"/>
        </w14:solidFill>
      </w14:textFill>
    </w:rPr>
    <w:tblPr>
      <w:tblStyleRowBandSize w:val="1"/>
      <w:tblStyleColBandSize w:val="1"/>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rPr>
      <w:color w:val="000000" w:themeColor="text1"/>
      <w14:textFill>
        <w14:solidFill>
          <w14:schemeClr w14:val="tx1"/>
        </w14:solidFill>
      </w14:textFill>
    </w:rPr>
    <w:tblPr>
      <w:tblStyleRowBandSize w:val="1"/>
      <w:tblStyleColBandSize w:val="1"/>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页眉 字符"/>
    <w:basedOn w:val="133"/>
    <w:link w:val="2"/>
    <w:qFormat/>
    <w:uiPriority w:val="99"/>
  </w:style>
  <w:style w:type="character" w:customStyle="1" w:styleId="137">
    <w:name w:val="页脚 字符"/>
    <w:basedOn w:val="133"/>
    <w:link w:val="25"/>
    <w:qFormat/>
    <w:uiPriority w:val="99"/>
  </w:style>
  <w:style w:type="paragraph" w:styleId="138">
    <w:name w:val="No Spacing"/>
    <w:qFormat/>
    <w:uiPriority w:val="1"/>
    <w:rPr>
      <w:rFonts w:asciiTheme="minorHAnsi" w:hAnsiTheme="minorHAnsi" w:eastAsiaTheme="minorEastAsia" w:cstheme="minorBidi"/>
      <w:sz w:val="22"/>
      <w:szCs w:val="22"/>
      <w:lang w:val="en-US" w:eastAsia="en-US" w:bidi="ar-SA"/>
    </w:rPr>
  </w:style>
  <w:style w:type="character" w:customStyle="1" w:styleId="139">
    <w:name w:val="标题 1 字符"/>
    <w:basedOn w:val="133"/>
    <w:link w:val="5"/>
    <w:qFormat/>
    <w:uiPriority w:val="9"/>
    <w:rPr>
      <w:rFonts w:asciiTheme="majorHAnsi" w:hAnsiTheme="majorHAnsi" w:eastAsiaTheme="majorEastAsia" w:cstheme="majorBidi"/>
      <w:b/>
      <w:bCs/>
      <w:color w:val="000000" w:themeColor="text1"/>
      <w:sz w:val="24"/>
      <w:szCs w:val="28"/>
      <w14:textFill>
        <w14:solidFill>
          <w14:schemeClr w14:val="tx1"/>
        </w14:solidFill>
      </w14:textFill>
    </w:rPr>
  </w:style>
  <w:style w:type="character" w:customStyle="1" w:styleId="140">
    <w:name w:val="标题 2 字符"/>
    <w:basedOn w:val="133"/>
    <w:link w:val="6"/>
    <w:qFormat/>
    <w:uiPriority w:val="9"/>
    <w:rPr>
      <w:rFonts w:asciiTheme="majorHAnsi" w:hAnsiTheme="majorHAnsi" w:eastAsiaTheme="majorEastAsia" w:cstheme="majorBidi"/>
      <w:b/>
      <w:bCs/>
      <w:color w:val="000000" w:themeColor="text1"/>
      <w:sz w:val="24"/>
      <w:szCs w:val="26"/>
      <w14:textFill>
        <w14:solidFill>
          <w14:schemeClr w14:val="tx1"/>
        </w14:solidFill>
      </w14:textFill>
    </w:rPr>
  </w:style>
  <w:style w:type="character" w:customStyle="1" w:styleId="141">
    <w:name w:val="标题 3 字符"/>
    <w:basedOn w:val="133"/>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标题 字符"/>
    <w:basedOn w:val="1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副标题 字符"/>
    <w:basedOn w:val="133"/>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正文文本 字符"/>
    <w:basedOn w:val="133"/>
    <w:link w:val="20"/>
    <w:qFormat/>
    <w:uiPriority w:val="99"/>
  </w:style>
  <w:style w:type="character" w:customStyle="1" w:styleId="146">
    <w:name w:val="正文文本 2 字符"/>
    <w:basedOn w:val="133"/>
    <w:link w:val="28"/>
    <w:qFormat/>
    <w:uiPriority w:val="99"/>
  </w:style>
  <w:style w:type="character" w:customStyle="1" w:styleId="147">
    <w:name w:val="正文文本 3 字符"/>
    <w:basedOn w:val="133"/>
    <w:link w:val="18"/>
    <w:qFormat/>
    <w:uiPriority w:val="99"/>
    <w:rPr>
      <w:sz w:val="16"/>
      <w:szCs w:val="16"/>
    </w:rPr>
  </w:style>
  <w:style w:type="character" w:customStyle="1" w:styleId="148">
    <w:name w:val="宏文本 字符"/>
    <w:basedOn w:val="133"/>
    <w:link w:val="4"/>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引用 字符"/>
    <w:basedOn w:val="133"/>
    <w:link w:val="149"/>
    <w:qFormat/>
    <w:uiPriority w:val="29"/>
    <w:rPr>
      <w:i/>
      <w:iCs/>
      <w:color w:val="000000" w:themeColor="text1"/>
      <w14:textFill>
        <w14:solidFill>
          <w14:schemeClr w14:val="tx1"/>
        </w14:solidFill>
      </w14:textFill>
    </w:rPr>
  </w:style>
  <w:style w:type="character" w:customStyle="1" w:styleId="151">
    <w:name w:val="标题 4 字符"/>
    <w:basedOn w:val="133"/>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标题 5 字符"/>
    <w:basedOn w:val="133"/>
    <w:link w:val="9"/>
    <w:semiHidden/>
    <w:qFormat/>
    <w:uiPriority w:val="9"/>
    <w:rPr>
      <w:rFonts w:asciiTheme="majorHAnsi" w:hAnsiTheme="majorHAnsi" w:eastAsiaTheme="majorEastAsia" w:cstheme="majorBidi"/>
      <w:color w:val="254061" w:themeColor="accent1" w:themeShade="80"/>
    </w:rPr>
  </w:style>
  <w:style w:type="character" w:customStyle="1" w:styleId="153">
    <w:name w:val="标题 6 字符"/>
    <w:basedOn w:val="133"/>
    <w:link w:val="10"/>
    <w:semiHidden/>
    <w:qFormat/>
    <w:uiPriority w:val="9"/>
    <w:rPr>
      <w:rFonts w:asciiTheme="majorHAnsi" w:hAnsiTheme="majorHAnsi" w:eastAsiaTheme="majorEastAsia" w:cstheme="majorBidi"/>
      <w:i/>
      <w:iCs/>
      <w:color w:val="254061" w:themeColor="accent1" w:themeShade="80"/>
    </w:rPr>
  </w:style>
  <w:style w:type="character" w:customStyle="1" w:styleId="154">
    <w:name w:val="标题 7 字符"/>
    <w:basedOn w:val="133"/>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标题 8 字符"/>
    <w:basedOn w:val="133"/>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标题 9 字符"/>
    <w:basedOn w:val="133"/>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明显引用 字符"/>
    <w:basedOn w:val="133"/>
    <w:link w:val="157"/>
    <w:qFormat/>
    <w:uiPriority w:val="30"/>
    <w:rPr>
      <w:b/>
      <w:bCs/>
      <w:i/>
      <w:iCs/>
      <w:color w:val="4F81BD" w:themeColor="accent1"/>
      <w14:textFill>
        <w14:solidFill>
          <w14:schemeClr w14:val="accent1"/>
        </w14:solidFill>
      </w14:textFill>
    </w:rPr>
  </w:style>
  <w:style w:type="character" w:customStyle="1" w:styleId="159">
    <w:name w:val="不明显强调1"/>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明显强调1"/>
    <w:basedOn w:val="133"/>
    <w:qFormat/>
    <w:uiPriority w:val="21"/>
    <w:rPr>
      <w:b/>
      <w:bCs/>
      <w:i/>
      <w:iCs/>
      <w:color w:val="4F81BD" w:themeColor="accent1"/>
      <w14:textFill>
        <w14:solidFill>
          <w14:schemeClr w14:val="accent1"/>
        </w14:solidFill>
      </w14:textFill>
    </w:rPr>
  </w:style>
  <w:style w:type="character" w:customStyle="1" w:styleId="161">
    <w:name w:val="不明显参考1"/>
    <w:basedOn w:val="133"/>
    <w:qFormat/>
    <w:uiPriority w:val="31"/>
    <w:rPr>
      <w:smallCaps/>
      <w:color w:val="C0504D" w:themeColor="accent2"/>
      <w:u w:val="single"/>
      <w14:textFill>
        <w14:solidFill>
          <w14:schemeClr w14:val="accent2"/>
        </w14:solidFill>
      </w14:textFill>
    </w:rPr>
  </w:style>
  <w:style w:type="character" w:customStyle="1" w:styleId="162">
    <w:name w:val="明显参考1"/>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书籍标题1"/>
    <w:basedOn w:val="133"/>
    <w:qFormat/>
    <w:uiPriority w:val="33"/>
    <w:rPr>
      <w:b/>
      <w:bCs/>
      <w:smallCaps/>
      <w:spacing w:val="5"/>
    </w:rPr>
  </w:style>
  <w:style w:type="paragraph" w:customStyle="1" w:styleId="164">
    <w:name w:val="TOC 标题1"/>
    <w:basedOn w:val="5"/>
    <w:next w:val="1"/>
    <w:semiHidden/>
    <w:unhideWhenUsed/>
    <w:qFormat/>
    <w:uiPriority w:val="39"/>
    <w:pPr>
      <w:outlineLvl w:val="9"/>
    </w:pPr>
  </w:style>
  <w:style w:type="paragraph" w:customStyle="1" w:styleId="165">
    <w:name w:val="方案正文"/>
    <w:basedOn w:val="1"/>
    <w:qFormat/>
    <w:uiPriority w:val="0"/>
    <w:pPr>
      <w:widowControl w:val="0"/>
      <w:spacing w:before="120" w:after="0"/>
      <w:ind w:firstLine="425" w:firstLineChars="177"/>
      <w:jc w:val="both"/>
    </w:pPr>
    <w:rPr>
      <w:rFonts w:ascii="华文细黑" w:hAnsi="华文细黑" w:eastAsia="华文细黑" w:cs="Times New Roman"/>
      <w:szCs w:val="24"/>
      <w:lang w:eastAsia="zh-CN"/>
    </w:rPr>
  </w:style>
  <w:style w:type="paragraph" w:customStyle="1" w:styleId="166">
    <w:name w:val="列表段落1"/>
    <w:basedOn w:val="1"/>
    <w:qFormat/>
    <w:uiPriority w:val="34"/>
    <w:pPr>
      <w:widowControl w:val="0"/>
      <w:spacing w:after="0"/>
      <w:ind w:firstLine="420"/>
      <w:jc w:val="both"/>
    </w:pPr>
    <w:rPr>
      <w:rFonts w:asciiTheme="minorHAnsi" w:hAnsiTheme="minorHAnsi" w:eastAsiaTheme="minorEastAsia"/>
      <w:kern w:val="2"/>
      <w:lang w:eastAsia="zh-CN"/>
    </w:rPr>
  </w:style>
  <w:style w:type="paragraph" w:customStyle="1" w:styleId="167">
    <w:name w:val="正文（标题三）"/>
    <w:basedOn w:val="1"/>
    <w:qFormat/>
    <w:uiPriority w:val="0"/>
    <w:pPr>
      <w:widowControl w:val="0"/>
      <w:spacing w:after="0"/>
      <w:ind w:left="170" w:firstLine="425" w:firstLineChars="0"/>
      <w:jc w:val="both"/>
    </w:pPr>
    <w:rPr>
      <w:rFonts w:ascii="Calibri" w:hAnsi="Calibri" w:cs="Times New Roman"/>
      <w:kern w:val="2"/>
      <w:szCs w:val="24"/>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733</Words>
  <Characters>4181</Characters>
  <Lines>34</Lines>
  <Paragraphs>9</Paragraphs>
  <TotalTime>60</TotalTime>
  <ScaleCrop>false</ScaleCrop>
  <LinksUpToDate>false</LinksUpToDate>
  <CharactersWithSpaces>4905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2025-07-15T08:18:00Z</dcterms:created>
  <dc:creator>python-docx</dc:creator>
  <dc:description>generated by python-docx</dc:description>
  <cp:lastModifiedBy>嘉年华</cp:lastModifiedBy>
  <dcterms:modified xsi:type="dcterms:W3CDTF">2025-08-01T02:25:42Z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F58AC69F303F49D4B6A6AF25DDFD6D9A_13</vt:lpwstr>
  </property>
  <property fmtid="{D5CDD505-2E9C-101B-9397-08002B2CF9AE}" pid="4" name="KSOTemplateDocerSaveRecord">
    <vt:lpwstr>eyJoZGlkIjoiZTIxODY4NTUyZjNkZTJlY2ZmNTkyNGNiOTI3OGE1ZmQiLCJ1c2VySWQiOiI5OTM2NjQ0MDQifQ==</vt:lpwstr>
  </property>
</Properties>
</file>