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黑体" w:hAnsi="黑体" w:eastAsia="黑体" w:cs="Times New Roman Regular"/>
          <w:b/>
          <w:bCs/>
          <w:sz w:val="44"/>
          <w:szCs w:val="44"/>
        </w:rPr>
      </w:pPr>
      <w:r>
        <w:rPr>
          <w:rFonts w:ascii="黑体" w:hAnsi="黑体" w:eastAsia="黑体" w:cs="Times New Roman Regular"/>
          <w:b/>
          <w:bCs/>
          <w:sz w:val="44"/>
          <w:szCs w:val="44"/>
        </w:rPr>
        <w:t>重庆医科大学附属儿童医院</w:t>
      </w:r>
    </w:p>
    <w:p>
      <w:pPr>
        <w:jc w:val="center"/>
        <w:rPr>
          <w:rFonts w:hint="eastAsia" w:ascii="黑体" w:hAnsi="黑体" w:eastAsia="黑体" w:cs="Times New Roman Regular"/>
          <w:b/>
          <w:bCs/>
          <w:sz w:val="44"/>
          <w:szCs w:val="44"/>
        </w:rPr>
      </w:pPr>
      <w:r>
        <w:rPr>
          <w:rFonts w:hint="eastAsia" w:ascii="黑体" w:hAnsi="黑体" w:eastAsia="黑体" w:cs="Times New Roman Regular"/>
          <w:b/>
          <w:bCs/>
          <w:sz w:val="44"/>
          <w:szCs w:val="44"/>
        </w:rPr>
        <w:t>两江院区网络设备设施建设</w:t>
      </w:r>
      <w:r>
        <w:rPr>
          <w:rFonts w:ascii="黑体" w:hAnsi="黑体" w:eastAsia="黑体" w:cs="Times New Roman Regular"/>
          <w:b/>
          <w:bCs/>
          <w:sz w:val="44"/>
          <w:szCs w:val="44"/>
        </w:rPr>
        <w:t>概况及要求</w:t>
      </w:r>
    </w:p>
    <w:p>
      <w:pPr>
        <w:pStyle w:val="3"/>
        <w:rPr>
          <w:rStyle w:val="16"/>
          <w:rFonts w:ascii="Times New Roman Regular" w:hAnsi="Times New Roman Regular" w:cs="Times New Roman Regular"/>
          <w:b/>
          <w:bCs/>
          <w:sz w:val="30"/>
          <w:szCs w:val="30"/>
        </w:rPr>
      </w:pPr>
      <w:r>
        <w:rPr>
          <w:rStyle w:val="16"/>
          <w:rFonts w:ascii="Times New Roman Regular" w:hAnsi="Times New Roman Regular" w:cs="Times New Roman Regular"/>
          <w:b/>
          <w:bCs/>
          <w:sz w:val="30"/>
          <w:szCs w:val="30"/>
        </w:rPr>
        <w:t>一、项目概况</w:t>
      </w:r>
    </w:p>
    <w:p>
      <w:pPr>
        <w:pStyle w:val="29"/>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对两江院区网络设备设施进行扩容和升级，主要包括以下内容：</w:t>
      </w:r>
    </w:p>
    <w:p>
      <w:pPr>
        <w:pStyle w:val="29"/>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1.中心机房扩容：新增模块化机柜及精密空调系统，提升散热效率及设备运行稳定性。模块化机柜采用标准化设计，支持灵活扩展，配备智能PDU和线缆管理系统；精密空调采用恒温恒湿技术，确保机房环境符合设备运行要求。</w:t>
      </w:r>
    </w:p>
    <w:p>
      <w:pPr>
        <w:pStyle w:val="29"/>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2.门诊机房UPS升级：升级部署1套高容量、高可靠性的UPS系统，支持无缝切换，后备时间≥2小时，确保关键业务在突发断电情况下的持续运行。</w:t>
      </w:r>
    </w:p>
    <w:p>
      <w:pPr>
        <w:pStyle w:val="29"/>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3.数据中心接入交换机：配置新增数据中心接入交换机，接入现有数据中心网络环境，含数据中心SDN纳管授权。</w:t>
      </w:r>
    </w:p>
    <w:p>
      <w:pPr>
        <w:pStyle w:val="29"/>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4.网络管理系统建设：升级部署1套智能化网络管理平台，基于SNMP协议实现全网设备监控，支持故障自动告警、性能分析和日志管理，提升运维效率。</w:t>
      </w:r>
    </w:p>
    <w:p>
      <w:pPr>
        <w:pStyle w:val="3"/>
        <w:rPr>
          <w:rFonts w:ascii="Times New Roman Regular" w:hAnsi="Times New Roman Regular" w:cs="Times New Roman Regular"/>
          <w:sz w:val="30"/>
          <w:szCs w:val="30"/>
        </w:rPr>
      </w:pPr>
      <w:r>
        <w:rPr>
          <w:rFonts w:ascii="Times New Roman Regular" w:hAnsi="Times New Roman Regular" w:cs="Times New Roman Regular"/>
          <w:sz w:val="30"/>
          <w:szCs w:val="30"/>
        </w:rPr>
        <w:t>二、项目要求</w:t>
      </w:r>
    </w:p>
    <w:p>
      <w:pPr>
        <w:pStyle w:val="4"/>
        <w:numPr>
          <w:ilvl w:val="0"/>
          <w:numId w:val="1"/>
        </w:numPr>
        <w:rPr>
          <w:rFonts w:hint="eastAsia"/>
          <w:sz w:val="28"/>
          <w:szCs w:val="28"/>
        </w:rPr>
      </w:pPr>
      <w:r>
        <w:rPr>
          <w:rFonts w:hint="eastAsia"/>
          <w:sz w:val="28"/>
          <w:szCs w:val="28"/>
        </w:rPr>
        <w:t>中心机房扩容</w:t>
      </w:r>
    </w:p>
    <w:tbl>
      <w:tblPr>
        <w:tblStyle w:val="13"/>
        <w:tblW w:w="5000" w:type="pct"/>
        <w:tblInd w:w="0" w:type="dxa"/>
        <w:tblLayout w:type="autofit"/>
        <w:tblCellMar>
          <w:top w:w="0" w:type="dxa"/>
          <w:left w:w="108" w:type="dxa"/>
          <w:bottom w:w="0" w:type="dxa"/>
          <w:right w:w="108" w:type="dxa"/>
        </w:tblCellMar>
      </w:tblPr>
      <w:tblGrid>
        <w:gridCol w:w="1211"/>
        <w:gridCol w:w="7409"/>
        <w:gridCol w:w="670"/>
        <w:gridCol w:w="672"/>
      </w:tblGrid>
      <w:tr>
        <w:tblPrEx>
          <w:tblCellMar>
            <w:top w:w="0" w:type="dxa"/>
            <w:left w:w="108" w:type="dxa"/>
            <w:bottom w:w="0" w:type="dxa"/>
            <w:right w:w="108" w:type="dxa"/>
          </w:tblCellMar>
        </w:tblPrEx>
        <w:trPr>
          <w:trHeight w:val="285" w:hRule="atLeast"/>
          <w:tblHeader/>
        </w:trPr>
        <w:tc>
          <w:tcPr>
            <w:tcW w:w="60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项目</w:t>
            </w:r>
          </w:p>
        </w:tc>
        <w:tc>
          <w:tcPr>
            <w:tcW w:w="3718" w:type="pct"/>
            <w:tcBorders>
              <w:top w:val="single" w:color="auto" w:sz="4" w:space="0"/>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描述</w:t>
            </w:r>
          </w:p>
        </w:tc>
        <w:tc>
          <w:tcPr>
            <w:tcW w:w="336" w:type="pct"/>
            <w:tcBorders>
              <w:top w:val="single" w:color="auto" w:sz="4" w:space="0"/>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数量</w:t>
            </w:r>
          </w:p>
        </w:tc>
        <w:tc>
          <w:tcPr>
            <w:tcW w:w="336" w:type="pct"/>
            <w:tcBorders>
              <w:top w:val="single" w:color="auto" w:sz="4" w:space="0"/>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单位</w:t>
            </w:r>
          </w:p>
        </w:tc>
      </w:tr>
      <w:tr>
        <w:tblPrEx>
          <w:tblCellMar>
            <w:top w:w="0" w:type="dxa"/>
            <w:left w:w="108" w:type="dxa"/>
            <w:bottom w:w="0" w:type="dxa"/>
            <w:right w:w="108" w:type="dxa"/>
          </w:tblCellMar>
        </w:tblPrEx>
        <w:trPr>
          <w:trHeight w:val="570" w:hRule="atLeast"/>
        </w:trPr>
        <w:tc>
          <w:tcPr>
            <w:tcW w:w="608"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UPS模块</w:t>
            </w:r>
          </w:p>
        </w:tc>
        <w:tc>
          <w:tcPr>
            <w:tcW w:w="371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1.基于现有</w:t>
            </w:r>
            <w:r>
              <w:rPr>
                <w:rFonts w:ascii="等线" w:hAnsi="等线" w:eastAsia="等线" w:cs="宋体"/>
                <w:color w:val="000000"/>
                <w:kern w:val="0"/>
                <w:sz w:val="22"/>
                <w:szCs w:val="22"/>
              </w:rPr>
              <w:t>华为UPS</w:t>
            </w:r>
            <w:r>
              <w:rPr>
                <w:rFonts w:hint="eastAsia" w:ascii="等线" w:hAnsi="等线" w:eastAsia="等线" w:cs="宋体"/>
                <w:color w:val="000000"/>
                <w:kern w:val="0"/>
                <w:sz w:val="22"/>
                <w:szCs w:val="22"/>
              </w:rPr>
              <w:t>5000-E每台扩容3</w:t>
            </w:r>
            <w:r>
              <w:rPr>
                <w:rFonts w:ascii="等线" w:hAnsi="等线" w:eastAsia="等线" w:cs="宋体"/>
                <w:color w:val="000000"/>
                <w:kern w:val="0"/>
                <w:sz w:val="22"/>
                <w:szCs w:val="22"/>
              </w:rPr>
              <w:t>个</w:t>
            </w:r>
            <w:r>
              <w:rPr>
                <w:rFonts w:hint="eastAsia" w:ascii="等线" w:hAnsi="等线" w:eastAsia="等线" w:cs="宋体"/>
                <w:color w:val="000000"/>
                <w:kern w:val="0"/>
                <w:sz w:val="22"/>
                <w:szCs w:val="22"/>
              </w:rPr>
              <w:t>50</w:t>
            </w:r>
            <w:r>
              <w:rPr>
                <w:rFonts w:ascii="等线" w:hAnsi="等线" w:eastAsia="等线" w:cs="宋体"/>
                <w:color w:val="000000"/>
                <w:kern w:val="0"/>
                <w:sz w:val="22"/>
                <w:szCs w:val="22"/>
              </w:rPr>
              <w:t>KVA功率模块。</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2.输入功率因数≥0.99，输出功率因数为1，最高效率≥96%。</w:t>
            </w:r>
          </w:p>
        </w:tc>
        <w:tc>
          <w:tcPr>
            <w:tcW w:w="336" w:type="pct"/>
            <w:tcBorders>
              <w:top w:val="nil"/>
              <w:left w:val="nil"/>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336" w:type="pct"/>
            <w:tcBorders>
              <w:top w:val="nil"/>
              <w:left w:val="nil"/>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570" w:hRule="atLeast"/>
        </w:trPr>
        <w:tc>
          <w:tcPr>
            <w:tcW w:w="608"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光缆</w:t>
            </w:r>
          </w:p>
        </w:tc>
        <w:tc>
          <w:tcPr>
            <w:tcW w:w="371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1.72芯室外单模光纤，连接科教楼数据中心到门诊数据中心。</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2.含材料、施工、光缆融接以及ODF配线架。</w:t>
            </w:r>
          </w:p>
        </w:tc>
        <w:tc>
          <w:tcPr>
            <w:tcW w:w="336" w:type="pct"/>
            <w:tcBorders>
              <w:top w:val="nil"/>
              <w:left w:val="nil"/>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336" w:type="pct"/>
            <w:tcBorders>
              <w:top w:val="nil"/>
              <w:left w:val="nil"/>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条</w:t>
            </w:r>
          </w:p>
        </w:tc>
      </w:tr>
      <w:tr>
        <w:tblPrEx>
          <w:tblCellMar>
            <w:top w:w="0" w:type="dxa"/>
            <w:left w:w="108" w:type="dxa"/>
            <w:bottom w:w="0" w:type="dxa"/>
            <w:right w:w="108" w:type="dxa"/>
          </w:tblCellMar>
        </w:tblPrEx>
        <w:trPr>
          <w:trHeight w:val="1995" w:hRule="atLeast"/>
        </w:trPr>
        <w:tc>
          <w:tcPr>
            <w:tcW w:w="608"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IT机柜及组件</w:t>
            </w:r>
          </w:p>
        </w:tc>
        <w:tc>
          <w:tcPr>
            <w:tcW w:w="371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1.机柜规格尺寸为800mm*1200mm*2000mm（宽*深*高），机柜表面黑色，采用≥1.5mm高强度A级优质碳素冷轧钢板和镀锌板。</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2.前后门均为外开通风网孔门，前门单开，后门双开，前后门开启角度≥140°，门板开孔率≥80%。</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3.每个机柜配置1对L形滑道、1个固定托盘、2个水平理线架、6个束线圈、满配盲板。</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4.每个机柜安装2个机柜专用PDU,输入32A，输出国标20*10A GB+4*16A GB。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5.机柜静态承载能力≥2000kg，动态承载能力≥1000kg。</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6.网状桥架吊顶：400x100。</w:t>
            </w:r>
          </w:p>
        </w:tc>
        <w:tc>
          <w:tcPr>
            <w:tcW w:w="336"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24</w:t>
            </w:r>
          </w:p>
        </w:tc>
        <w:tc>
          <w:tcPr>
            <w:tcW w:w="336"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3135" w:hRule="atLeast"/>
        </w:trPr>
        <w:tc>
          <w:tcPr>
            <w:tcW w:w="608"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密封冷通道</w:t>
            </w:r>
          </w:p>
        </w:tc>
        <w:tc>
          <w:tcPr>
            <w:tcW w:w="371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1.机柜采用双排布局，两列机柜正面安装1.2米的密闭冷通道组件，组件含密封天窗、密闭金属侧封板、密封端门、通道照明，组件颜色与机柜保持一致。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2.含2套推拉平移端门，安装在密闭通道两端，端门配置指纹/密码/刷卡三合一门禁控制系统。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3.含一套走线槽，机柜顶部须有专用走线槽，且采取电源线和信号线分开走线设计。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4.密闭冷通道外观须整洁平整，部件拼装牢固可靠且无松动，有良好的密闭性，通道内各模块组件颜色统一无明细色差。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5.含一套照明系统，通道照明灯沿通道方向布置，照度≥300LUX，采用智能照明设计，人来灯亮，人走灯灭，智能照明功能。</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6.烟雾检测与天窗执行器和外部消防系统对接，当天窗执行器接收到火灾告警信号，控制电磁锁开启天窗，同时发出声光报警信号，并将告警信号上传至动力环境监控系统。</w:t>
            </w:r>
          </w:p>
        </w:tc>
        <w:tc>
          <w:tcPr>
            <w:tcW w:w="336"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336"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586" w:hRule="atLeast"/>
        </w:trPr>
        <w:tc>
          <w:tcPr>
            <w:tcW w:w="608"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列头柜</w:t>
            </w:r>
          </w:p>
        </w:tc>
        <w:tc>
          <w:tcPr>
            <w:tcW w:w="371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1.列头柜尺寸满足600mm*1200mm*2000mm（宽*深*高），颜色与服务器机柜保持一致。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2.机柜表面喷粉厚度不小于60μm ,采用黑色砂纹工艺，满足防腐、防锈、防火、光洁、色泽均匀、无流挂、不露底、无起泡、无裂纹、金属件无毛刺锈蚀要求。</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3.配置不小于7寸液晶彩色触摸屏，触摸屏可显示系统模拟图，系统模拟图可显示各开关和防雷器的实时状态，可显示所有主回路及支回路的电量信息。</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4.列头柜标配1路250A/3P输入空开，40A/1P输出空开≥24个。UPS间到列头柜-空调电源线：ZA-YJV-(4x95+1x50)mm^2。.UPS间到列头柜-负载电源线：ZA-YJV-(4x95+1x50)mm^2。</w:t>
            </w:r>
          </w:p>
        </w:tc>
        <w:tc>
          <w:tcPr>
            <w:tcW w:w="336"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336"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1995" w:hRule="atLeast"/>
        </w:trPr>
        <w:tc>
          <w:tcPr>
            <w:tcW w:w="608"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行级精密空调</w:t>
            </w:r>
          </w:p>
        </w:tc>
        <w:tc>
          <w:tcPr>
            <w:tcW w:w="371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1.空调制冷量≥45KW，水平送风，可前后维护，风量≥9000m3/h，空调能效比≥3.4。</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2.室内机规格满足600mm*1200mm*2000mm（宽*深*高），室内机能够与机柜无缝并排安装，入列后保持和机柜搭配的美观度。</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3.每台空调配置不少于1套温湿度监测器用于监测其送回风温湿度。</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4.室内机具有RS485及FE通讯接口，以接入动环控制管理系统。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5.微模块中有1台空调的室内机具有加热和加湿功能，采用节能加湿系统。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6.含铜管及安装组件，R410A制冷剂，电缆等。</w:t>
            </w:r>
          </w:p>
        </w:tc>
        <w:tc>
          <w:tcPr>
            <w:tcW w:w="336"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336"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650" w:hRule="atLeast"/>
        </w:trPr>
        <w:tc>
          <w:tcPr>
            <w:tcW w:w="608" w:type="pct"/>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机房动环运维管理系统</w:t>
            </w:r>
          </w:p>
        </w:tc>
        <w:tc>
          <w:tcPr>
            <w:tcW w:w="3718" w:type="pct"/>
            <w:tcBorders>
              <w:top w:val="nil"/>
              <w:left w:val="nil"/>
              <w:bottom w:val="single" w:color="auto" w:sz="4" w:space="0"/>
              <w:right w:val="single" w:color="auto" w:sz="4" w:space="0"/>
            </w:tcBorders>
            <w:vAlign w:val="center"/>
          </w:tcPr>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1.与现有运环管理系统对接，以实现机房、微模块、UPS等统一运维管理。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2.配置一套微模块门禁控制系统：含门禁控制器、电磁锁、按钮组件、信号线缆等；门禁控制器可实现消防联动。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3.配置2套指纹/密码/刷卡三合一读卡器用于微模块，支持防拆报警功能，阅读器及语音提示功能，可实现身份识别+权限确认。</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4.含一套视频监控系统，≥2个200万像素摄像头，接入现有硬盘录像机。</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5.整个动环系统接入现有动环管理系统，含动环管理系统侧许可及二次开发对接费用。</w:t>
            </w:r>
          </w:p>
        </w:tc>
        <w:tc>
          <w:tcPr>
            <w:tcW w:w="336"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336" w:type="pct"/>
            <w:tcBorders>
              <w:top w:val="nil"/>
              <w:left w:val="nil"/>
              <w:bottom w:val="single" w:color="auto" w:sz="4" w:space="0"/>
              <w:right w:val="single" w:color="auto" w:sz="4" w:space="0"/>
            </w:tcBorders>
            <w:noWrap/>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1425" w:hRule="atLeast"/>
        </w:trPr>
        <w:tc>
          <w:tcPr>
            <w:tcW w:w="60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服务要求</w:t>
            </w:r>
          </w:p>
        </w:tc>
        <w:tc>
          <w:tcPr>
            <w:tcW w:w="4391" w:type="pct"/>
            <w:gridSpan w:val="3"/>
            <w:tcBorders>
              <w:top w:val="single" w:color="auto" w:sz="4" w:space="0"/>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本项目为交钥匙工程，投标人需根据现场实际需求配置相应配件及电缆，所涉及电缆均采用ZA级阻燃电缆。含设备的安装、调试、测试。含本次改造过程中可能涉及的辅材和割接过程中所有临时材料及人工费用。</w:t>
            </w:r>
          </w:p>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2.原厂</w:t>
            </w:r>
            <w:r>
              <w:rPr>
                <w:rFonts w:hint="eastAsia" w:ascii="等线" w:hAnsi="等线" w:eastAsia="等线" w:cs="宋体"/>
                <w:color w:val="000000"/>
                <w:kern w:val="0"/>
                <w:sz w:val="22"/>
                <w:szCs w:val="22"/>
                <w:lang w:eastAsia="zh-CN"/>
              </w:rPr>
              <w:t>6年</w:t>
            </w:r>
            <w:r>
              <w:rPr>
                <w:rFonts w:hint="eastAsia" w:ascii="等线" w:hAnsi="等线" w:eastAsia="等线" w:cs="宋体"/>
                <w:color w:val="000000"/>
                <w:kern w:val="0"/>
                <w:sz w:val="22"/>
                <w:szCs w:val="22"/>
              </w:rPr>
              <w:t>质保，每季度一次上门总体巡检，每年1/3/6/7/8/9/10月对精密空调进行外机清洗及除尘。含维护过程中涉及的所有耗材。</w:t>
            </w:r>
          </w:p>
        </w:tc>
      </w:tr>
    </w:tbl>
    <w:p>
      <w:pPr>
        <w:pStyle w:val="4"/>
        <w:numPr>
          <w:ilvl w:val="0"/>
          <w:numId w:val="1"/>
        </w:numPr>
        <w:rPr>
          <w:rFonts w:hint="eastAsia"/>
          <w:sz w:val="28"/>
          <w:szCs w:val="28"/>
        </w:rPr>
      </w:pPr>
      <w:r>
        <w:rPr>
          <w:rFonts w:hint="eastAsia"/>
          <w:sz w:val="28"/>
          <w:szCs w:val="28"/>
        </w:rPr>
        <w:t>门诊楼机房UPS及配电改造</w:t>
      </w:r>
    </w:p>
    <w:tbl>
      <w:tblPr>
        <w:tblStyle w:val="13"/>
        <w:tblW w:w="5000" w:type="pct"/>
        <w:tblInd w:w="0" w:type="dxa"/>
        <w:tblLayout w:type="autofit"/>
        <w:tblCellMar>
          <w:top w:w="0" w:type="dxa"/>
          <w:left w:w="108" w:type="dxa"/>
          <w:bottom w:w="0" w:type="dxa"/>
          <w:right w:w="108" w:type="dxa"/>
        </w:tblCellMar>
      </w:tblPr>
      <w:tblGrid>
        <w:gridCol w:w="1119"/>
        <w:gridCol w:w="7501"/>
        <w:gridCol w:w="680"/>
        <w:gridCol w:w="662"/>
      </w:tblGrid>
      <w:tr>
        <w:tblPrEx>
          <w:tblCellMar>
            <w:top w:w="0" w:type="dxa"/>
            <w:left w:w="108" w:type="dxa"/>
            <w:bottom w:w="0" w:type="dxa"/>
            <w:right w:w="108" w:type="dxa"/>
          </w:tblCellMar>
        </w:tblPrEx>
        <w:trPr>
          <w:trHeight w:val="285" w:hRule="atLeast"/>
          <w:tblHeader/>
        </w:trPr>
        <w:tc>
          <w:tcPr>
            <w:tcW w:w="562"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项目</w:t>
            </w:r>
          </w:p>
        </w:tc>
        <w:tc>
          <w:tcPr>
            <w:tcW w:w="3764" w:type="pct"/>
            <w:tcBorders>
              <w:top w:val="single" w:color="auto" w:sz="4" w:space="0"/>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描述</w:t>
            </w:r>
          </w:p>
        </w:tc>
        <w:tc>
          <w:tcPr>
            <w:tcW w:w="341" w:type="pct"/>
            <w:tcBorders>
              <w:top w:val="single" w:color="auto" w:sz="4" w:space="0"/>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数量</w:t>
            </w:r>
          </w:p>
        </w:tc>
        <w:tc>
          <w:tcPr>
            <w:tcW w:w="331" w:type="pct"/>
            <w:tcBorders>
              <w:top w:val="single" w:color="auto" w:sz="4" w:space="0"/>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单位</w:t>
            </w:r>
          </w:p>
        </w:tc>
      </w:tr>
      <w:tr>
        <w:tblPrEx>
          <w:tblCellMar>
            <w:top w:w="0" w:type="dxa"/>
            <w:left w:w="108" w:type="dxa"/>
            <w:bottom w:w="0" w:type="dxa"/>
            <w:right w:w="108" w:type="dxa"/>
          </w:tblCellMar>
        </w:tblPrEx>
        <w:trPr>
          <w:trHeight w:val="855" w:hRule="atLeast"/>
        </w:trPr>
        <w:tc>
          <w:tcPr>
            <w:tcW w:w="562"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配电柜</w:t>
            </w:r>
          </w:p>
        </w:tc>
        <w:tc>
          <w:tcPr>
            <w:tcW w:w="3764"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1.壁挂式配电柜(尺寸满足现场条件)，配置2个200A/3P MCCB断路器用于UPS输入和输出，1个200A/4P MCCB维修旁路断路器，15个40A/1P MCB用于UPS负载到机柜，15个40A/1P MCB用于市电负载到机柜。</w:t>
            </w:r>
          </w:p>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2.配置智能监控装置，监控每个支路的电源、电压、功率。配置触摸显示屏。断路器品牌推荐施耐德、ABB、西门子或同档次品牌。</w:t>
            </w:r>
          </w:p>
        </w:tc>
        <w:tc>
          <w:tcPr>
            <w:tcW w:w="341" w:type="pct"/>
            <w:tcBorders>
              <w:top w:val="nil"/>
              <w:left w:val="nil"/>
              <w:bottom w:val="single" w:color="auto" w:sz="4" w:space="0"/>
              <w:right w:val="single" w:color="auto" w:sz="4" w:space="0"/>
            </w:tcBorders>
            <w:noWrap/>
            <w:vAlign w:val="center"/>
          </w:tcPr>
          <w:p>
            <w:pPr>
              <w:widowControl/>
              <w:spacing w:line="360" w:lineRule="auto"/>
              <w:jc w:val="righ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331" w:type="pct"/>
            <w:tcBorders>
              <w:top w:val="nil"/>
              <w:left w:val="nil"/>
              <w:bottom w:val="single" w:color="auto" w:sz="4" w:space="0"/>
              <w:right w:val="single" w:color="auto" w:sz="4" w:space="0"/>
            </w:tcBorders>
            <w:noWrap/>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741" w:hRule="atLeast"/>
        </w:trPr>
        <w:tc>
          <w:tcPr>
            <w:tcW w:w="562" w:type="pct"/>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UPS</w:t>
            </w:r>
          </w:p>
        </w:tc>
        <w:tc>
          <w:tcPr>
            <w:tcW w:w="3764"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1.UPS类型：在线式（双变换式），制式为三相输入，三相输出，配置N+1功率模块，N功率合计≥60KVA。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2.系统的功率模块、监控模块、旁路模块应具备热插拔功能，模块插入和拔出后应不影响系统其他部件的正常工作；UPS系统采用集中旁路方式，内置维修旁路。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 xml:space="preserve">3.输入参数：额定输入电压380/400/415Vac，三相四线＋PE；输入电压范围138-485Vac，305-485Vac支持满载；输入频率范围40Hz～70Hz；输入功率因数＞0.99。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4.输出参数：额定电压380/400/415V±1%AC，三相四线＋PE；额定频率（Hz）：功率因数1；PF（感性/容性）0.5以上不降额；三相过载能力：110%≥60分钟、125%负载≥10分钟、150%负载≥1分钟后转旁路。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5.系统效率：≥94%。</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6.UPS系统应支持电池节数可调，具有定期对电池组进行自动浮充、均充转换、自动温度补偿、电池组放电及记录功能。</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7.UPS配置不小于7英寸的LCD显示屏，具备RS232或RS485/422、FE(SNMP通讯口)、干接点接口及环境监控传感器接口。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8.风扇故障时可发出声光告警，功率模块风扇具有冗错设计。</w:t>
            </w:r>
          </w:p>
        </w:tc>
        <w:tc>
          <w:tcPr>
            <w:tcW w:w="341" w:type="pct"/>
            <w:tcBorders>
              <w:top w:val="nil"/>
              <w:left w:val="nil"/>
              <w:bottom w:val="single" w:color="auto" w:sz="4" w:space="0"/>
              <w:right w:val="single" w:color="auto" w:sz="4" w:space="0"/>
            </w:tcBorders>
            <w:vAlign w:val="center"/>
          </w:tcPr>
          <w:p>
            <w:pPr>
              <w:widowControl/>
              <w:spacing w:line="360" w:lineRule="auto"/>
              <w:jc w:val="righ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331"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855" w:hRule="atLeast"/>
        </w:trPr>
        <w:tc>
          <w:tcPr>
            <w:tcW w:w="562" w:type="pct"/>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蓄电池</w:t>
            </w:r>
          </w:p>
        </w:tc>
        <w:tc>
          <w:tcPr>
            <w:tcW w:w="3764"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1.阀控式铅酸蓄电池，标称电压：12V，标称容量：200Ah @ C20（20小时率放电），使用寿命≥ 5年（浮充模式下 @ 25°C ±5°C）。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2.生产日期：交货时提供最近 6 个月内生产的产品，提供原厂3 年免费质保。</w:t>
            </w:r>
          </w:p>
        </w:tc>
        <w:tc>
          <w:tcPr>
            <w:tcW w:w="341" w:type="pct"/>
            <w:tcBorders>
              <w:top w:val="nil"/>
              <w:left w:val="nil"/>
              <w:bottom w:val="single" w:color="auto" w:sz="4" w:space="0"/>
              <w:right w:val="single" w:color="auto" w:sz="4" w:space="0"/>
            </w:tcBorders>
            <w:vAlign w:val="center"/>
          </w:tcPr>
          <w:p>
            <w:pPr>
              <w:widowControl/>
              <w:spacing w:line="360" w:lineRule="auto"/>
              <w:jc w:val="righ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40</w:t>
            </w:r>
          </w:p>
        </w:tc>
        <w:tc>
          <w:tcPr>
            <w:tcW w:w="331"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530" w:hRule="atLeast"/>
        </w:trPr>
        <w:tc>
          <w:tcPr>
            <w:tcW w:w="562" w:type="pct"/>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电池监控模块</w:t>
            </w:r>
          </w:p>
        </w:tc>
        <w:tc>
          <w:tcPr>
            <w:tcW w:w="3764"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1.配置电池监控模块，含1个主控模块，1个电流传感器模块、40个电池传感器模块。</w:t>
            </w:r>
          </w:p>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2.主控模块自带嵌入式显示屏，支持4组UPS电池组，提供RS2323/485，以太网接口，支持Web监控管理。支持挂架安装。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3.支持监测电池单体电压、内阻、温度、电流、电池均衡、电池漏液、电池热失控等。</w:t>
            </w:r>
          </w:p>
        </w:tc>
        <w:tc>
          <w:tcPr>
            <w:tcW w:w="341" w:type="pct"/>
            <w:tcBorders>
              <w:top w:val="nil"/>
              <w:left w:val="nil"/>
              <w:bottom w:val="single" w:color="auto" w:sz="4" w:space="0"/>
              <w:right w:val="single" w:color="auto" w:sz="4" w:space="0"/>
            </w:tcBorders>
            <w:vAlign w:val="center"/>
          </w:tcPr>
          <w:p>
            <w:pPr>
              <w:widowControl/>
              <w:spacing w:line="360" w:lineRule="auto"/>
              <w:jc w:val="righ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331"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285" w:hRule="atLeast"/>
        </w:trPr>
        <w:tc>
          <w:tcPr>
            <w:tcW w:w="562" w:type="pct"/>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电池架</w:t>
            </w:r>
          </w:p>
        </w:tc>
        <w:tc>
          <w:tcPr>
            <w:tcW w:w="3764"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定制，可安装40只12V 200Ah电池，含散列架。</w:t>
            </w:r>
          </w:p>
        </w:tc>
        <w:tc>
          <w:tcPr>
            <w:tcW w:w="341" w:type="pct"/>
            <w:tcBorders>
              <w:top w:val="nil"/>
              <w:left w:val="nil"/>
              <w:bottom w:val="single" w:color="auto" w:sz="4" w:space="0"/>
              <w:right w:val="single" w:color="auto" w:sz="4" w:space="0"/>
            </w:tcBorders>
            <w:vAlign w:val="center"/>
          </w:tcPr>
          <w:p>
            <w:pPr>
              <w:widowControl/>
              <w:spacing w:line="360" w:lineRule="auto"/>
              <w:jc w:val="righ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331"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285" w:hRule="atLeast"/>
        </w:trPr>
        <w:tc>
          <w:tcPr>
            <w:tcW w:w="562" w:type="pct"/>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服务要求</w:t>
            </w:r>
          </w:p>
        </w:tc>
        <w:tc>
          <w:tcPr>
            <w:tcW w:w="4437" w:type="pct"/>
            <w:gridSpan w:val="3"/>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1.电池连接线:RVV95mm²或铜排。UPS至电池连接线:RVV 3*95mm²。UPS输入输出线缆:ZA-YJV 4*50+1*25mm²。</w:t>
            </w:r>
          </w:p>
          <w:p>
            <w:pPr>
              <w:pStyle w:val="2"/>
              <w:rPr>
                <w:rFonts w:hint="eastAsia" w:ascii="等线" w:hAnsi="等线" w:eastAsia="等线" w:cs="宋体"/>
                <w:b w:val="0"/>
                <w:color w:val="000000"/>
                <w:kern w:val="0"/>
                <w:sz w:val="22"/>
                <w:szCs w:val="22"/>
              </w:rPr>
            </w:pPr>
            <w:r>
              <w:rPr>
                <w:rFonts w:hint="eastAsia" w:ascii="等线" w:hAnsi="等线" w:eastAsia="等线" w:cs="宋体"/>
                <w:b w:val="0"/>
                <w:color w:val="000000"/>
                <w:kern w:val="0"/>
                <w:sz w:val="22"/>
                <w:szCs w:val="22"/>
              </w:rPr>
              <w:t>2.电池开关：250A/3P DC650，断路器品牌推荐施耐德、ABB、西门子或同档次品牌。</w:t>
            </w:r>
          </w:p>
          <w:p>
            <w:pPr>
              <w:widowControl/>
              <w:spacing w:line="360" w:lineRule="auto"/>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3.本项目为交钥匙工程，投标人需根据现场实际需求配置相应配件及电缆，所涉及</w:t>
            </w:r>
            <w:r>
              <w:rPr>
                <w:rFonts w:hint="eastAsia" w:ascii="等线" w:hAnsi="等线" w:eastAsia="等线" w:cs="宋体"/>
                <w:color w:val="000000"/>
                <w:kern w:val="0"/>
                <w:sz w:val="22"/>
                <w:szCs w:val="22"/>
                <w:lang w:eastAsia="zh-CN"/>
              </w:rPr>
              <w:t>6年</w:t>
            </w:r>
            <w:r>
              <w:rPr>
                <w:rFonts w:hint="eastAsia" w:ascii="等线" w:hAnsi="等线" w:eastAsia="等线" w:cs="宋体"/>
                <w:color w:val="000000"/>
                <w:kern w:val="0"/>
                <w:sz w:val="22"/>
                <w:szCs w:val="22"/>
              </w:rPr>
              <w:t>电缆均采用ZA级阻燃电缆。含设备的安装、调试、测试。含本次改造过程中可能涉及的辅材和割接过程中所有临时材料及人工费用。</w:t>
            </w:r>
          </w:p>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lang w:val="en-US" w:eastAsia="zh-CN"/>
              </w:rPr>
              <w:t>4</w:t>
            </w:r>
            <w:r>
              <w:rPr>
                <w:rFonts w:hint="eastAsia" w:ascii="等线" w:hAnsi="等线" w:eastAsia="等线" w:cs="宋体"/>
                <w:color w:val="000000"/>
                <w:kern w:val="0"/>
                <w:sz w:val="22"/>
                <w:szCs w:val="22"/>
              </w:rPr>
              <w:t>.</w:t>
            </w:r>
            <w:r>
              <w:rPr>
                <w:rFonts w:hint="eastAsia" w:ascii="等线" w:hAnsi="等线" w:eastAsia="等线" w:cs="宋体"/>
                <w:color w:val="000000"/>
                <w:kern w:val="0"/>
                <w:sz w:val="22"/>
                <w:szCs w:val="22"/>
                <w:lang w:val="en-US" w:eastAsia="zh-CN"/>
              </w:rPr>
              <w:t>6年</w:t>
            </w:r>
            <w:r>
              <w:rPr>
                <w:rFonts w:hint="eastAsia" w:ascii="等线" w:hAnsi="等线" w:eastAsia="等线" w:cs="宋体"/>
                <w:color w:val="000000"/>
                <w:kern w:val="0"/>
                <w:sz w:val="22"/>
                <w:szCs w:val="22"/>
              </w:rPr>
              <w:t>原厂质保，每季度一次上门总体巡检，含维护过程中涉及的所有耗材。</w:t>
            </w:r>
          </w:p>
        </w:tc>
      </w:tr>
    </w:tbl>
    <w:p>
      <w:pPr>
        <w:rPr>
          <w:sz w:val="28"/>
          <w:szCs w:val="28"/>
        </w:rPr>
      </w:pPr>
    </w:p>
    <w:p>
      <w:pPr>
        <w:pStyle w:val="4"/>
        <w:numPr>
          <w:ilvl w:val="0"/>
          <w:numId w:val="1"/>
        </w:numPr>
        <w:rPr>
          <w:rFonts w:hint="eastAsia"/>
          <w:sz w:val="28"/>
          <w:szCs w:val="28"/>
        </w:rPr>
      </w:pPr>
      <w:r>
        <w:rPr>
          <w:rFonts w:hint="eastAsia"/>
          <w:sz w:val="28"/>
          <w:szCs w:val="28"/>
        </w:rPr>
        <w:t>数据中心交换机</w:t>
      </w:r>
    </w:p>
    <w:tbl>
      <w:tblPr>
        <w:tblStyle w:val="13"/>
        <w:tblW w:w="0" w:type="auto"/>
        <w:tblInd w:w="0" w:type="dxa"/>
        <w:tblLayout w:type="autofit"/>
        <w:tblCellMar>
          <w:top w:w="0" w:type="dxa"/>
          <w:left w:w="108" w:type="dxa"/>
          <w:bottom w:w="0" w:type="dxa"/>
          <w:right w:w="108" w:type="dxa"/>
        </w:tblCellMar>
      </w:tblPr>
      <w:tblGrid>
        <w:gridCol w:w="1120"/>
        <w:gridCol w:w="7877"/>
        <w:gridCol w:w="482"/>
        <w:gridCol w:w="483"/>
      </w:tblGrid>
      <w:tr>
        <w:tblPrEx>
          <w:tblCellMar>
            <w:top w:w="0" w:type="dxa"/>
            <w:left w:w="108" w:type="dxa"/>
            <w:bottom w:w="0" w:type="dxa"/>
            <w:right w:w="108" w:type="dxa"/>
          </w:tblCellMar>
        </w:tblPrEx>
        <w:trPr>
          <w:trHeight w:val="285" w:hRule="atLeast"/>
          <w:tblHeader/>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项目</w:t>
            </w:r>
          </w:p>
        </w:tc>
        <w:tc>
          <w:tcPr>
            <w:tcW w:w="0" w:type="auto"/>
            <w:tcBorders>
              <w:top w:val="single" w:color="auto" w:sz="4" w:space="0"/>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描述</w:t>
            </w:r>
          </w:p>
        </w:tc>
        <w:tc>
          <w:tcPr>
            <w:tcW w:w="0" w:type="auto"/>
            <w:tcBorders>
              <w:top w:val="single" w:color="auto" w:sz="4" w:space="0"/>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数量</w:t>
            </w:r>
          </w:p>
        </w:tc>
        <w:tc>
          <w:tcPr>
            <w:tcW w:w="0" w:type="auto"/>
            <w:tcBorders>
              <w:top w:val="single" w:color="auto" w:sz="4" w:space="0"/>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单位</w:t>
            </w:r>
          </w:p>
        </w:tc>
      </w:tr>
      <w:tr>
        <w:tblPrEx>
          <w:tblCellMar>
            <w:top w:w="0" w:type="dxa"/>
            <w:left w:w="108" w:type="dxa"/>
            <w:bottom w:w="0" w:type="dxa"/>
            <w:right w:w="108" w:type="dxa"/>
          </w:tblCellMar>
        </w:tblPrEx>
        <w:trPr>
          <w:trHeight w:val="1940" w:hRule="atLeast"/>
        </w:trPr>
        <w:tc>
          <w:tcPr>
            <w:tcW w:w="0" w:type="auto"/>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数据中心接入交换机(内网)</w:t>
            </w:r>
          </w:p>
        </w:tc>
        <w:tc>
          <w:tcPr>
            <w:tcW w:w="0" w:type="auto"/>
            <w:tcBorders>
              <w:top w:val="nil"/>
              <w:left w:val="nil"/>
              <w:bottom w:val="single" w:color="auto" w:sz="4" w:space="0"/>
              <w:right w:val="single" w:color="auto" w:sz="4" w:space="0"/>
            </w:tcBorders>
            <w:vAlign w:val="center"/>
          </w:tcPr>
          <w:p>
            <w:pPr>
              <w:pStyle w:val="2"/>
              <w:rPr>
                <w:rFonts w:hint="eastAsia" w:ascii="等线" w:hAnsi="等线" w:eastAsia="等线" w:cs="宋体"/>
                <w:b w:val="0"/>
                <w:color w:val="000000"/>
                <w:kern w:val="0"/>
                <w:sz w:val="22"/>
                <w:szCs w:val="22"/>
              </w:rPr>
            </w:pPr>
            <w:r>
              <w:rPr>
                <w:rFonts w:hint="eastAsia" w:ascii="等线" w:hAnsi="等线" w:eastAsia="等线" w:cs="宋体"/>
                <w:b w:val="0"/>
                <w:color w:val="000000"/>
                <w:kern w:val="0"/>
                <w:sz w:val="22"/>
                <w:szCs w:val="22"/>
              </w:rPr>
              <w:t>1.性能要求：交换容量≥4Tbps，包转发率≥2000Mpps;(官网有A/B值时，以最小值为准)。</w:t>
            </w:r>
            <w:r>
              <w:rPr>
                <w:rFonts w:hint="eastAsia" w:ascii="等线" w:hAnsi="等线" w:eastAsia="等线" w:cs="宋体"/>
                <w:b w:val="0"/>
                <w:color w:val="000000"/>
                <w:kern w:val="0"/>
                <w:sz w:val="22"/>
                <w:szCs w:val="22"/>
              </w:rPr>
              <w:br w:type="textWrapping"/>
            </w:r>
            <w:r>
              <w:rPr>
                <w:rFonts w:hint="eastAsia" w:ascii="等线" w:hAnsi="等线" w:eastAsia="等线" w:cs="宋体"/>
                <w:b w:val="0"/>
                <w:color w:val="000000"/>
                <w:kern w:val="0"/>
                <w:sz w:val="22"/>
                <w:szCs w:val="22"/>
                <w:lang w:val="en-US" w:eastAsia="zh-CN"/>
              </w:rPr>
              <w:t>2.</w:t>
            </w:r>
            <w:r>
              <w:rPr>
                <w:rFonts w:hint="eastAsia" w:ascii="等线" w:hAnsi="等线" w:eastAsia="等线" w:cs="宋体"/>
                <w:b w:val="0"/>
                <w:color w:val="000000"/>
                <w:kern w:val="0"/>
                <w:sz w:val="22"/>
                <w:szCs w:val="22"/>
              </w:rPr>
              <w:t>单台配置要求：10GE光口≥48个，40G/100GE光口≥6个，配置2个可热插拔交流电源，满配可热插拔风扇。配置1条100G AOC线缆用于Peer-Link。配置现有SDN控制器授权许可和</w:t>
            </w:r>
            <w:r>
              <w:rPr>
                <w:rFonts w:hint="eastAsia" w:ascii="等线" w:hAnsi="等线" w:eastAsia="等线" w:cs="宋体"/>
                <w:b w:val="0"/>
                <w:color w:val="000000"/>
                <w:kern w:val="0"/>
                <w:sz w:val="22"/>
                <w:szCs w:val="22"/>
                <w:lang w:val="en-US" w:eastAsia="zh-CN"/>
              </w:rPr>
              <w:t>6</w:t>
            </w:r>
            <w:r>
              <w:rPr>
                <w:rFonts w:hint="eastAsia" w:ascii="等线" w:hAnsi="等线" w:eastAsia="等线" w:cs="宋体"/>
                <w:b w:val="0"/>
                <w:color w:val="000000"/>
                <w:kern w:val="0"/>
                <w:sz w:val="22"/>
                <w:szCs w:val="22"/>
              </w:rPr>
              <w:t>年原厂订阅费用。配置万兆多模光纤模块≥</w:t>
            </w:r>
            <w:r>
              <w:rPr>
                <w:rFonts w:hint="eastAsia" w:ascii="等线" w:hAnsi="等线" w:eastAsia="等线" w:cs="宋体"/>
                <w:b w:val="0"/>
                <w:color w:val="000000"/>
                <w:kern w:val="0"/>
                <w:sz w:val="22"/>
                <w:szCs w:val="22"/>
                <w:lang w:val="en-US" w:eastAsia="zh-CN"/>
              </w:rPr>
              <w:t>4</w:t>
            </w:r>
            <w:r>
              <w:rPr>
                <w:rFonts w:hint="eastAsia" w:ascii="等线" w:hAnsi="等线" w:eastAsia="等线" w:cs="宋体"/>
                <w:b w:val="0"/>
                <w:color w:val="000000"/>
                <w:kern w:val="0"/>
                <w:sz w:val="22"/>
                <w:szCs w:val="22"/>
              </w:rPr>
              <w:t>个，100G单模光纤模块(1310nm,LC)≥</w:t>
            </w:r>
            <w:r>
              <w:rPr>
                <w:rFonts w:hint="eastAsia" w:ascii="等线" w:hAnsi="等线" w:eastAsia="等线" w:cs="宋体"/>
                <w:b w:val="0"/>
                <w:color w:val="000000"/>
                <w:kern w:val="0"/>
                <w:sz w:val="22"/>
                <w:szCs w:val="22"/>
                <w:lang w:val="en-US" w:eastAsia="zh-CN"/>
              </w:rPr>
              <w:t>8</w:t>
            </w:r>
            <w:r>
              <w:rPr>
                <w:rFonts w:hint="eastAsia" w:ascii="等线" w:hAnsi="等线" w:eastAsia="等线" w:cs="宋体"/>
                <w:b w:val="0"/>
                <w:color w:val="000000"/>
                <w:kern w:val="0"/>
                <w:sz w:val="22"/>
                <w:szCs w:val="22"/>
              </w:rPr>
              <w:t>个，100G多模光纤模块(850nm,MPO) ≥</w:t>
            </w:r>
            <w:r>
              <w:rPr>
                <w:rFonts w:hint="eastAsia" w:ascii="等线" w:hAnsi="等线" w:eastAsia="等线" w:cs="宋体"/>
                <w:b w:val="0"/>
                <w:color w:val="000000"/>
                <w:kern w:val="0"/>
                <w:sz w:val="22"/>
                <w:szCs w:val="22"/>
                <w:lang w:val="en-US" w:eastAsia="zh-CN"/>
              </w:rPr>
              <w:t>8</w:t>
            </w:r>
            <w:r>
              <w:rPr>
                <w:rFonts w:hint="eastAsia" w:ascii="等线" w:hAnsi="等线" w:eastAsia="等线" w:cs="宋体"/>
                <w:b w:val="0"/>
                <w:color w:val="000000"/>
                <w:kern w:val="0"/>
                <w:sz w:val="22"/>
                <w:szCs w:val="22"/>
              </w:rPr>
              <w:t>个。光模块与交换机同一品牌，并按需配置跳纤。</w:t>
            </w:r>
            <w:r>
              <w:rPr>
                <w:rFonts w:hint="eastAsia" w:ascii="等线" w:hAnsi="等线" w:eastAsia="等线" w:cs="宋体"/>
                <w:b w:val="0"/>
                <w:color w:val="000000"/>
                <w:kern w:val="0"/>
                <w:sz w:val="22"/>
                <w:szCs w:val="22"/>
              </w:rPr>
              <w:br w:type="textWrapping"/>
            </w:r>
            <w:r>
              <w:rPr>
                <w:rFonts w:hint="eastAsia" w:ascii="等线" w:hAnsi="等线" w:eastAsia="等线" w:cs="宋体"/>
                <w:b w:val="0"/>
                <w:color w:val="000000"/>
                <w:kern w:val="0"/>
                <w:sz w:val="22"/>
                <w:szCs w:val="22"/>
              </w:rPr>
              <w:t>3.二层功能：支持Access、Trunk和Hybrid三种模式，支持QinQ、MuxVLAN，支持M-LAG或vPC等类似技术。</w:t>
            </w:r>
            <w:r>
              <w:rPr>
                <w:rFonts w:hint="eastAsia" w:ascii="等线" w:hAnsi="等线" w:eastAsia="等线" w:cs="宋体"/>
                <w:b w:val="0"/>
                <w:color w:val="000000"/>
                <w:kern w:val="0"/>
                <w:sz w:val="22"/>
                <w:szCs w:val="22"/>
              </w:rPr>
              <w:br w:type="textWrapping"/>
            </w:r>
            <w:r>
              <w:rPr>
                <w:rFonts w:hint="eastAsia" w:ascii="等线" w:hAnsi="等线" w:eastAsia="等线" w:cs="宋体"/>
                <w:b w:val="0"/>
                <w:color w:val="000000"/>
                <w:kern w:val="0"/>
                <w:sz w:val="22"/>
                <w:szCs w:val="22"/>
              </w:rPr>
              <w:t>4.三层功能：支持RIP、OSPF、ISIS、BGP等IPv4动态路由协议，支持RIPng、OSPFv3、ISISv6、BGP4+等IPv6动态路由协议，支持IP报文分片重组。</w:t>
            </w:r>
            <w:r>
              <w:rPr>
                <w:rFonts w:hint="eastAsia" w:ascii="等线" w:hAnsi="等线" w:eastAsia="等线" w:cs="宋体"/>
                <w:b w:val="0"/>
                <w:color w:val="000000"/>
                <w:kern w:val="0"/>
                <w:sz w:val="22"/>
                <w:szCs w:val="22"/>
              </w:rPr>
              <w:br w:type="textWrapping"/>
            </w:r>
            <w:r>
              <w:rPr>
                <w:rFonts w:hint="eastAsia" w:ascii="等线" w:hAnsi="等线" w:eastAsia="等线" w:cs="宋体"/>
                <w:b w:val="0"/>
                <w:color w:val="000000"/>
                <w:kern w:val="0"/>
                <w:sz w:val="22"/>
                <w:szCs w:val="22"/>
              </w:rPr>
              <w:t>5.数据中心特性：支持Vxlan，支持BGPEVPN特性，支持M-LAG，支持QinQ Access VXLAN。</w:t>
            </w:r>
            <w:r>
              <w:rPr>
                <w:rFonts w:hint="eastAsia" w:ascii="等线" w:hAnsi="等线" w:eastAsia="等线" w:cs="宋体"/>
                <w:b w:val="0"/>
                <w:color w:val="000000"/>
                <w:kern w:val="0"/>
                <w:sz w:val="22"/>
                <w:szCs w:val="22"/>
              </w:rPr>
              <w:br w:type="textWrapping"/>
            </w:r>
            <w:r>
              <w:rPr>
                <w:rFonts w:hint="eastAsia" w:ascii="等线" w:hAnsi="等线" w:eastAsia="等线" w:cs="宋体"/>
                <w:b w:val="0"/>
                <w:color w:val="000000"/>
                <w:kern w:val="0"/>
                <w:sz w:val="22"/>
                <w:szCs w:val="22"/>
              </w:rPr>
              <w:t>6.安全性：支持方式Dos、arp攻击和ICMP攻击，支持微分段、NSH，IP、MAC、端口和VLAN的组合绑定，支持端口隔离，支持AAA、Radius和TACACS认证，支持RMON。</w:t>
            </w:r>
          </w:p>
        </w:tc>
        <w:tc>
          <w:tcPr>
            <w:tcW w:w="0" w:type="auto"/>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FF0000"/>
                <w:kern w:val="0"/>
                <w:sz w:val="22"/>
                <w:szCs w:val="22"/>
              </w:rPr>
            </w:pPr>
            <w:r>
              <w:rPr>
                <w:rFonts w:hint="eastAsia" w:ascii="等线" w:hAnsi="等线" w:eastAsia="等线" w:cs="宋体"/>
                <w:color w:val="auto"/>
                <w:kern w:val="0"/>
                <w:sz w:val="22"/>
                <w:szCs w:val="22"/>
              </w:rPr>
              <w:t>4</w:t>
            </w:r>
          </w:p>
        </w:tc>
        <w:tc>
          <w:tcPr>
            <w:tcW w:w="0" w:type="auto"/>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855" w:hRule="atLeast"/>
        </w:trPr>
        <w:tc>
          <w:tcPr>
            <w:tcW w:w="0" w:type="auto"/>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kern w:val="0"/>
                <w:sz w:val="22"/>
                <w:szCs w:val="22"/>
              </w:rPr>
            </w:pPr>
            <w:r>
              <w:rPr>
                <w:rFonts w:hint="eastAsia" w:ascii="等线" w:hAnsi="等线" w:eastAsia="等线" w:cs="宋体"/>
                <w:kern w:val="0"/>
                <w:sz w:val="22"/>
                <w:szCs w:val="22"/>
              </w:rPr>
              <w:t>DMZ接入交换机</w:t>
            </w:r>
          </w:p>
        </w:tc>
        <w:tc>
          <w:tcPr>
            <w:tcW w:w="0" w:type="auto"/>
            <w:tcBorders>
              <w:top w:val="nil"/>
              <w:left w:val="nil"/>
              <w:bottom w:val="single" w:color="auto" w:sz="4" w:space="0"/>
              <w:right w:val="single" w:color="auto" w:sz="4" w:space="0"/>
            </w:tcBorders>
            <w:vAlign w:val="center"/>
          </w:tcPr>
          <w:p>
            <w:pPr>
              <w:pStyle w:val="2"/>
              <w:rPr>
                <w:rFonts w:hint="eastAsia" w:ascii="等线" w:hAnsi="等线" w:eastAsia="等线" w:cs="宋体"/>
                <w:b w:val="0"/>
                <w:color w:val="000000"/>
                <w:kern w:val="0"/>
                <w:sz w:val="22"/>
                <w:szCs w:val="22"/>
              </w:rPr>
            </w:pPr>
            <w:r>
              <w:rPr>
                <w:rFonts w:hint="eastAsia" w:ascii="等线" w:hAnsi="等线" w:eastAsia="等线" w:cs="宋体"/>
                <w:b w:val="0"/>
                <w:color w:val="000000"/>
                <w:kern w:val="0"/>
                <w:sz w:val="22"/>
                <w:szCs w:val="22"/>
              </w:rPr>
              <w:t>1.性能要求：交换容量≥4Tbps，包转发率≥2000Mpps;(官网有A/B值时，以最小值为准)。</w:t>
            </w:r>
          </w:p>
          <w:p>
            <w:pPr>
              <w:pStyle w:val="2"/>
              <w:rPr>
                <w:rFonts w:hint="eastAsia" w:ascii="等线" w:hAnsi="等线" w:eastAsia="等线" w:cs="宋体"/>
                <w:b w:val="0"/>
                <w:color w:val="000000"/>
                <w:kern w:val="0"/>
                <w:sz w:val="22"/>
                <w:szCs w:val="22"/>
              </w:rPr>
            </w:pPr>
            <w:r>
              <w:rPr>
                <w:rFonts w:hint="eastAsia" w:ascii="等线" w:hAnsi="等线" w:eastAsia="等线" w:cs="宋体"/>
                <w:b w:val="0"/>
                <w:color w:val="000000"/>
                <w:kern w:val="0"/>
                <w:sz w:val="22"/>
                <w:szCs w:val="22"/>
                <w:lang w:val="en-US" w:eastAsia="zh-CN"/>
              </w:rPr>
              <w:t>2.</w:t>
            </w:r>
            <w:r>
              <w:rPr>
                <w:rFonts w:hint="eastAsia" w:ascii="等线" w:hAnsi="等线" w:eastAsia="等线" w:cs="宋体"/>
                <w:b w:val="0"/>
                <w:color w:val="000000"/>
                <w:kern w:val="0"/>
                <w:sz w:val="22"/>
                <w:szCs w:val="22"/>
              </w:rPr>
              <w:t>单台配置要求：10GE光口≥48个，40G/100GE光口≥6个，配置2个可热插拔交流电源，满配可热插拔风扇。配置1条100G AOC线缆用于Peer-Link。配置万兆多模光纤模块≥4个，万兆单模光纤模块≥4个。光模块与交换机同一品牌，并按需配置跳纤。二层功能：支持Access、Trunk和Hybrid三种模式，支持QinQ、MuxVLAN，支持M-LAG或vPC等类似技术。</w:t>
            </w:r>
          </w:p>
          <w:p>
            <w:pPr>
              <w:pStyle w:val="2"/>
              <w:rPr>
                <w:rFonts w:hint="eastAsia" w:ascii="等线" w:hAnsi="等线" w:eastAsia="等线" w:cs="宋体"/>
                <w:b w:val="0"/>
                <w:color w:val="000000"/>
                <w:kern w:val="0"/>
                <w:sz w:val="22"/>
                <w:szCs w:val="22"/>
              </w:rPr>
            </w:pPr>
            <w:r>
              <w:rPr>
                <w:rFonts w:hint="eastAsia" w:ascii="等线" w:hAnsi="等线" w:eastAsia="等线" w:cs="宋体"/>
                <w:b w:val="0"/>
                <w:color w:val="000000"/>
                <w:kern w:val="0"/>
                <w:sz w:val="22"/>
                <w:szCs w:val="22"/>
                <w:lang w:val="en-US" w:eastAsia="zh-CN"/>
              </w:rPr>
              <w:t>3.</w:t>
            </w:r>
            <w:r>
              <w:rPr>
                <w:rFonts w:hint="eastAsia" w:ascii="等线" w:hAnsi="等线" w:eastAsia="等线" w:cs="宋体"/>
                <w:b w:val="0"/>
                <w:color w:val="000000"/>
                <w:kern w:val="0"/>
                <w:sz w:val="22"/>
                <w:szCs w:val="22"/>
              </w:rPr>
              <w:t>三层功能：支持RIP、OSPF、ISIS、BGP等IPv4动态路由协议，支持RIPng、OSPFv3、ISISv6、BGP4+等IPv6动态路由协议，支持IP报文分片重组。</w:t>
            </w:r>
          </w:p>
          <w:p>
            <w:pPr>
              <w:pStyle w:val="2"/>
              <w:rPr>
                <w:rFonts w:hint="eastAsia" w:ascii="等线" w:hAnsi="等线" w:eastAsia="等线" w:cs="宋体"/>
                <w:b w:val="0"/>
                <w:color w:val="000000"/>
                <w:kern w:val="0"/>
                <w:sz w:val="22"/>
                <w:szCs w:val="22"/>
              </w:rPr>
            </w:pPr>
            <w:r>
              <w:rPr>
                <w:rFonts w:hint="eastAsia" w:ascii="等线" w:hAnsi="等线" w:eastAsia="等线" w:cs="宋体"/>
                <w:b w:val="0"/>
                <w:color w:val="000000"/>
                <w:kern w:val="0"/>
                <w:sz w:val="22"/>
                <w:szCs w:val="22"/>
                <w:lang w:val="en-US" w:eastAsia="zh-CN"/>
              </w:rPr>
              <w:t>4.</w:t>
            </w:r>
            <w:r>
              <w:rPr>
                <w:rFonts w:hint="eastAsia" w:ascii="等线" w:hAnsi="等线" w:eastAsia="等线" w:cs="宋体"/>
                <w:b w:val="0"/>
                <w:color w:val="000000"/>
                <w:kern w:val="0"/>
                <w:sz w:val="22"/>
                <w:szCs w:val="22"/>
              </w:rPr>
              <w:t>数据中心特性：支持Vxlan，支持BGPEVPN特性，支持M-LAG，支持QinQ Access VXLAN。</w:t>
            </w:r>
          </w:p>
          <w:p>
            <w:pPr>
              <w:pStyle w:val="2"/>
              <w:rPr>
                <w:rFonts w:hint="eastAsia" w:ascii="等线" w:hAnsi="等线" w:eastAsia="等线" w:cs="宋体"/>
                <w:b w:val="0"/>
                <w:color w:val="000000"/>
                <w:kern w:val="0"/>
                <w:sz w:val="22"/>
                <w:szCs w:val="22"/>
              </w:rPr>
            </w:pPr>
            <w:r>
              <w:rPr>
                <w:rFonts w:hint="eastAsia" w:ascii="等线" w:hAnsi="等线" w:eastAsia="等线" w:cs="宋体"/>
                <w:b w:val="0"/>
                <w:color w:val="000000"/>
                <w:kern w:val="0"/>
                <w:sz w:val="22"/>
                <w:szCs w:val="22"/>
                <w:lang w:val="en-US" w:eastAsia="zh-CN"/>
              </w:rPr>
              <w:t>5.</w:t>
            </w:r>
            <w:r>
              <w:rPr>
                <w:rFonts w:hint="eastAsia" w:ascii="等线" w:hAnsi="等线" w:eastAsia="等线" w:cs="宋体"/>
                <w:b w:val="0"/>
                <w:color w:val="000000"/>
                <w:kern w:val="0"/>
                <w:sz w:val="22"/>
                <w:szCs w:val="22"/>
              </w:rPr>
              <w:t>安全性：支持方式Dos、arp攻击和ICMP攻击，支持微分段、NSH，IP、MAC、端口和VLAN的组合绑定，支持端口隔离，支持AAA、Radius和TACACS认证，支持RMON。</w:t>
            </w:r>
          </w:p>
        </w:tc>
        <w:tc>
          <w:tcPr>
            <w:tcW w:w="0" w:type="auto"/>
            <w:tcBorders>
              <w:top w:val="nil"/>
              <w:left w:val="nil"/>
              <w:bottom w:val="single" w:color="auto" w:sz="4" w:space="0"/>
              <w:right w:val="single" w:color="auto" w:sz="4" w:space="0"/>
            </w:tcBorders>
            <w:vAlign w:val="center"/>
          </w:tcPr>
          <w:p>
            <w:pPr>
              <w:widowControl/>
              <w:spacing w:line="360" w:lineRule="auto"/>
              <w:jc w:val="right"/>
              <w:rPr>
                <w:rFonts w:hint="eastAsia" w:ascii="等线" w:hAnsi="等线" w:eastAsia="等线" w:cs="宋体"/>
                <w:kern w:val="0"/>
                <w:sz w:val="22"/>
                <w:szCs w:val="22"/>
              </w:rPr>
            </w:pPr>
            <w:r>
              <w:rPr>
                <w:rFonts w:hint="eastAsia" w:ascii="等线" w:hAnsi="等线" w:eastAsia="等线" w:cs="宋体"/>
                <w:color w:val="auto"/>
                <w:kern w:val="0"/>
                <w:sz w:val="22"/>
                <w:szCs w:val="22"/>
              </w:rPr>
              <w:t>2</w:t>
            </w:r>
          </w:p>
        </w:tc>
        <w:tc>
          <w:tcPr>
            <w:tcW w:w="0" w:type="auto"/>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kern w:val="0"/>
                <w:sz w:val="22"/>
                <w:szCs w:val="22"/>
              </w:rPr>
            </w:pPr>
            <w:r>
              <w:rPr>
                <w:rFonts w:hint="eastAsia" w:ascii="等线" w:hAnsi="等线" w:eastAsia="等线" w:cs="宋体"/>
                <w:color w:val="000000"/>
                <w:kern w:val="0"/>
                <w:sz w:val="22"/>
                <w:szCs w:val="22"/>
              </w:rPr>
              <w:t>套</w:t>
            </w:r>
          </w:p>
        </w:tc>
      </w:tr>
      <w:tr>
        <w:tblPrEx>
          <w:tblCellMar>
            <w:top w:w="0" w:type="dxa"/>
            <w:left w:w="108" w:type="dxa"/>
            <w:bottom w:w="0" w:type="dxa"/>
            <w:right w:w="108" w:type="dxa"/>
          </w:tblCellMar>
        </w:tblPrEx>
        <w:trPr>
          <w:trHeight w:val="570" w:hRule="atLeast"/>
        </w:trPr>
        <w:tc>
          <w:tcPr>
            <w:tcW w:w="0" w:type="auto"/>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kern w:val="0"/>
                <w:sz w:val="22"/>
                <w:szCs w:val="22"/>
              </w:rPr>
            </w:pPr>
            <w:r>
              <w:rPr>
                <w:rFonts w:hint="eastAsia" w:ascii="等线" w:hAnsi="等线" w:eastAsia="等线" w:cs="宋体"/>
                <w:kern w:val="0"/>
                <w:sz w:val="22"/>
                <w:szCs w:val="22"/>
              </w:rPr>
              <w:t>带外管理交换机</w:t>
            </w:r>
          </w:p>
        </w:tc>
        <w:tc>
          <w:tcPr>
            <w:tcW w:w="0" w:type="auto"/>
            <w:tcBorders>
              <w:top w:val="nil"/>
              <w:left w:val="nil"/>
              <w:bottom w:val="single" w:color="auto" w:sz="4" w:space="0"/>
              <w:right w:val="single" w:color="auto" w:sz="4" w:space="0"/>
            </w:tcBorders>
            <w:vAlign w:val="center"/>
          </w:tcPr>
          <w:p>
            <w:pPr>
              <w:pStyle w:val="2"/>
              <w:rPr>
                <w:rFonts w:hint="eastAsia" w:ascii="等线" w:hAnsi="等线" w:eastAsia="等线" w:cs="宋体"/>
                <w:b w:val="0"/>
                <w:color w:val="000000"/>
                <w:kern w:val="0"/>
                <w:sz w:val="22"/>
                <w:szCs w:val="22"/>
              </w:rPr>
            </w:pPr>
            <w:r>
              <w:rPr>
                <w:rFonts w:hint="eastAsia" w:ascii="等线" w:hAnsi="等线" w:eastAsia="等线" w:cs="宋体"/>
                <w:b w:val="0"/>
                <w:color w:val="000000"/>
                <w:kern w:val="0"/>
                <w:sz w:val="22"/>
                <w:szCs w:val="22"/>
                <w:lang w:val="en-US" w:eastAsia="zh-CN"/>
              </w:rPr>
              <w:t>1.</w:t>
            </w:r>
            <w:r>
              <w:rPr>
                <w:rFonts w:hint="eastAsia" w:ascii="等线" w:hAnsi="等线" w:eastAsia="等线" w:cs="宋体"/>
                <w:b w:val="0"/>
                <w:color w:val="000000"/>
                <w:kern w:val="0"/>
                <w:sz w:val="22"/>
                <w:szCs w:val="22"/>
              </w:rPr>
              <w:t>性能要求：交换容量≥600Gbps，包转发率≥140Mpps；(官网有A/B值时，以最小值为准)。</w:t>
            </w:r>
          </w:p>
          <w:p>
            <w:pPr>
              <w:pStyle w:val="2"/>
              <w:rPr>
                <w:rFonts w:hint="eastAsia" w:ascii="等线" w:hAnsi="等线" w:eastAsia="等线" w:cs="宋体"/>
                <w:b w:val="0"/>
                <w:color w:val="000000"/>
                <w:kern w:val="0"/>
                <w:sz w:val="22"/>
                <w:szCs w:val="22"/>
              </w:rPr>
            </w:pPr>
            <w:r>
              <w:rPr>
                <w:rFonts w:hint="eastAsia" w:ascii="等线" w:hAnsi="等线" w:eastAsia="等线" w:cs="宋体"/>
                <w:b w:val="0"/>
                <w:color w:val="000000"/>
                <w:kern w:val="0"/>
                <w:sz w:val="22"/>
                <w:szCs w:val="22"/>
                <w:lang w:val="en-US" w:eastAsia="zh-CN"/>
              </w:rPr>
              <w:t>2.单台配置要求</w:t>
            </w:r>
            <w:r>
              <w:rPr>
                <w:rFonts w:hint="eastAsia" w:ascii="等线" w:hAnsi="等线" w:eastAsia="等线" w:cs="宋体"/>
                <w:b w:val="0"/>
                <w:color w:val="000000"/>
                <w:kern w:val="0"/>
                <w:sz w:val="22"/>
                <w:szCs w:val="22"/>
              </w:rPr>
              <w:t>：千兆电口≥48个，万兆SFP+光口≥4个，配置可热插拔双交流电源。万兆多模光纤模块≥2个，万兆单模光纤模块≥4个，光模块与交换机同一品牌，并按需配置跳纤。</w:t>
            </w:r>
          </w:p>
          <w:p>
            <w:pPr>
              <w:pStyle w:val="2"/>
              <w:rPr>
                <w:rFonts w:hint="eastAsia" w:ascii="等线" w:hAnsi="等线" w:eastAsia="等线" w:cs="宋体"/>
                <w:b w:val="0"/>
                <w:color w:val="000000"/>
                <w:kern w:val="0"/>
                <w:sz w:val="22"/>
                <w:szCs w:val="22"/>
              </w:rPr>
            </w:pPr>
            <w:r>
              <w:rPr>
                <w:rFonts w:hint="eastAsia" w:ascii="等线" w:hAnsi="等线" w:eastAsia="等线" w:cs="宋体"/>
                <w:b w:val="0"/>
                <w:color w:val="000000"/>
                <w:kern w:val="0"/>
                <w:sz w:val="22"/>
                <w:szCs w:val="22"/>
                <w:lang w:val="en-US" w:eastAsia="zh-CN"/>
              </w:rPr>
              <w:t>3.</w:t>
            </w:r>
            <w:r>
              <w:rPr>
                <w:rFonts w:hint="eastAsia" w:ascii="等线" w:hAnsi="等线" w:eastAsia="等线" w:cs="宋体"/>
                <w:b w:val="0"/>
                <w:color w:val="000000"/>
                <w:kern w:val="0"/>
                <w:sz w:val="22"/>
                <w:szCs w:val="22"/>
              </w:rPr>
              <w:t>支持4K个VLAN，支持Guest VLAN、Voice VLAN，支持基于MAC/协议/IP子网/策略/端口的VLAN，1:1和N:1 VLAN交换功能</w:t>
            </w:r>
            <w:r>
              <w:rPr>
                <w:rFonts w:hint="eastAsia" w:ascii="等线" w:hAnsi="等线" w:eastAsia="等线" w:cs="宋体"/>
                <w:b w:val="0"/>
                <w:color w:val="000000"/>
                <w:kern w:val="0"/>
                <w:sz w:val="22"/>
                <w:szCs w:val="22"/>
                <w:lang w:eastAsia="zh-CN"/>
              </w:rPr>
              <w:t>。</w:t>
            </w:r>
          </w:p>
          <w:p>
            <w:pPr>
              <w:pStyle w:val="2"/>
              <w:rPr>
                <w:rFonts w:hint="eastAsia" w:ascii="等线" w:hAnsi="等线" w:eastAsia="等线" w:cs="宋体"/>
                <w:b w:val="0"/>
                <w:color w:val="000000"/>
                <w:kern w:val="0"/>
                <w:sz w:val="22"/>
                <w:szCs w:val="22"/>
              </w:rPr>
            </w:pPr>
            <w:r>
              <w:rPr>
                <w:rFonts w:hint="eastAsia" w:ascii="等线" w:hAnsi="等线" w:eastAsia="等线" w:cs="宋体"/>
                <w:b w:val="0"/>
                <w:color w:val="000000"/>
                <w:kern w:val="0"/>
                <w:sz w:val="22"/>
                <w:szCs w:val="22"/>
                <w:lang w:val="en-US" w:eastAsia="zh-CN"/>
              </w:rPr>
              <w:t>4.</w:t>
            </w:r>
            <w:r>
              <w:rPr>
                <w:rFonts w:hint="eastAsia" w:ascii="等线" w:hAnsi="等线" w:eastAsia="等线" w:cs="宋体"/>
                <w:b w:val="0"/>
                <w:color w:val="000000"/>
                <w:kern w:val="0"/>
                <w:sz w:val="22"/>
                <w:szCs w:val="22"/>
              </w:rPr>
              <w:t>支持静态路由、RIP v1/v2、OSPF、BGP、ISIS、RIPng、OSPFv3、ISISv6、BGP4+</w:t>
            </w:r>
            <w:r>
              <w:rPr>
                <w:rFonts w:hint="eastAsia" w:ascii="等线" w:hAnsi="等线" w:eastAsia="等线" w:cs="宋体"/>
                <w:b w:val="0"/>
                <w:color w:val="000000"/>
                <w:kern w:val="0"/>
                <w:sz w:val="22"/>
                <w:szCs w:val="22"/>
                <w:lang w:eastAsia="zh-CN"/>
              </w:rPr>
              <w:t>。</w:t>
            </w:r>
          </w:p>
          <w:p>
            <w:pPr>
              <w:pStyle w:val="2"/>
              <w:rPr>
                <w:rFonts w:hint="eastAsia" w:ascii="等线" w:hAnsi="等线" w:eastAsia="等线" w:cs="宋体"/>
                <w:b w:val="0"/>
                <w:color w:val="000000"/>
                <w:kern w:val="0"/>
                <w:sz w:val="22"/>
                <w:szCs w:val="22"/>
              </w:rPr>
            </w:pPr>
            <w:r>
              <w:rPr>
                <w:rFonts w:hint="eastAsia" w:ascii="等线" w:hAnsi="等线" w:eastAsia="等线" w:cs="宋体"/>
                <w:b w:val="0"/>
                <w:color w:val="000000"/>
                <w:kern w:val="0"/>
                <w:sz w:val="22"/>
                <w:szCs w:val="22"/>
                <w:lang w:val="en-US" w:eastAsia="zh-CN"/>
              </w:rPr>
              <w:t>5.</w:t>
            </w:r>
            <w:r>
              <w:rPr>
                <w:rFonts w:hint="eastAsia" w:ascii="等线" w:hAnsi="等线" w:eastAsia="等线" w:cs="宋体"/>
                <w:b w:val="0"/>
                <w:color w:val="000000"/>
                <w:kern w:val="0"/>
                <w:sz w:val="22"/>
                <w:szCs w:val="22"/>
              </w:rPr>
              <w:t>支持DHCPv6 Snooping，IP Source Guard，SAVI等安全特性，支持防ARP攻击、DOS攻击、ICMP防攻击、CPU防攻击</w:t>
            </w:r>
            <w:r>
              <w:rPr>
                <w:rFonts w:hint="eastAsia" w:ascii="等线" w:hAnsi="等线" w:eastAsia="等线" w:cs="宋体"/>
                <w:b w:val="0"/>
                <w:color w:val="000000"/>
                <w:kern w:val="0"/>
                <w:sz w:val="22"/>
                <w:szCs w:val="22"/>
                <w:lang w:eastAsia="zh-CN"/>
              </w:rPr>
              <w:t>。</w:t>
            </w:r>
          </w:p>
        </w:tc>
        <w:tc>
          <w:tcPr>
            <w:tcW w:w="0" w:type="auto"/>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kern w:val="0"/>
                <w:sz w:val="22"/>
                <w:szCs w:val="22"/>
              </w:rPr>
            </w:pPr>
            <w:r>
              <w:rPr>
                <w:rFonts w:hint="eastAsia" w:ascii="等线" w:hAnsi="等线" w:eastAsia="等线" w:cs="宋体"/>
                <w:kern w:val="0"/>
                <w:sz w:val="22"/>
                <w:szCs w:val="22"/>
              </w:rPr>
              <w:t>2</w:t>
            </w:r>
          </w:p>
        </w:tc>
        <w:tc>
          <w:tcPr>
            <w:tcW w:w="0" w:type="auto"/>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kern w:val="0"/>
                <w:sz w:val="22"/>
                <w:szCs w:val="22"/>
              </w:rPr>
            </w:pPr>
            <w:r>
              <w:rPr>
                <w:rFonts w:hint="eastAsia" w:ascii="等线" w:hAnsi="等线" w:eastAsia="等线" w:cs="宋体"/>
                <w:kern w:val="0"/>
                <w:sz w:val="22"/>
                <w:szCs w:val="22"/>
              </w:rPr>
              <w:t>台</w:t>
            </w:r>
          </w:p>
        </w:tc>
      </w:tr>
    </w:tbl>
    <w:p/>
    <w:p>
      <w:pPr>
        <w:pStyle w:val="2"/>
      </w:pPr>
    </w:p>
    <w:p>
      <w:pPr>
        <w:pStyle w:val="2"/>
        <w:numPr>
          <w:ilvl w:val="0"/>
          <w:numId w:val="1"/>
        </w:numPr>
      </w:pPr>
      <w:r>
        <w:rPr>
          <w:rFonts w:hint="eastAsia"/>
        </w:rPr>
        <w:t>网络运维管理平台</w:t>
      </w:r>
    </w:p>
    <w:tbl>
      <w:tblPr>
        <w:tblStyle w:val="13"/>
        <w:tblW w:w="4995" w:type="pct"/>
        <w:tblInd w:w="0" w:type="dxa"/>
        <w:tblLayout w:type="autofit"/>
        <w:tblCellMar>
          <w:top w:w="0" w:type="dxa"/>
          <w:left w:w="108" w:type="dxa"/>
          <w:bottom w:w="0" w:type="dxa"/>
          <w:right w:w="108" w:type="dxa"/>
        </w:tblCellMar>
      </w:tblPr>
      <w:tblGrid>
        <w:gridCol w:w="1437"/>
        <w:gridCol w:w="8515"/>
      </w:tblGrid>
      <w:tr>
        <w:tblPrEx>
          <w:tblCellMar>
            <w:top w:w="0" w:type="dxa"/>
            <w:left w:w="108" w:type="dxa"/>
            <w:bottom w:w="0" w:type="dxa"/>
            <w:right w:w="108" w:type="dxa"/>
          </w:tblCellMar>
        </w:tblPrEx>
        <w:trPr>
          <w:trHeight w:val="378" w:hRule="atLeast"/>
          <w:tblHeader/>
        </w:trPr>
        <w:tc>
          <w:tcPr>
            <w:tcW w:w="722"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功能名称</w:t>
            </w:r>
          </w:p>
        </w:tc>
        <w:tc>
          <w:tcPr>
            <w:tcW w:w="4277" w:type="pct"/>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总体要求</w:t>
            </w:r>
          </w:p>
        </w:tc>
      </w:tr>
      <w:tr>
        <w:tblPrEx>
          <w:tblCellMar>
            <w:top w:w="0" w:type="dxa"/>
            <w:left w:w="108" w:type="dxa"/>
            <w:bottom w:w="0" w:type="dxa"/>
            <w:right w:w="108" w:type="dxa"/>
          </w:tblCellMar>
        </w:tblPrEx>
        <w:trPr>
          <w:trHeight w:val="2850" w:hRule="atLeast"/>
        </w:trPr>
        <w:tc>
          <w:tcPr>
            <w:tcW w:w="722" w:type="pct"/>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基础平台</w:t>
            </w:r>
          </w:p>
        </w:tc>
        <w:tc>
          <w:tcPr>
            <w:tcW w:w="4277" w:type="pct"/>
            <w:tcBorders>
              <w:top w:val="nil"/>
              <w:left w:val="nil"/>
              <w:bottom w:val="single" w:color="auto" w:sz="4" w:space="0"/>
              <w:right w:val="single" w:color="auto" w:sz="4" w:space="0"/>
            </w:tcBorders>
            <w:vAlign w:val="center"/>
          </w:tcPr>
          <w:p>
            <w:pPr>
              <w:pStyle w:val="2"/>
              <w:rPr>
                <w:rFonts w:hint="eastAsia" w:ascii="等线" w:hAnsi="等线" w:eastAsia="等线" w:cs="宋体"/>
                <w:b w:val="0"/>
                <w:color w:val="000000"/>
                <w:kern w:val="0"/>
                <w:sz w:val="22"/>
                <w:szCs w:val="22"/>
                <w:lang w:val="en-US" w:eastAsia="zh-CN"/>
              </w:rPr>
            </w:pPr>
            <w:r>
              <w:rPr>
                <w:rFonts w:hint="eastAsia" w:ascii="等线" w:hAnsi="等线" w:eastAsia="等线" w:cs="宋体"/>
                <w:b w:val="0"/>
                <w:color w:val="000000"/>
                <w:kern w:val="0"/>
                <w:sz w:val="22"/>
                <w:szCs w:val="22"/>
                <w:lang w:val="en-US" w:eastAsia="zh-CN"/>
              </w:rPr>
              <w:t>1.集中管理平台采用B/S架构，能在Windows,Linux，国产化等不同平台下顺利部署、移植，组件支持容器化部署，采集器支持分布式部署。</w:t>
            </w:r>
          </w:p>
          <w:p>
            <w:pPr>
              <w:pStyle w:val="2"/>
              <w:rPr>
                <w:rFonts w:hint="eastAsia" w:ascii="等线" w:hAnsi="等线" w:eastAsia="等线" w:cs="宋体"/>
                <w:b w:val="0"/>
                <w:color w:val="000000"/>
                <w:kern w:val="0"/>
                <w:sz w:val="22"/>
                <w:szCs w:val="22"/>
                <w:lang w:val="en-US" w:eastAsia="zh-CN"/>
              </w:rPr>
            </w:pPr>
            <w:r>
              <w:rPr>
                <w:rFonts w:hint="eastAsia" w:ascii="等线" w:hAnsi="等线" w:eastAsia="等线" w:cs="宋体"/>
                <w:b w:val="0"/>
                <w:color w:val="000000"/>
                <w:kern w:val="0"/>
                <w:sz w:val="22"/>
                <w:szCs w:val="22"/>
                <w:lang w:val="en-US" w:eastAsia="zh-CN"/>
              </w:rPr>
              <w:t>2.融合多种资源类型，可对网络设备、安全设备、数据库、应用等资源运行状态监测、预警以及可视化展示，以树形结构为逻辑导航，实现资源的统一化管理和监控。</w:t>
            </w:r>
          </w:p>
          <w:p>
            <w:pPr>
              <w:pStyle w:val="2"/>
              <w:rPr>
                <w:rFonts w:hint="eastAsia" w:ascii="等线" w:hAnsi="等线" w:eastAsia="等线" w:cs="宋体"/>
                <w:b w:val="0"/>
                <w:color w:val="000000"/>
                <w:kern w:val="0"/>
                <w:sz w:val="22"/>
                <w:szCs w:val="22"/>
                <w:lang w:val="en-US" w:eastAsia="zh-CN"/>
              </w:rPr>
            </w:pPr>
            <w:r>
              <w:rPr>
                <w:rFonts w:hint="eastAsia" w:ascii="等线" w:hAnsi="等线" w:eastAsia="等线" w:cs="宋体"/>
                <w:b w:val="0"/>
                <w:color w:val="000000"/>
                <w:kern w:val="0"/>
                <w:sz w:val="22"/>
                <w:szCs w:val="22"/>
                <w:lang w:val="en-US" w:eastAsia="zh-CN"/>
              </w:rPr>
              <w:t>3.整个管理平台支持信创适配，能够在主流的国产化操作系统、服务器、数据库和中间件上运行。</w:t>
            </w:r>
          </w:p>
        </w:tc>
      </w:tr>
      <w:tr>
        <w:tblPrEx>
          <w:tblCellMar>
            <w:top w:w="0" w:type="dxa"/>
            <w:left w:w="108" w:type="dxa"/>
            <w:bottom w:w="0" w:type="dxa"/>
            <w:right w:w="108" w:type="dxa"/>
          </w:tblCellMar>
        </w:tblPrEx>
        <w:trPr>
          <w:trHeight w:val="855" w:hRule="atLeast"/>
        </w:trPr>
        <w:tc>
          <w:tcPr>
            <w:tcW w:w="722" w:type="pct"/>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网络管理</w:t>
            </w:r>
          </w:p>
        </w:tc>
        <w:tc>
          <w:tcPr>
            <w:tcW w:w="4277" w:type="pct"/>
            <w:tcBorders>
              <w:top w:val="nil"/>
              <w:left w:val="nil"/>
              <w:bottom w:val="single" w:color="auto" w:sz="4" w:space="0"/>
              <w:right w:val="single" w:color="auto" w:sz="4" w:space="0"/>
            </w:tcBorders>
            <w:vAlign w:val="center"/>
          </w:tcPr>
          <w:p>
            <w:pPr>
              <w:pStyle w:val="2"/>
              <w:rPr>
                <w:rFonts w:hint="eastAsia" w:ascii="等线" w:hAnsi="等线" w:eastAsia="等线" w:cs="宋体"/>
                <w:b w:val="0"/>
                <w:color w:val="000000"/>
                <w:kern w:val="0"/>
                <w:sz w:val="22"/>
                <w:szCs w:val="22"/>
                <w:lang w:val="en-US" w:eastAsia="zh-CN"/>
              </w:rPr>
            </w:pPr>
            <w:r>
              <w:rPr>
                <w:rFonts w:hint="eastAsia" w:ascii="等线" w:hAnsi="等线" w:eastAsia="等线" w:cs="宋体"/>
                <w:b w:val="0"/>
                <w:color w:val="000000"/>
                <w:kern w:val="0"/>
                <w:sz w:val="22"/>
                <w:szCs w:val="22"/>
                <w:lang w:val="en-US" w:eastAsia="zh-CN"/>
              </w:rPr>
              <w:t>1.支持对符合SNMP协议的交换机、路由器、安全设备等网络资源进行监测，包含设备的MAC地址、运行时间、描述信息、ICMP、内存利用率、CPU利用率等基本信息。能够自动发现设备的网络接口，自动过滤虚拟接口，能够监测到接口的状态、名称、输入输出速率、输入输出利用率、总速率、持续时间等信息。</w:t>
            </w:r>
          </w:p>
          <w:p>
            <w:pPr>
              <w:pStyle w:val="2"/>
              <w:rPr>
                <w:rFonts w:hint="eastAsia" w:ascii="等线" w:hAnsi="等线" w:eastAsia="等线" w:cs="宋体"/>
                <w:b w:val="0"/>
                <w:color w:val="000000"/>
                <w:kern w:val="0"/>
                <w:sz w:val="22"/>
                <w:szCs w:val="22"/>
                <w:lang w:val="en-US" w:eastAsia="zh-CN"/>
              </w:rPr>
            </w:pPr>
            <w:r>
              <w:rPr>
                <w:rFonts w:hint="eastAsia" w:ascii="等线" w:hAnsi="等线" w:eastAsia="等线" w:cs="宋体"/>
                <w:b w:val="0"/>
                <w:color w:val="000000"/>
                <w:kern w:val="0"/>
                <w:sz w:val="22"/>
                <w:szCs w:val="22"/>
                <w:lang w:val="en-US" w:eastAsia="zh-CN"/>
              </w:rPr>
              <w:t>2.设备背板管理，系统默认生成设备背板端口示意图，可在线编辑背景图、端口位置、端口图标，可导入表格文件进行背板生成。</w:t>
            </w:r>
          </w:p>
          <w:p>
            <w:pPr>
              <w:pStyle w:val="2"/>
              <w:rPr>
                <w:rFonts w:hint="eastAsia" w:ascii="等线" w:hAnsi="等线" w:eastAsia="等线" w:cs="宋体"/>
                <w:b w:val="0"/>
                <w:color w:val="000000"/>
                <w:kern w:val="0"/>
                <w:sz w:val="22"/>
                <w:szCs w:val="22"/>
                <w:lang w:val="en-US" w:eastAsia="zh-CN"/>
              </w:rPr>
            </w:pPr>
            <w:r>
              <w:rPr>
                <w:rFonts w:hint="eastAsia" w:ascii="等线" w:hAnsi="等线" w:eastAsia="等线" w:cs="宋体"/>
                <w:b w:val="0"/>
                <w:color w:val="000000"/>
                <w:kern w:val="0"/>
                <w:sz w:val="22"/>
                <w:szCs w:val="22"/>
                <w:lang w:val="en-US" w:eastAsia="zh-CN"/>
              </w:rPr>
              <w:t>3.支持配置信息定时进行备份，通过颜色标记增加或者减少的配置信息，配置变更可设置预警。</w:t>
            </w:r>
            <w:bookmarkStart w:id="0" w:name="_GoBack"/>
            <w:bookmarkEnd w:id="0"/>
          </w:p>
        </w:tc>
      </w:tr>
      <w:tr>
        <w:tblPrEx>
          <w:tblCellMar>
            <w:top w:w="0" w:type="dxa"/>
            <w:left w:w="108" w:type="dxa"/>
            <w:bottom w:w="0" w:type="dxa"/>
            <w:right w:w="108" w:type="dxa"/>
          </w:tblCellMar>
        </w:tblPrEx>
        <w:trPr>
          <w:trHeight w:val="570" w:hRule="atLeast"/>
        </w:trPr>
        <w:tc>
          <w:tcPr>
            <w:tcW w:w="722" w:type="pct"/>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接口筛查</w:t>
            </w:r>
          </w:p>
        </w:tc>
        <w:tc>
          <w:tcPr>
            <w:tcW w:w="4277"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支持对全网监测的网络设备的端口进行查看，包括设备IP、名称、端口名称、端口状态、持续时间，可根据状态、时间（可选择7天、一个月、三个月、自定义等）组合查询，例如，可快速查找到网络设备接口状态为断开持续时间超过三个月的接口，结果支持表格导出。</w:t>
            </w:r>
          </w:p>
        </w:tc>
      </w:tr>
      <w:tr>
        <w:tblPrEx>
          <w:tblCellMar>
            <w:top w:w="0" w:type="dxa"/>
            <w:left w:w="108" w:type="dxa"/>
            <w:bottom w:w="0" w:type="dxa"/>
            <w:right w:w="108" w:type="dxa"/>
          </w:tblCellMar>
        </w:tblPrEx>
        <w:trPr>
          <w:trHeight w:val="570" w:hRule="atLeast"/>
        </w:trPr>
        <w:tc>
          <w:tcPr>
            <w:tcW w:w="722" w:type="pct"/>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网络拓扑</w:t>
            </w:r>
          </w:p>
        </w:tc>
        <w:tc>
          <w:tcPr>
            <w:tcW w:w="4277"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1.通过拓扑图模块展示校园网整体运行情况（如本视图上设备的统计、性能、异常，网络流量等）。支持拓扑布局管理、链路样式调整、拓扑分组展示等功能，图元支持矢量图元，用户可手动编辑拓扑信息。</w:t>
            </w:r>
          </w:p>
          <w:p>
            <w:pPr>
              <w:widowControl/>
              <w:spacing w:line="360" w:lineRule="auto"/>
              <w:jc w:val="left"/>
            </w:pPr>
            <w:r>
              <w:rPr>
                <w:rFonts w:hint="eastAsia" w:ascii="等线" w:hAnsi="等线" w:eastAsia="等线" w:cs="宋体"/>
                <w:color w:val="000000"/>
                <w:kern w:val="0"/>
                <w:sz w:val="22"/>
                <w:szCs w:val="22"/>
              </w:rPr>
              <w:t>2.基于性能要求单张拓扑图上支持展示1000个节点以上，加载拓扑图图元平均响应时间小于3秒。</w:t>
            </w:r>
          </w:p>
        </w:tc>
      </w:tr>
      <w:tr>
        <w:tblPrEx>
          <w:tblCellMar>
            <w:top w:w="0" w:type="dxa"/>
            <w:left w:w="108" w:type="dxa"/>
            <w:bottom w:w="0" w:type="dxa"/>
            <w:right w:w="108" w:type="dxa"/>
          </w:tblCellMar>
        </w:tblPrEx>
        <w:trPr>
          <w:trHeight w:val="570" w:hRule="atLeast"/>
        </w:trPr>
        <w:tc>
          <w:tcPr>
            <w:tcW w:w="722" w:type="pct"/>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应用管理</w:t>
            </w:r>
          </w:p>
        </w:tc>
        <w:tc>
          <w:tcPr>
            <w:tcW w:w="4277"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1.支持URL地址状态码、响应时间监测，通过模拟浏览器访问的方式监测URL地址状态。支持地址的批量导入导出，支持响应时间排序与地址状态统计。</w:t>
            </w:r>
          </w:p>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2.支持服务器、数据库等资源监测，包括服务器的内存利用率、磁盘利用率、网卡流量、进程状态、端口状态等；支持对数据库表空间、会话数等关键指标监测，支持用户自定义监测指标。</w:t>
            </w:r>
          </w:p>
        </w:tc>
      </w:tr>
      <w:tr>
        <w:tblPrEx>
          <w:tblCellMar>
            <w:top w:w="0" w:type="dxa"/>
            <w:left w:w="108" w:type="dxa"/>
            <w:bottom w:w="0" w:type="dxa"/>
            <w:right w:w="108" w:type="dxa"/>
          </w:tblCellMar>
        </w:tblPrEx>
        <w:trPr>
          <w:trHeight w:val="570" w:hRule="atLeast"/>
        </w:trPr>
        <w:tc>
          <w:tcPr>
            <w:tcW w:w="722" w:type="pct"/>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权限管理</w:t>
            </w:r>
          </w:p>
        </w:tc>
        <w:tc>
          <w:tcPr>
            <w:tcW w:w="4277"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可自定义用户授权访问的功能菜单以及写权限。能够自定义树形结构数据域，数据域可关联资源，用户可以关联数据域，达到功能权限和数据权限灵活定制的目的。支持用户锁定次数、时长、密码复杂度、用户登录IP限制等安全策略配置。</w:t>
            </w:r>
          </w:p>
        </w:tc>
      </w:tr>
      <w:tr>
        <w:tblPrEx>
          <w:tblCellMar>
            <w:top w:w="0" w:type="dxa"/>
            <w:left w:w="108" w:type="dxa"/>
            <w:bottom w:w="0" w:type="dxa"/>
            <w:right w:w="108" w:type="dxa"/>
          </w:tblCellMar>
        </w:tblPrEx>
        <w:trPr>
          <w:trHeight w:val="570" w:hRule="atLeast"/>
        </w:trPr>
        <w:tc>
          <w:tcPr>
            <w:tcW w:w="722" w:type="pct"/>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预警管理</w:t>
            </w:r>
          </w:p>
        </w:tc>
        <w:tc>
          <w:tcPr>
            <w:tcW w:w="4277"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1.系统支持邮箱、微信公众号、短信、电话语音、弹出、声音等多种预警方式。支持告警抖动、告警延迟、收敛时间、收敛次数、过滤时间段等参数配置。</w:t>
            </w:r>
          </w:p>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2.告警信息支持跨网闸传输，通过外网前置机进行告警信息接收以及进行相关推送。</w:t>
            </w:r>
          </w:p>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3.支持设置语音告警功能开启状态以及语音告警属性，属性包括发音人、语速、音量、语调、语速增强、合成音效信息，实时播报告警信息，自动识别故障提醒语种，播报相应语种的报警信息。</w:t>
            </w:r>
          </w:p>
        </w:tc>
      </w:tr>
      <w:tr>
        <w:tblPrEx>
          <w:tblCellMar>
            <w:top w:w="0" w:type="dxa"/>
            <w:left w:w="108" w:type="dxa"/>
            <w:bottom w:w="0" w:type="dxa"/>
            <w:right w:w="108" w:type="dxa"/>
          </w:tblCellMar>
        </w:tblPrEx>
        <w:trPr>
          <w:trHeight w:val="570" w:hRule="atLeast"/>
        </w:trPr>
        <w:tc>
          <w:tcPr>
            <w:tcW w:w="722" w:type="pct"/>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资源节点</w:t>
            </w:r>
          </w:p>
        </w:tc>
        <w:tc>
          <w:tcPr>
            <w:tcW w:w="4277" w:type="pct"/>
            <w:tcBorders>
              <w:top w:val="nil"/>
              <w:left w:val="nil"/>
              <w:bottom w:val="single" w:color="auto" w:sz="4" w:space="0"/>
              <w:right w:val="single" w:color="auto" w:sz="4" w:space="0"/>
            </w:tcBorders>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配置1200资源节点授权，质保</w:t>
            </w:r>
            <w:r>
              <w:rPr>
                <w:rFonts w:hint="eastAsia" w:ascii="等线" w:hAnsi="等线" w:eastAsia="等线" w:cs="宋体"/>
                <w:color w:val="000000"/>
                <w:kern w:val="0"/>
                <w:sz w:val="22"/>
                <w:szCs w:val="22"/>
                <w:lang w:val="en-US" w:eastAsia="zh-CN"/>
              </w:rPr>
              <w:t>6</w:t>
            </w:r>
            <w:r>
              <w:rPr>
                <w:rFonts w:hint="eastAsia" w:ascii="等线" w:hAnsi="等线" w:eastAsia="等线" w:cs="宋体"/>
                <w:color w:val="000000"/>
                <w:kern w:val="0"/>
                <w:sz w:val="22"/>
                <w:szCs w:val="22"/>
              </w:rPr>
              <w:t>年。</w:t>
            </w:r>
          </w:p>
        </w:tc>
      </w:tr>
    </w:tbl>
    <w:p/>
    <w:p>
      <w:pPr>
        <w:pStyle w:val="3"/>
        <w:numPr>
          <w:ilvl w:val="0"/>
          <w:numId w:val="2"/>
        </w:numPr>
        <w:rPr>
          <w:rFonts w:ascii="Times New Roman Regular" w:hAnsi="Times New Roman Regular" w:cs="Times New Roman Regular"/>
          <w:sz w:val="30"/>
          <w:szCs w:val="30"/>
        </w:rPr>
      </w:pPr>
      <w:r>
        <w:rPr>
          <w:rFonts w:ascii="Times New Roman Regular" w:hAnsi="Times New Roman Regular" w:cs="Times New Roman Regular"/>
          <w:sz w:val="30"/>
          <w:szCs w:val="30"/>
        </w:rPr>
        <w:t>报价要求</w:t>
      </w:r>
    </w:p>
    <w:p>
      <w:pPr>
        <w:pStyle w:val="29"/>
        <w:ind w:left="0" w:leftChars="0" w:firstLine="0" w:firstLineChars="0"/>
        <w:jc w:val="left"/>
        <w:rPr>
          <w:rFonts w:hint="eastAsia" w:ascii="宋体" w:hAnsi="宋体" w:eastAsia="宋体"/>
          <w:b/>
          <w:bCs/>
          <w:color w:val="C00000"/>
          <w:sz w:val="44"/>
          <w:szCs w:val="44"/>
          <w:lang w:val="en-US" w:eastAsia="zh-CN"/>
        </w:rPr>
      </w:pPr>
      <w:r>
        <w:rPr>
          <w:rFonts w:hint="eastAsia" w:ascii="宋体" w:hAnsi="宋体" w:eastAsia="宋体"/>
          <w:b/>
          <w:bCs/>
          <w:color w:val="C00000"/>
          <w:sz w:val="44"/>
          <w:szCs w:val="44"/>
          <w:lang w:val="en-US" w:eastAsia="zh-CN"/>
        </w:rPr>
        <w:t>注意事项：按附件1（市场调查表）进行填报，如漏项、增项、修改项则无效，报价时需有单价、总价、合计，并盖公章。</w:t>
      </w:r>
    </w:p>
    <w:p>
      <w:pPr>
        <w:numPr>
          <w:ilvl w:val="0"/>
          <w:numId w:val="0"/>
        </w:numPr>
      </w:pPr>
    </w:p>
    <w:p>
      <w:pPr>
        <w:pStyle w:val="29"/>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1</w:t>
      </w:r>
      <w:r>
        <w:rPr>
          <w:rFonts w:ascii="Times New Roman Regular" w:hAnsi="Times New Roman Regular" w:eastAsia="宋体" w:cs="Times New Roman Regular"/>
          <w:szCs w:val="28"/>
        </w:rPr>
        <w:t>、</w:t>
      </w:r>
      <w:r>
        <w:rPr>
          <w:rFonts w:hint="eastAsia" w:ascii="Times New Roman Regular" w:hAnsi="Times New Roman Regular" w:eastAsia="宋体" w:cs="Times New Roman Regular"/>
          <w:szCs w:val="28"/>
        </w:rPr>
        <w:t>本项目为交钥匙工程，供应商需综合评估所有风险。报价应包含有可能涉及的所有费用。</w:t>
      </w:r>
    </w:p>
    <w:p>
      <w:pPr>
        <w:pStyle w:val="29"/>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2、</w:t>
      </w:r>
      <w:r>
        <w:rPr>
          <w:rFonts w:ascii="Times New Roman Regular" w:hAnsi="Times New Roman Regular" w:eastAsia="宋体" w:cs="Times New Roman Regular"/>
          <w:szCs w:val="28"/>
        </w:rPr>
        <w:t>人民币报价，报价包括但不限于人工费、劳务费、保险费、税费、安装调试费等维保单位提供维保服务而产生的所有费用。</w:t>
      </w:r>
    </w:p>
    <w:p>
      <w:pPr>
        <w:pStyle w:val="29"/>
        <w:ind w:firstLine="480" w:firstLineChars="200"/>
        <w:jc w:val="left"/>
        <w:rPr>
          <w:rFonts w:ascii="Times New Roman Regular" w:hAnsi="Times New Roman Regular" w:eastAsia="宋体" w:cs="Times New Roman Regular"/>
          <w:szCs w:val="28"/>
        </w:rPr>
      </w:pPr>
      <w:r>
        <w:rPr>
          <w:rFonts w:hint="eastAsia" w:ascii="Times New Roman Regular" w:hAnsi="Times New Roman Regular" w:eastAsia="宋体" w:cs="Times New Roman Regular"/>
          <w:szCs w:val="28"/>
        </w:rPr>
        <w:t>3、上述清单中，除UPS电池原厂</w:t>
      </w:r>
      <w:r>
        <w:rPr>
          <w:rFonts w:hint="eastAsia" w:ascii="Times New Roman Regular" w:hAnsi="Times New Roman Regular" w:eastAsia="宋体" w:cs="Times New Roman Regular"/>
          <w:szCs w:val="28"/>
          <w:lang w:val="en-US" w:eastAsia="zh-CN"/>
        </w:rPr>
        <w:t>3</w:t>
      </w:r>
      <w:r>
        <w:rPr>
          <w:rFonts w:hint="eastAsia" w:ascii="Times New Roman Regular" w:hAnsi="Times New Roman Regular" w:eastAsia="宋体" w:cs="Times New Roman Regular"/>
          <w:szCs w:val="28"/>
        </w:rPr>
        <w:t>年质保外，其它所有设备提供原厂</w:t>
      </w:r>
      <w:r>
        <w:rPr>
          <w:rFonts w:hint="eastAsia" w:ascii="Times New Roman Regular" w:hAnsi="Times New Roman Regular" w:eastAsia="宋体" w:cs="Times New Roman Regular"/>
          <w:szCs w:val="28"/>
          <w:lang w:val="en-US" w:eastAsia="zh-CN"/>
        </w:rPr>
        <w:t>6</w:t>
      </w:r>
      <w:r>
        <w:rPr>
          <w:rFonts w:hint="eastAsia" w:ascii="Times New Roman Regular" w:hAnsi="Times New Roman Regular" w:eastAsia="宋体" w:cs="Times New Roman Regular"/>
          <w:szCs w:val="28"/>
        </w:rPr>
        <w:t>年质保。</w:t>
      </w:r>
    </w:p>
    <w:p>
      <w:pPr>
        <w:pStyle w:val="29"/>
        <w:ind w:firstLine="482" w:firstLineChars="200"/>
        <w:jc w:val="left"/>
        <w:rPr>
          <w:rFonts w:hint="default" w:ascii="宋体" w:hAnsi="宋体" w:eastAsia="宋体"/>
          <w:b/>
          <w:bCs/>
          <w:color w:val="C00000"/>
          <w:szCs w:val="28"/>
          <w:lang w:val="en-US" w:eastAsia="zh-CN"/>
        </w:rPr>
      </w:pPr>
      <w:r>
        <w:rPr>
          <w:rFonts w:hint="eastAsia" w:ascii="Times New Roman Regular" w:hAnsi="Times New Roman Regular" w:eastAsia="宋体" w:cs="Times New Roman Regular"/>
          <w:b/>
          <w:bCs/>
          <w:color w:val="C00000"/>
          <w:szCs w:val="28"/>
          <w:lang w:val="en-US" w:eastAsia="zh-CN"/>
        </w:rPr>
        <w:t>4、请提供所有调查产品的价格支撑材料，近12个月内的合同复印件（关键页），模糊不清晰的无效。</w:t>
      </w:r>
    </w:p>
    <w:p>
      <w:pPr>
        <w:pStyle w:val="29"/>
        <w:ind w:firstLine="480" w:firstLineChars="200"/>
        <w:jc w:val="left"/>
        <w:rPr>
          <w:rFonts w:ascii="Times New Roman Regular" w:hAnsi="Times New Roman Regular" w:eastAsia="宋体" w:cs="Times New Roman Regular"/>
          <w:szCs w:val="28"/>
        </w:rPr>
      </w:pPr>
    </w:p>
    <w:p>
      <w:pPr>
        <w:pStyle w:val="29"/>
        <w:ind w:firstLine="480" w:firstLineChars="200"/>
        <w:jc w:val="left"/>
        <w:rPr>
          <w:rFonts w:ascii="Times New Roman Regular" w:hAnsi="Times New Roman Regular" w:eastAsia="宋体" w:cs="Times New Roman Regular"/>
          <w:szCs w:val="28"/>
        </w:rPr>
      </w:pPr>
    </w:p>
    <w:p>
      <w:pPr>
        <w:pStyle w:val="29"/>
        <w:ind w:firstLine="480" w:firstLineChars="200"/>
        <w:jc w:val="left"/>
        <w:rPr>
          <w:rFonts w:ascii="Times New Roman Regular" w:hAnsi="Times New Roman Regular" w:eastAsia="宋体" w:cs="Times New Roman Regular"/>
          <w:szCs w:val="28"/>
        </w:rPr>
      </w:pPr>
    </w:p>
    <w:p>
      <w:pPr>
        <w:pStyle w:val="29"/>
        <w:ind w:firstLine="480" w:firstLineChars="20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left="0" w:leftChars="0" w:firstLine="0" w:firstLineChars="0"/>
        <w:jc w:val="left"/>
        <w:rPr>
          <w:rFonts w:ascii="Times New Roman Regular" w:hAnsi="Times New Roman Regular" w:eastAsia="宋体" w:cs="Times New Roman Regular"/>
          <w:szCs w:val="28"/>
        </w:rPr>
      </w:pPr>
    </w:p>
    <w:p>
      <w:pPr>
        <w:pStyle w:val="29"/>
        <w:ind w:firstLine="480" w:firstLineChars="200"/>
        <w:jc w:val="left"/>
        <w:rPr>
          <w:rFonts w:hint="eastAsia" w:ascii="宋体" w:hAnsi="宋体" w:eastAsia="宋体"/>
          <w:szCs w:val="28"/>
        </w:rPr>
      </w:pPr>
      <w:r>
        <w:rPr>
          <w:rFonts w:hint="eastAsia" w:ascii="宋体" w:hAnsi="宋体" w:eastAsia="宋体"/>
          <w:szCs w:val="28"/>
        </w:rPr>
        <w:t>附件1.市场调查表</w:t>
      </w:r>
    </w:p>
    <w:tbl>
      <w:tblPr>
        <w:tblStyle w:val="13"/>
        <w:tblpPr w:leftFromText="180" w:rightFromText="180" w:vertAnchor="text" w:horzAnchor="page" w:tblpX="1136" w:tblpY="25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4"/>
        <w:gridCol w:w="1184"/>
        <w:gridCol w:w="790"/>
        <w:gridCol w:w="394"/>
        <w:gridCol w:w="1184"/>
        <w:gridCol w:w="1184"/>
        <w:gridCol w:w="396"/>
        <w:gridCol w:w="788"/>
        <w:gridCol w:w="1184"/>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9475" w:type="dxa"/>
            <w:gridSpan w:val="10"/>
            <w:vAlign w:val="center"/>
          </w:tcPr>
          <w:p>
            <w:pPr>
              <w:jc w:val="center"/>
              <w:rPr>
                <w:rFonts w:hint="eastAsia" w:ascii="宋体" w:hAnsi="宋体" w:cs="宋体"/>
                <w:szCs w:val="21"/>
              </w:rPr>
            </w:pPr>
            <w:r>
              <w:rPr>
                <w:rFonts w:hint="eastAsia" w:ascii="宋体" w:hAnsi="宋体" w:cs="宋体"/>
                <w:sz w:val="28"/>
                <w:szCs w:val="28"/>
              </w:rPr>
              <w:t>两江院区网络设备设施建设</w:t>
            </w:r>
            <w:r>
              <w:rPr>
                <w:rFonts w:hint="eastAsia" w:ascii="宋体" w:hAnsi="宋体" w:cs="宋体"/>
                <w:sz w:val="28"/>
                <w:szCs w:val="28"/>
                <w:lang w:val="en-US" w:eastAsia="zh-CN"/>
              </w:rPr>
              <w:t>项目</w:t>
            </w:r>
            <w:r>
              <w:rPr>
                <w:rFonts w:hint="eastAsia" w:ascii="宋体" w:hAnsi="宋体" w:cs="宋体"/>
                <w:sz w:val="28"/>
                <w:szCs w:val="28"/>
              </w:rPr>
              <w:t>市场调查表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1184" w:type="dxa"/>
            <w:vAlign w:val="center"/>
          </w:tcPr>
          <w:p>
            <w:pPr>
              <w:jc w:val="center"/>
              <w:rPr>
                <w:rFonts w:hint="eastAsia" w:ascii="宋体" w:hAnsi="宋体" w:cs="宋体"/>
                <w:szCs w:val="21"/>
              </w:rPr>
            </w:pPr>
            <w:r>
              <w:rPr>
                <w:rFonts w:hint="eastAsia" w:ascii="宋体" w:hAnsi="宋体" w:cs="宋体"/>
                <w:szCs w:val="21"/>
              </w:rPr>
              <w:t>序号</w:t>
            </w:r>
          </w:p>
        </w:tc>
        <w:tc>
          <w:tcPr>
            <w:tcW w:w="1184" w:type="dxa"/>
            <w:vAlign w:val="center"/>
          </w:tcPr>
          <w:p>
            <w:pPr>
              <w:jc w:val="center"/>
              <w:rPr>
                <w:rFonts w:hint="eastAsia" w:ascii="宋体" w:hAnsi="宋体" w:cs="宋体"/>
                <w:szCs w:val="21"/>
              </w:rPr>
            </w:pPr>
            <w:r>
              <w:rPr>
                <w:rFonts w:hint="eastAsia" w:ascii="宋体" w:hAnsi="宋体" w:cs="宋体"/>
                <w:szCs w:val="21"/>
              </w:rPr>
              <w:t>名称</w:t>
            </w:r>
          </w:p>
        </w:tc>
        <w:tc>
          <w:tcPr>
            <w:tcW w:w="1184" w:type="dxa"/>
            <w:gridSpan w:val="2"/>
            <w:vAlign w:val="center"/>
          </w:tcPr>
          <w:p>
            <w:pPr>
              <w:jc w:val="center"/>
              <w:rPr>
                <w:rFonts w:hint="eastAsia" w:ascii="宋体" w:hAnsi="宋体" w:cs="宋体"/>
                <w:szCs w:val="21"/>
              </w:rPr>
            </w:pPr>
            <w:r>
              <w:rPr>
                <w:rFonts w:hint="eastAsia" w:ascii="宋体" w:hAnsi="宋体" w:cs="宋体"/>
                <w:szCs w:val="21"/>
              </w:rPr>
              <w:t>品牌、规格型号</w:t>
            </w:r>
          </w:p>
        </w:tc>
        <w:tc>
          <w:tcPr>
            <w:tcW w:w="1184" w:type="dxa"/>
            <w:vAlign w:val="center"/>
          </w:tcPr>
          <w:p>
            <w:pPr>
              <w:jc w:val="center"/>
              <w:rPr>
                <w:rFonts w:hint="eastAsia" w:ascii="宋体" w:hAnsi="宋体" w:cs="宋体"/>
                <w:szCs w:val="21"/>
              </w:rPr>
            </w:pPr>
            <w:r>
              <w:rPr>
                <w:rFonts w:hint="eastAsia" w:ascii="宋体" w:hAnsi="宋体" w:cs="宋体"/>
                <w:szCs w:val="21"/>
              </w:rPr>
              <w:t>制造商</w:t>
            </w:r>
          </w:p>
        </w:tc>
        <w:tc>
          <w:tcPr>
            <w:tcW w:w="1184" w:type="dxa"/>
            <w:vAlign w:val="center"/>
          </w:tcPr>
          <w:p>
            <w:pPr>
              <w:jc w:val="center"/>
              <w:rPr>
                <w:rFonts w:hint="eastAsia" w:ascii="宋体" w:hAnsi="宋体" w:cs="宋体"/>
                <w:szCs w:val="21"/>
              </w:rPr>
            </w:pPr>
            <w:r>
              <w:rPr>
                <w:rFonts w:hint="eastAsia" w:ascii="宋体" w:hAnsi="宋体" w:cs="宋体"/>
                <w:szCs w:val="21"/>
              </w:rPr>
              <w:t>原产地</w:t>
            </w:r>
          </w:p>
        </w:tc>
        <w:tc>
          <w:tcPr>
            <w:tcW w:w="1184" w:type="dxa"/>
            <w:gridSpan w:val="2"/>
            <w:vAlign w:val="center"/>
          </w:tcPr>
          <w:p>
            <w:pPr>
              <w:jc w:val="center"/>
              <w:rPr>
                <w:rFonts w:hint="eastAsia" w:ascii="宋体" w:hAnsi="宋体" w:cs="宋体"/>
                <w:szCs w:val="21"/>
              </w:rPr>
            </w:pPr>
            <w:r>
              <w:rPr>
                <w:rFonts w:hint="eastAsia" w:ascii="宋体" w:hAnsi="宋体" w:cs="宋体"/>
                <w:szCs w:val="21"/>
              </w:rPr>
              <w:t>数量</w:t>
            </w:r>
          </w:p>
        </w:tc>
        <w:tc>
          <w:tcPr>
            <w:tcW w:w="1184" w:type="dxa"/>
            <w:vAlign w:val="center"/>
          </w:tcPr>
          <w:p>
            <w:pPr>
              <w:jc w:val="center"/>
              <w:rPr>
                <w:rFonts w:hint="eastAsia" w:ascii="宋体" w:hAnsi="宋体" w:cs="宋体"/>
                <w:szCs w:val="21"/>
              </w:rPr>
            </w:pPr>
            <w:r>
              <w:rPr>
                <w:rFonts w:hint="eastAsia" w:ascii="宋体" w:hAnsi="宋体" w:cs="宋体"/>
                <w:szCs w:val="21"/>
              </w:rPr>
              <w:t>单价</w:t>
            </w:r>
          </w:p>
        </w:tc>
        <w:tc>
          <w:tcPr>
            <w:tcW w:w="1187" w:type="dxa"/>
            <w:vAlign w:val="center"/>
          </w:tcPr>
          <w:p>
            <w:pPr>
              <w:jc w:val="center"/>
              <w:rPr>
                <w:rFonts w:hint="eastAsia" w:ascii="宋体" w:hAnsi="宋体" w:cs="宋体"/>
                <w:szCs w:val="21"/>
              </w:rPr>
            </w:pPr>
            <w:r>
              <w:rPr>
                <w:rFonts w:hint="eastAsia" w:ascii="宋体" w:hAnsi="宋体" w:cs="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9475" w:type="dxa"/>
            <w:gridSpan w:val="10"/>
            <w:vAlign w:val="center"/>
          </w:tcPr>
          <w:p>
            <w:pPr>
              <w:jc w:val="center"/>
              <w:rPr>
                <w:rFonts w:hint="eastAsia" w:ascii="宋体" w:hAnsi="宋体" w:cs="宋体"/>
                <w:szCs w:val="21"/>
              </w:rPr>
            </w:pPr>
            <w:r>
              <w:rPr>
                <w:rFonts w:hint="eastAsia" w:ascii="宋体" w:hAnsi="宋体" w:cs="宋体"/>
                <w:sz w:val="24"/>
              </w:rPr>
              <w:t>两江院区科教楼中心机房扩容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184" w:type="dxa"/>
            <w:vAlign w:val="center"/>
          </w:tcPr>
          <w:p>
            <w:pPr>
              <w:jc w:val="center"/>
              <w:rPr>
                <w:rFonts w:hint="eastAsia" w:ascii="宋体" w:hAnsi="宋体" w:cs="宋体"/>
                <w:szCs w:val="21"/>
              </w:rPr>
            </w:pPr>
            <w:r>
              <w:rPr>
                <w:rFonts w:hint="eastAsia" w:ascii="宋体" w:hAnsi="宋体" w:cs="宋体"/>
                <w:szCs w:val="21"/>
              </w:rPr>
              <w:t>1</w:t>
            </w:r>
          </w:p>
        </w:tc>
        <w:tc>
          <w:tcPr>
            <w:tcW w:w="1184" w:type="dxa"/>
            <w:vAlign w:val="center"/>
          </w:tcPr>
          <w:p>
            <w:pPr>
              <w:jc w:val="left"/>
              <w:rPr>
                <w:rFonts w:hint="eastAsia" w:ascii="宋体" w:hAnsi="宋体" w:cs="宋体"/>
                <w:szCs w:val="21"/>
                <w:highlight w:val="yellow"/>
              </w:rPr>
            </w:pPr>
            <w:r>
              <w:rPr>
                <w:rFonts w:hint="eastAsia"/>
              </w:rPr>
              <w:t>UPS模块</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2</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2</w:t>
            </w:r>
          </w:p>
        </w:tc>
        <w:tc>
          <w:tcPr>
            <w:tcW w:w="1184" w:type="dxa"/>
            <w:vAlign w:val="center"/>
          </w:tcPr>
          <w:p>
            <w:pPr>
              <w:jc w:val="left"/>
              <w:rPr>
                <w:rFonts w:hint="eastAsia" w:ascii="宋体" w:hAnsi="宋体" w:cs="宋体"/>
                <w:szCs w:val="21"/>
                <w:highlight w:val="yellow"/>
              </w:rPr>
            </w:pPr>
            <w:r>
              <w:rPr>
                <w:rFonts w:hint="eastAsia"/>
              </w:rPr>
              <w:t>光缆</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2</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3</w:t>
            </w:r>
          </w:p>
        </w:tc>
        <w:tc>
          <w:tcPr>
            <w:tcW w:w="1184" w:type="dxa"/>
            <w:vAlign w:val="center"/>
          </w:tcPr>
          <w:p>
            <w:pPr>
              <w:jc w:val="left"/>
              <w:rPr>
                <w:rFonts w:hint="eastAsia" w:ascii="宋体" w:hAnsi="宋体" w:cs="宋体"/>
                <w:b/>
                <w:bCs/>
                <w:szCs w:val="21"/>
                <w:highlight w:val="yellow"/>
              </w:rPr>
            </w:pPr>
            <w:r>
              <w:rPr>
                <w:rFonts w:hint="eastAsia" w:ascii="等线" w:hAnsi="等线" w:eastAsia="等线" w:cs="宋体"/>
                <w:color w:val="000000"/>
                <w:kern w:val="0"/>
                <w:sz w:val="22"/>
                <w:szCs w:val="22"/>
              </w:rPr>
              <w:t>IT机柜及组件</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24</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4</w:t>
            </w:r>
          </w:p>
        </w:tc>
        <w:tc>
          <w:tcPr>
            <w:tcW w:w="1184" w:type="dxa"/>
            <w:vAlign w:val="center"/>
          </w:tcPr>
          <w:p>
            <w:pPr>
              <w:jc w:val="left"/>
              <w:rPr>
                <w:rFonts w:hint="eastAsia" w:ascii="宋体" w:hAnsi="宋体" w:cs="宋体"/>
                <w:szCs w:val="21"/>
                <w:highlight w:val="yellow"/>
              </w:rPr>
            </w:pPr>
            <w:r>
              <w:rPr>
                <w:rFonts w:hint="eastAsia" w:ascii="等线" w:hAnsi="等线" w:eastAsia="等线" w:cs="宋体"/>
                <w:color w:val="000000"/>
                <w:kern w:val="0"/>
                <w:sz w:val="22"/>
                <w:szCs w:val="22"/>
              </w:rPr>
              <w:t>密封冷通道</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1</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5</w:t>
            </w:r>
          </w:p>
        </w:tc>
        <w:tc>
          <w:tcPr>
            <w:tcW w:w="1184" w:type="dxa"/>
            <w:vAlign w:val="center"/>
          </w:tcPr>
          <w:p>
            <w:pPr>
              <w:jc w:val="left"/>
              <w:rPr>
                <w:rFonts w:hint="eastAsia" w:ascii="宋体" w:hAnsi="宋体" w:cs="宋体"/>
                <w:szCs w:val="21"/>
                <w:highlight w:val="yellow"/>
              </w:rPr>
            </w:pPr>
            <w:r>
              <w:rPr>
                <w:rFonts w:hint="eastAsia" w:ascii="等线" w:hAnsi="等线" w:eastAsia="等线" w:cs="宋体"/>
                <w:color w:val="000000"/>
                <w:kern w:val="0"/>
                <w:sz w:val="22"/>
                <w:szCs w:val="22"/>
              </w:rPr>
              <w:t>列头柜</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2</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6</w:t>
            </w:r>
          </w:p>
        </w:tc>
        <w:tc>
          <w:tcPr>
            <w:tcW w:w="1184" w:type="dxa"/>
            <w:vAlign w:val="center"/>
          </w:tcPr>
          <w:p>
            <w:pPr>
              <w:jc w:val="left"/>
              <w:rPr>
                <w:rFonts w:hint="eastAsia" w:ascii="宋体" w:hAnsi="宋体" w:cs="宋体"/>
                <w:szCs w:val="21"/>
                <w:highlight w:val="yellow"/>
              </w:rPr>
            </w:pPr>
            <w:r>
              <w:rPr>
                <w:rFonts w:hint="eastAsia" w:ascii="等线" w:hAnsi="等线" w:eastAsia="等线" w:cs="宋体"/>
                <w:color w:val="000000"/>
                <w:kern w:val="0"/>
                <w:sz w:val="22"/>
                <w:szCs w:val="22"/>
              </w:rPr>
              <w:t>行级精密空调</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4</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7</w:t>
            </w:r>
          </w:p>
        </w:tc>
        <w:tc>
          <w:tcPr>
            <w:tcW w:w="1184" w:type="dxa"/>
            <w:vAlign w:val="center"/>
          </w:tcPr>
          <w:p>
            <w:pPr>
              <w:jc w:val="left"/>
              <w:rPr>
                <w:rFonts w:hint="eastAsia" w:ascii="宋体" w:hAnsi="宋体" w:cs="宋体"/>
                <w:szCs w:val="21"/>
                <w:highlight w:val="yellow"/>
              </w:rPr>
            </w:pPr>
            <w:r>
              <w:rPr>
                <w:rFonts w:hint="eastAsia" w:ascii="等线" w:hAnsi="等线" w:eastAsia="等线" w:cs="宋体"/>
                <w:color w:val="000000"/>
                <w:kern w:val="0"/>
                <w:sz w:val="22"/>
                <w:szCs w:val="22"/>
              </w:rPr>
              <w:t>机房动环运维管理系统</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1</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9475" w:type="dxa"/>
            <w:gridSpan w:val="10"/>
            <w:vAlign w:val="center"/>
          </w:tcPr>
          <w:p>
            <w:pPr>
              <w:jc w:val="center"/>
              <w:rPr>
                <w:rFonts w:hint="eastAsia" w:ascii="宋体" w:hAnsi="宋体" w:cs="宋体"/>
                <w:szCs w:val="21"/>
                <w:highlight w:val="yellow"/>
              </w:rPr>
            </w:pPr>
            <w:r>
              <w:rPr>
                <w:rFonts w:hint="eastAsia" w:ascii="宋体" w:hAnsi="宋体" w:cs="宋体"/>
                <w:sz w:val="24"/>
              </w:rPr>
              <w:t>两江院区门诊楼UPS及配电升级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1</w:t>
            </w:r>
          </w:p>
        </w:tc>
        <w:tc>
          <w:tcPr>
            <w:tcW w:w="1184" w:type="dxa"/>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配电柜</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1</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2</w:t>
            </w:r>
          </w:p>
        </w:tc>
        <w:tc>
          <w:tcPr>
            <w:tcW w:w="1184" w:type="dxa"/>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UPS</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1</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3</w:t>
            </w:r>
          </w:p>
        </w:tc>
        <w:tc>
          <w:tcPr>
            <w:tcW w:w="1184" w:type="dxa"/>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蓄电池</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40</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4</w:t>
            </w:r>
          </w:p>
        </w:tc>
        <w:tc>
          <w:tcPr>
            <w:tcW w:w="1184" w:type="dxa"/>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电池监控模块</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1</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5</w:t>
            </w:r>
          </w:p>
        </w:tc>
        <w:tc>
          <w:tcPr>
            <w:tcW w:w="1184" w:type="dxa"/>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电池架</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1</w:t>
            </w:r>
          </w:p>
        </w:tc>
        <w:tc>
          <w:tcPr>
            <w:tcW w:w="1184" w:type="dxa"/>
            <w:vAlign w:val="center"/>
          </w:tcPr>
          <w:p>
            <w:pPr>
              <w:jc w:val="center"/>
              <w:rPr>
                <w:rFonts w:hint="eastAsia" w:ascii="宋体" w:hAnsi="宋体" w:cs="宋体"/>
                <w:szCs w:val="21"/>
                <w:highlight w:val="yellow"/>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9475" w:type="dxa"/>
            <w:gridSpan w:val="10"/>
            <w:vAlign w:val="center"/>
          </w:tcPr>
          <w:p>
            <w:pPr>
              <w:jc w:val="center"/>
              <w:rPr>
                <w:rFonts w:hint="eastAsia" w:ascii="宋体" w:hAnsi="宋体" w:cs="宋体"/>
                <w:szCs w:val="21"/>
                <w:highlight w:val="yellow"/>
              </w:rPr>
            </w:pPr>
            <w:r>
              <w:rPr>
                <w:rFonts w:hint="eastAsia" w:ascii="宋体" w:hAnsi="宋体" w:cs="宋体"/>
                <w:sz w:val="24"/>
              </w:rPr>
              <w:t>数据中心交换机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1</w:t>
            </w:r>
          </w:p>
        </w:tc>
        <w:tc>
          <w:tcPr>
            <w:tcW w:w="1184" w:type="dxa"/>
            <w:vAlign w:val="center"/>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数据中心接入交换机</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4</w:t>
            </w:r>
          </w:p>
        </w:tc>
        <w:tc>
          <w:tcPr>
            <w:tcW w:w="1184" w:type="dxa"/>
            <w:vAlign w:val="center"/>
          </w:tcPr>
          <w:p>
            <w:pPr>
              <w:widowControl/>
              <w:spacing w:line="360" w:lineRule="auto"/>
              <w:jc w:val="left"/>
              <w:rPr>
                <w:rFonts w:hint="eastAsia" w:ascii="等线" w:hAnsi="等线" w:eastAsia="等线" w:cs="宋体"/>
                <w:color w:val="000000"/>
                <w:kern w:val="0"/>
                <w:sz w:val="22"/>
                <w:szCs w:val="22"/>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2</w:t>
            </w:r>
          </w:p>
        </w:tc>
        <w:tc>
          <w:tcPr>
            <w:tcW w:w="1184" w:type="dxa"/>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DMZ接入交换机</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2</w:t>
            </w:r>
          </w:p>
        </w:tc>
        <w:tc>
          <w:tcPr>
            <w:tcW w:w="1184" w:type="dxa"/>
            <w:vAlign w:val="center"/>
          </w:tcPr>
          <w:p>
            <w:pPr>
              <w:widowControl/>
              <w:spacing w:line="360" w:lineRule="auto"/>
              <w:jc w:val="left"/>
              <w:rPr>
                <w:rFonts w:hint="eastAsia" w:ascii="等线" w:hAnsi="等线" w:eastAsia="等线" w:cs="宋体"/>
                <w:color w:val="000000"/>
                <w:kern w:val="0"/>
                <w:sz w:val="22"/>
                <w:szCs w:val="22"/>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3</w:t>
            </w:r>
          </w:p>
        </w:tc>
        <w:tc>
          <w:tcPr>
            <w:tcW w:w="1184" w:type="dxa"/>
          </w:tcPr>
          <w:p>
            <w:pPr>
              <w:widowControl/>
              <w:spacing w:line="360" w:lineRule="auto"/>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带外管理交换机</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jc w:val="center"/>
              <w:rPr>
                <w:rFonts w:hint="eastAsia" w:ascii="宋体" w:hAnsi="宋体" w:cs="宋体"/>
                <w:szCs w:val="21"/>
                <w:highlight w:val="yellow"/>
              </w:rPr>
            </w:pPr>
            <w:r>
              <w:rPr>
                <w:rFonts w:hint="eastAsia" w:ascii="宋体" w:hAnsi="宋体" w:cs="宋体"/>
                <w:szCs w:val="21"/>
                <w:highlight w:val="yellow"/>
              </w:rPr>
              <w:t>2</w:t>
            </w:r>
          </w:p>
        </w:tc>
        <w:tc>
          <w:tcPr>
            <w:tcW w:w="1184" w:type="dxa"/>
            <w:vAlign w:val="center"/>
          </w:tcPr>
          <w:p>
            <w:pPr>
              <w:widowControl/>
              <w:spacing w:line="360" w:lineRule="auto"/>
              <w:jc w:val="left"/>
              <w:rPr>
                <w:rFonts w:hint="eastAsia" w:ascii="等线" w:hAnsi="等线" w:eastAsia="等线" w:cs="宋体"/>
                <w:color w:val="000000"/>
                <w:kern w:val="0"/>
                <w:sz w:val="22"/>
                <w:szCs w:val="22"/>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9475" w:type="dxa"/>
            <w:gridSpan w:val="10"/>
            <w:vAlign w:val="center"/>
          </w:tcPr>
          <w:p>
            <w:pPr>
              <w:jc w:val="center"/>
              <w:rPr>
                <w:rFonts w:hint="eastAsia" w:ascii="宋体" w:hAnsi="宋体" w:cs="宋体"/>
                <w:szCs w:val="21"/>
                <w:highlight w:val="yellow"/>
              </w:rPr>
            </w:pPr>
            <w:r>
              <w:rPr>
                <w:rFonts w:hint="eastAsia" w:ascii="宋体" w:hAnsi="宋体" w:cs="宋体"/>
                <w:sz w:val="24"/>
              </w:rPr>
              <w:t>网络运维管理平台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84" w:type="dxa"/>
            <w:vAlign w:val="center"/>
          </w:tcPr>
          <w:p>
            <w:pPr>
              <w:jc w:val="center"/>
              <w:rPr>
                <w:rFonts w:hint="eastAsia" w:ascii="宋体" w:hAnsi="宋体" w:cs="宋体"/>
                <w:szCs w:val="21"/>
              </w:rPr>
            </w:pPr>
            <w:r>
              <w:rPr>
                <w:rFonts w:hint="eastAsia" w:ascii="宋体" w:hAnsi="宋体" w:cs="宋体"/>
                <w:szCs w:val="21"/>
              </w:rPr>
              <w:t>1</w:t>
            </w:r>
          </w:p>
        </w:tc>
        <w:tc>
          <w:tcPr>
            <w:tcW w:w="1184" w:type="dxa"/>
            <w:vAlign w:val="center"/>
          </w:tcPr>
          <w:p>
            <w:pPr>
              <w:widowControl/>
              <w:spacing w:line="360" w:lineRule="auto"/>
              <w:jc w:val="left"/>
              <w:rPr>
                <w:rFonts w:hint="eastAsia" w:ascii="等线" w:hAnsi="等线" w:eastAsia="等线" w:cs="宋体"/>
                <w:color w:val="000000"/>
                <w:kern w:val="0"/>
                <w:sz w:val="22"/>
                <w:szCs w:val="22"/>
              </w:rPr>
            </w:pPr>
            <w:r>
              <w:rPr>
                <w:rFonts w:hint="eastAsia" w:ascii="宋体" w:hAnsi="宋体" w:cs="宋体"/>
                <w:sz w:val="24"/>
              </w:rPr>
              <w:t>网络运维管理平台</w:t>
            </w:r>
          </w:p>
        </w:tc>
        <w:tc>
          <w:tcPr>
            <w:tcW w:w="1184" w:type="dxa"/>
            <w:gridSpan w:val="2"/>
            <w:vAlign w:val="center"/>
          </w:tcPr>
          <w:p>
            <w:pP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vAlign w:val="center"/>
          </w:tcPr>
          <w:p>
            <w:pPr>
              <w:jc w:val="center"/>
              <w:rPr>
                <w:rFonts w:hint="eastAsia" w:ascii="宋体" w:hAnsi="宋体" w:cs="宋体"/>
                <w:szCs w:val="21"/>
                <w:highlight w:val="yellow"/>
              </w:rPr>
            </w:pPr>
          </w:p>
        </w:tc>
        <w:tc>
          <w:tcPr>
            <w:tcW w:w="1184" w:type="dxa"/>
            <w:gridSpan w:val="2"/>
            <w:vAlign w:val="center"/>
          </w:tcPr>
          <w:p>
            <w:pPr>
              <w:widowControl/>
              <w:spacing w:line="360" w:lineRule="auto"/>
              <w:jc w:val="center"/>
              <w:rPr>
                <w:rFonts w:hint="eastAsia" w:ascii="等线" w:hAnsi="等线" w:eastAsia="等线" w:cs="宋体"/>
                <w:color w:val="000000"/>
                <w:kern w:val="0"/>
                <w:sz w:val="22"/>
                <w:szCs w:val="22"/>
              </w:rPr>
            </w:pPr>
            <w:r>
              <w:rPr>
                <w:rFonts w:hint="eastAsia" w:ascii="宋体" w:hAnsi="宋体" w:cs="宋体"/>
                <w:szCs w:val="21"/>
                <w:highlight w:val="yellow"/>
              </w:rPr>
              <w:t>1</w:t>
            </w:r>
          </w:p>
        </w:tc>
        <w:tc>
          <w:tcPr>
            <w:tcW w:w="1184" w:type="dxa"/>
            <w:vAlign w:val="center"/>
          </w:tcPr>
          <w:p>
            <w:pPr>
              <w:widowControl/>
              <w:spacing w:line="360" w:lineRule="auto"/>
              <w:jc w:val="left"/>
              <w:rPr>
                <w:rFonts w:hint="eastAsia" w:ascii="等线" w:hAnsi="等线" w:eastAsia="等线" w:cs="宋体"/>
                <w:color w:val="000000"/>
                <w:kern w:val="0"/>
                <w:sz w:val="22"/>
                <w:szCs w:val="22"/>
              </w:rPr>
            </w:pPr>
          </w:p>
        </w:tc>
        <w:tc>
          <w:tcPr>
            <w:tcW w:w="1187" w:type="dxa"/>
            <w:vAlign w:val="center"/>
          </w:tcPr>
          <w:p>
            <w:pPr>
              <w:jc w:val="center"/>
              <w:rPr>
                <w:rFonts w:hint="eastAsia" w:ascii="宋体" w:hAnsi="宋体" w:cs="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3158" w:type="dxa"/>
            <w:gridSpan w:val="3"/>
            <w:vAlign w:val="center"/>
          </w:tcPr>
          <w:p>
            <w:pPr>
              <w:jc w:val="center"/>
            </w:pPr>
            <w:r>
              <w:rPr>
                <w:rFonts w:hint="eastAsia"/>
              </w:rPr>
              <w:t>总计</w:t>
            </w:r>
          </w:p>
        </w:tc>
        <w:tc>
          <w:tcPr>
            <w:tcW w:w="3158" w:type="dxa"/>
            <w:gridSpan w:val="4"/>
            <w:vAlign w:val="center"/>
          </w:tcPr>
          <w:p>
            <w:pPr>
              <w:jc w:val="center"/>
              <w:rPr>
                <w:rFonts w:hint="eastAsia" w:ascii="宋体" w:hAnsi="宋体" w:cs="宋体"/>
                <w:szCs w:val="21"/>
                <w:highlight w:val="yellow"/>
              </w:rPr>
            </w:pPr>
            <w:r>
              <w:rPr>
                <w:rFonts w:hint="eastAsia"/>
              </w:rPr>
              <w:t xml:space="preserve">（小写）            </w:t>
            </w:r>
            <w:r>
              <w:t>元</w:t>
            </w:r>
          </w:p>
        </w:tc>
        <w:tc>
          <w:tcPr>
            <w:tcW w:w="3159" w:type="dxa"/>
            <w:gridSpan w:val="3"/>
            <w:vAlign w:val="center"/>
          </w:tcPr>
          <w:p>
            <w:pPr>
              <w:rPr>
                <w:rFonts w:hint="eastAsia" w:ascii="宋体" w:hAnsi="宋体" w:cs="宋体"/>
                <w:szCs w:val="21"/>
                <w:highlight w:val="yellow"/>
              </w:rPr>
            </w:pPr>
            <w:r>
              <w:rPr>
                <w:rFonts w:hint="eastAsia"/>
              </w:rPr>
              <w:t>（</w:t>
            </w:r>
            <w:r>
              <w:t>大写</w:t>
            </w:r>
            <w:r>
              <w:rPr>
                <w:rFonts w:hint="eastAsia"/>
              </w:rPr>
              <w:t>）</w:t>
            </w:r>
            <w:r>
              <w:t>：</w:t>
            </w:r>
            <w:r>
              <w:rPr>
                <w:rFonts w:hint="eastAsia"/>
              </w:rPr>
              <w:t xml:space="preserve">                     元</w:t>
            </w:r>
            <w:r>
              <w:t>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9475" w:type="dxa"/>
            <w:gridSpan w:val="10"/>
            <w:vAlign w:val="center"/>
          </w:tcPr>
          <w:p>
            <w:pPr>
              <w:jc w:val="center"/>
            </w:pPr>
            <w:r>
              <w:rPr>
                <w:rFonts w:hint="eastAsia"/>
              </w:rPr>
              <w:t xml:space="preserve"> </w:t>
            </w:r>
            <w:r>
              <w:t xml:space="preserve">    </w:t>
            </w:r>
            <w:r>
              <w:rPr>
                <w:rFonts w:hint="eastAsia"/>
              </w:rPr>
              <w:t xml:space="preserve">        </w:t>
            </w:r>
          </w:p>
          <w:p>
            <w:pPr>
              <w:pStyle w:val="2"/>
              <w:rPr>
                <w:rFonts w:ascii="Calibri" w:hAnsi="Calibri"/>
                <w:b w:val="0"/>
                <w:sz w:val="21"/>
              </w:rPr>
            </w:pPr>
          </w:p>
          <w:p>
            <w:pPr>
              <w:pStyle w:val="2"/>
              <w:rPr>
                <w:rFonts w:ascii="Calibri" w:hAnsi="Calibri"/>
                <w:b w:val="0"/>
                <w:sz w:val="21"/>
              </w:rPr>
            </w:pPr>
            <w:r>
              <w:rPr>
                <w:rFonts w:hint="eastAsia" w:ascii="Calibri" w:hAnsi="Calibri"/>
                <w:b w:val="0"/>
                <w:sz w:val="21"/>
              </w:rPr>
              <w:t>供应商名称（盖章）：</w:t>
            </w:r>
          </w:p>
          <w:p/>
          <w:p>
            <w:pPr>
              <w:pStyle w:val="2"/>
            </w:pPr>
          </w:p>
        </w:tc>
      </w:tr>
    </w:tbl>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p>
      <w:pPr>
        <w:pStyle w:val="29"/>
        <w:ind w:firstLine="0" w:firstLineChars="0"/>
        <w:jc w:val="left"/>
        <w:rPr>
          <w:rFonts w:ascii="Times New Roman Regular" w:hAnsi="Times New Roman Regular" w:eastAsia="宋体" w:cs="Times New Roman Regular"/>
          <w:szCs w:val="28"/>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Times New Roman Regular">
    <w:altName w:val="Times New Roman"/>
    <w:panose1 w:val="00000000000000000000"/>
    <w:charset w:val="00"/>
    <w:family w:val="auto"/>
    <w:pitch w:val="default"/>
    <w:sig w:usb0="00000000" w:usb1="00000000"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1320" cy="147955"/>
              <wp:effectExtent l="0" t="0" r="0" b="4445"/>
              <wp:wrapNone/>
              <wp:docPr id="263176149"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01320"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w:t>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1.65pt;width:31.6pt;mso-position-horizontal:center;mso-position-horizontal-relative:margin;mso-wrap-style:none;z-index:251659264;mso-width-relative:page;mso-height-relative:page;" filled="f" stroked="f" coordsize="21600,21600" o:gfxdata="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2m48QdEAAAADAQAADwAAAAAAAAABACAAAAAi&#10;AAAAZHJzL2Rvd25yZXYueG1sUEsBAhQAFAAAAAgAh07iQBfa0JsRAgAACgQAAA4AAAAAAAAAAQAg&#10;AAAAIAEAAGRycy9lMm9Eb2MueG1sUEsFBgAAAAAGAAYAWQEAAKMFA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37B021"/>
    <w:multiLevelType w:val="singleLevel"/>
    <w:tmpl w:val="E337B021"/>
    <w:lvl w:ilvl="0" w:tentative="0">
      <w:start w:val="3"/>
      <w:numFmt w:val="chineseCounting"/>
      <w:suff w:val="nothing"/>
      <w:lvlText w:val="%1、"/>
      <w:lvlJc w:val="left"/>
      <w:rPr>
        <w:rFonts w:hint="eastAsia"/>
      </w:rPr>
    </w:lvl>
  </w:abstractNum>
  <w:abstractNum w:abstractNumId="1">
    <w:nsid w:val="54133610"/>
    <w:multiLevelType w:val="multilevel"/>
    <w:tmpl w:val="54133610"/>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c1NzBmYzI3NzFjYjhiOTlkNDNmNTQwNzM5ZmQ3MGQifQ=="/>
  </w:docVars>
  <w:rsids>
    <w:rsidRoot w:val="43DC0D6D"/>
    <w:rsid w:val="00002211"/>
    <w:rsid w:val="00012174"/>
    <w:rsid w:val="000123CC"/>
    <w:rsid w:val="0001538F"/>
    <w:rsid w:val="00020CE1"/>
    <w:rsid w:val="00035545"/>
    <w:rsid w:val="00050915"/>
    <w:rsid w:val="00064571"/>
    <w:rsid w:val="00064722"/>
    <w:rsid w:val="00096C3C"/>
    <w:rsid w:val="000A7106"/>
    <w:rsid w:val="000E515E"/>
    <w:rsid w:val="0011795C"/>
    <w:rsid w:val="001257AA"/>
    <w:rsid w:val="00132D91"/>
    <w:rsid w:val="00154D7E"/>
    <w:rsid w:val="00154E9A"/>
    <w:rsid w:val="00160438"/>
    <w:rsid w:val="00163EB7"/>
    <w:rsid w:val="00165D83"/>
    <w:rsid w:val="00183C8E"/>
    <w:rsid w:val="001912EF"/>
    <w:rsid w:val="001A1DA9"/>
    <w:rsid w:val="001A5A00"/>
    <w:rsid w:val="001B161E"/>
    <w:rsid w:val="001C4EBC"/>
    <w:rsid w:val="001E3057"/>
    <w:rsid w:val="001E548A"/>
    <w:rsid w:val="00211CF3"/>
    <w:rsid w:val="00213086"/>
    <w:rsid w:val="00255F90"/>
    <w:rsid w:val="00274575"/>
    <w:rsid w:val="002A252C"/>
    <w:rsid w:val="002D5BF9"/>
    <w:rsid w:val="002E2D45"/>
    <w:rsid w:val="002F768D"/>
    <w:rsid w:val="00383F10"/>
    <w:rsid w:val="003A06CD"/>
    <w:rsid w:val="003D16AD"/>
    <w:rsid w:val="003D3DD7"/>
    <w:rsid w:val="003D52B2"/>
    <w:rsid w:val="003E1DD4"/>
    <w:rsid w:val="003E5F5D"/>
    <w:rsid w:val="0041206F"/>
    <w:rsid w:val="0044370B"/>
    <w:rsid w:val="00455DC0"/>
    <w:rsid w:val="00481DEB"/>
    <w:rsid w:val="00497D61"/>
    <w:rsid w:val="004A061D"/>
    <w:rsid w:val="004A6CCE"/>
    <w:rsid w:val="004C13B9"/>
    <w:rsid w:val="004C1EF3"/>
    <w:rsid w:val="00530964"/>
    <w:rsid w:val="0053123F"/>
    <w:rsid w:val="0053495A"/>
    <w:rsid w:val="00547072"/>
    <w:rsid w:val="005B4B0D"/>
    <w:rsid w:val="00600147"/>
    <w:rsid w:val="00606086"/>
    <w:rsid w:val="006140F6"/>
    <w:rsid w:val="0063690D"/>
    <w:rsid w:val="00642909"/>
    <w:rsid w:val="00645574"/>
    <w:rsid w:val="0065128B"/>
    <w:rsid w:val="00652F80"/>
    <w:rsid w:val="00667555"/>
    <w:rsid w:val="00685183"/>
    <w:rsid w:val="006878DA"/>
    <w:rsid w:val="006B5D08"/>
    <w:rsid w:val="006B6059"/>
    <w:rsid w:val="006B773D"/>
    <w:rsid w:val="006C0BB6"/>
    <w:rsid w:val="006C3CA1"/>
    <w:rsid w:val="006D6029"/>
    <w:rsid w:val="007039C9"/>
    <w:rsid w:val="00752AE3"/>
    <w:rsid w:val="007A3EA3"/>
    <w:rsid w:val="007A5AA0"/>
    <w:rsid w:val="007B1BE3"/>
    <w:rsid w:val="007B3CDD"/>
    <w:rsid w:val="007D652C"/>
    <w:rsid w:val="007E387E"/>
    <w:rsid w:val="00801BDC"/>
    <w:rsid w:val="0080359A"/>
    <w:rsid w:val="00837314"/>
    <w:rsid w:val="00837838"/>
    <w:rsid w:val="008861BE"/>
    <w:rsid w:val="00886B9B"/>
    <w:rsid w:val="00890E2E"/>
    <w:rsid w:val="0089360E"/>
    <w:rsid w:val="008A2906"/>
    <w:rsid w:val="008A302F"/>
    <w:rsid w:val="008C1838"/>
    <w:rsid w:val="008C68F0"/>
    <w:rsid w:val="008E3885"/>
    <w:rsid w:val="008F4BA9"/>
    <w:rsid w:val="00912F41"/>
    <w:rsid w:val="009440F4"/>
    <w:rsid w:val="00953972"/>
    <w:rsid w:val="00A02038"/>
    <w:rsid w:val="00A339DB"/>
    <w:rsid w:val="00A353FB"/>
    <w:rsid w:val="00A4515B"/>
    <w:rsid w:val="00A93DBB"/>
    <w:rsid w:val="00AA166A"/>
    <w:rsid w:val="00AB7FD0"/>
    <w:rsid w:val="00AE108E"/>
    <w:rsid w:val="00AE695C"/>
    <w:rsid w:val="00B0615C"/>
    <w:rsid w:val="00B07CE0"/>
    <w:rsid w:val="00B3577F"/>
    <w:rsid w:val="00B654A0"/>
    <w:rsid w:val="00B859F8"/>
    <w:rsid w:val="00C123A1"/>
    <w:rsid w:val="00C16514"/>
    <w:rsid w:val="00C200B3"/>
    <w:rsid w:val="00C23A56"/>
    <w:rsid w:val="00C301F1"/>
    <w:rsid w:val="00C458E1"/>
    <w:rsid w:val="00C74A66"/>
    <w:rsid w:val="00C81D02"/>
    <w:rsid w:val="00C92AF7"/>
    <w:rsid w:val="00CA60D4"/>
    <w:rsid w:val="00CB1812"/>
    <w:rsid w:val="00CC5D1E"/>
    <w:rsid w:val="00D07172"/>
    <w:rsid w:val="00D13989"/>
    <w:rsid w:val="00D45A00"/>
    <w:rsid w:val="00D507CD"/>
    <w:rsid w:val="00D8531F"/>
    <w:rsid w:val="00D86C5B"/>
    <w:rsid w:val="00D976F6"/>
    <w:rsid w:val="00DD54A0"/>
    <w:rsid w:val="00DF2190"/>
    <w:rsid w:val="00DF5D8A"/>
    <w:rsid w:val="00E01BF3"/>
    <w:rsid w:val="00E0670E"/>
    <w:rsid w:val="00E11434"/>
    <w:rsid w:val="00E3644B"/>
    <w:rsid w:val="00E4085D"/>
    <w:rsid w:val="00E5494D"/>
    <w:rsid w:val="00E63A83"/>
    <w:rsid w:val="00E66F08"/>
    <w:rsid w:val="00E778F0"/>
    <w:rsid w:val="00E85218"/>
    <w:rsid w:val="00E8671F"/>
    <w:rsid w:val="00EA1EC6"/>
    <w:rsid w:val="00EE1CE5"/>
    <w:rsid w:val="00EF416E"/>
    <w:rsid w:val="00F26AC6"/>
    <w:rsid w:val="00F27541"/>
    <w:rsid w:val="00F50FC1"/>
    <w:rsid w:val="00F60930"/>
    <w:rsid w:val="00F62C3A"/>
    <w:rsid w:val="00F756E7"/>
    <w:rsid w:val="00FC5ADA"/>
    <w:rsid w:val="00FD30FB"/>
    <w:rsid w:val="00FE0358"/>
    <w:rsid w:val="017B11E4"/>
    <w:rsid w:val="045F3E60"/>
    <w:rsid w:val="065435E7"/>
    <w:rsid w:val="07F55F19"/>
    <w:rsid w:val="095A4725"/>
    <w:rsid w:val="0A7271F2"/>
    <w:rsid w:val="0B4765DB"/>
    <w:rsid w:val="0B5E5DFE"/>
    <w:rsid w:val="0C9475FE"/>
    <w:rsid w:val="0ED54FA7"/>
    <w:rsid w:val="113B33C9"/>
    <w:rsid w:val="16DC6904"/>
    <w:rsid w:val="19AC1208"/>
    <w:rsid w:val="1BD85C34"/>
    <w:rsid w:val="1C62724B"/>
    <w:rsid w:val="1EAF6B6E"/>
    <w:rsid w:val="26494805"/>
    <w:rsid w:val="26D12CCB"/>
    <w:rsid w:val="26F7280B"/>
    <w:rsid w:val="284C1CBC"/>
    <w:rsid w:val="29D53810"/>
    <w:rsid w:val="2E4A5C2F"/>
    <w:rsid w:val="2F631386"/>
    <w:rsid w:val="2F6C4C67"/>
    <w:rsid w:val="2F9B4539"/>
    <w:rsid w:val="2FD057C3"/>
    <w:rsid w:val="33497B0A"/>
    <w:rsid w:val="342E2B27"/>
    <w:rsid w:val="38282A1A"/>
    <w:rsid w:val="39E70D2F"/>
    <w:rsid w:val="3A8375C7"/>
    <w:rsid w:val="3DB73C99"/>
    <w:rsid w:val="3DF81348"/>
    <w:rsid w:val="3EEA2C8B"/>
    <w:rsid w:val="40E542E9"/>
    <w:rsid w:val="40F03B15"/>
    <w:rsid w:val="413C5593"/>
    <w:rsid w:val="42E2225C"/>
    <w:rsid w:val="43DC0D6D"/>
    <w:rsid w:val="4463591F"/>
    <w:rsid w:val="453E1CEB"/>
    <w:rsid w:val="464A5A08"/>
    <w:rsid w:val="48F30C2D"/>
    <w:rsid w:val="4AA14B96"/>
    <w:rsid w:val="4B9761E7"/>
    <w:rsid w:val="4E2A6D4B"/>
    <w:rsid w:val="4F5C3751"/>
    <w:rsid w:val="4FE5257F"/>
    <w:rsid w:val="4FFFE914"/>
    <w:rsid w:val="51B340C2"/>
    <w:rsid w:val="560E5731"/>
    <w:rsid w:val="57D97E62"/>
    <w:rsid w:val="5BD844BF"/>
    <w:rsid w:val="5C3563ED"/>
    <w:rsid w:val="5C56150A"/>
    <w:rsid w:val="5C8E394E"/>
    <w:rsid w:val="5C9B41FC"/>
    <w:rsid w:val="5DA930B5"/>
    <w:rsid w:val="5E002D9B"/>
    <w:rsid w:val="61972682"/>
    <w:rsid w:val="61D50F91"/>
    <w:rsid w:val="62610A33"/>
    <w:rsid w:val="68F6059A"/>
    <w:rsid w:val="6934552F"/>
    <w:rsid w:val="694C7404"/>
    <w:rsid w:val="6EDF562C"/>
    <w:rsid w:val="6EFC1923"/>
    <w:rsid w:val="6F156B86"/>
    <w:rsid w:val="712D6B22"/>
    <w:rsid w:val="71A30B93"/>
    <w:rsid w:val="734975EC"/>
    <w:rsid w:val="75BE243F"/>
    <w:rsid w:val="778801D2"/>
    <w:rsid w:val="7A5F0C6A"/>
    <w:rsid w:val="7AA55C1E"/>
    <w:rsid w:val="7AFB1F49"/>
    <w:rsid w:val="7C2E6E1D"/>
    <w:rsid w:val="7E5F07E0"/>
    <w:rsid w:val="ABFBD8B6"/>
    <w:rsid w:val="B5EFEC93"/>
    <w:rsid w:val="DDDC3FAD"/>
    <w:rsid w:val="DDE90FAF"/>
    <w:rsid w:val="FFBF2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8"/>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
    <w:qFormat/>
    <w:uiPriority w:val="9"/>
    <w:pPr>
      <w:keepNext/>
      <w:keepLines/>
      <w:spacing w:before="260" w:after="260" w:line="416" w:lineRule="auto"/>
      <w:outlineLvl w:val="1"/>
    </w:pPr>
    <w:rPr>
      <w:rFonts w:ascii="等线 Light" w:hAnsi="等线 Light" w:eastAsia="等线 Light"/>
      <w:b/>
      <w:bCs/>
      <w:sz w:val="32"/>
      <w:szCs w:val="32"/>
    </w:rPr>
  </w:style>
  <w:style w:type="paragraph" w:styleId="5">
    <w:name w:val="heading 3"/>
    <w:basedOn w:val="1"/>
    <w:next w:val="1"/>
    <w:qFormat/>
    <w:uiPriority w:val="9"/>
    <w:pPr>
      <w:keepNext/>
      <w:keepLines/>
      <w:spacing w:before="260" w:after="260" w:line="416" w:lineRule="auto"/>
      <w:outlineLvl w:val="2"/>
    </w:pPr>
    <w:rPr>
      <w:b/>
      <w:bCs/>
      <w:sz w:val="32"/>
      <w:szCs w:val="32"/>
    </w:rPr>
  </w:style>
  <w:style w:type="paragraph" w:styleId="6">
    <w:name w:val="heading 4"/>
    <w:basedOn w:val="1"/>
    <w:next w:val="1"/>
    <w:link w:val="20"/>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tabs>
        <w:tab w:val="left" w:pos="1260"/>
        <w:tab w:val="left" w:pos="1685"/>
        <w:tab w:val="right" w:leader="dot" w:pos="8400"/>
      </w:tabs>
      <w:spacing w:line="360" w:lineRule="auto"/>
    </w:pPr>
    <w:rPr>
      <w:rFonts w:ascii="Times New Roman" w:hAnsi="Times New Roman"/>
      <w:b/>
      <w:sz w:val="24"/>
    </w:rPr>
  </w:style>
  <w:style w:type="paragraph" w:styleId="7">
    <w:name w:val="Normal Indent"/>
    <w:basedOn w:val="1"/>
    <w:qFormat/>
    <w:uiPriority w:val="0"/>
    <w:pPr>
      <w:autoSpaceDE w:val="0"/>
      <w:autoSpaceDN w:val="0"/>
      <w:adjustRightInd w:val="0"/>
      <w:spacing w:line="360" w:lineRule="auto"/>
      <w:ind w:firstLine="200" w:firstLineChars="200"/>
      <w:jc w:val="left"/>
    </w:pPr>
  </w:style>
  <w:style w:type="paragraph" w:styleId="8">
    <w:name w:val="Body Text Indent"/>
    <w:basedOn w:val="1"/>
    <w:link w:val="21"/>
    <w:qFormat/>
    <w:uiPriority w:val="0"/>
    <w:pPr>
      <w:adjustRightInd w:val="0"/>
      <w:snapToGrid w:val="0"/>
      <w:spacing w:before="25" w:beforeLines="25" w:after="25" w:afterLines="25" w:line="360" w:lineRule="auto"/>
      <w:ind w:left="420" w:firstLine="420" w:firstLineChars="200"/>
    </w:pPr>
    <w:rPr>
      <w:rFonts w:ascii="宋体" w:hAnsi="宋体" w:eastAsia="等线"/>
      <w:sz w:val="24"/>
      <w:szCs w:val="22"/>
      <w:shd w:val="pct10" w:color="auto" w:fill="FFFFFF"/>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Subtitle"/>
    <w:basedOn w:val="1"/>
    <w:next w:val="1"/>
    <w:link w:val="22"/>
    <w:qFormat/>
    <w:uiPriority w:val="0"/>
    <w:pPr>
      <w:spacing w:before="240" w:after="60" w:line="312" w:lineRule="auto"/>
      <w:jc w:val="center"/>
      <w:outlineLvl w:val="1"/>
    </w:pPr>
    <w:rPr>
      <w:rFonts w:ascii="等线 Light" w:hAnsi="等线 Light"/>
      <w:b/>
      <w:bCs/>
      <w:kern w:val="28"/>
      <w:sz w:val="32"/>
      <w:szCs w:val="32"/>
    </w:rPr>
  </w:style>
  <w:style w:type="paragraph" w:styleId="12">
    <w:name w:val="Title"/>
    <w:basedOn w:val="1"/>
    <w:next w:val="1"/>
    <w:link w:val="23"/>
    <w:qFormat/>
    <w:uiPriority w:val="0"/>
    <w:pPr>
      <w:spacing w:before="240" w:after="60"/>
      <w:jc w:val="center"/>
      <w:outlineLvl w:val="0"/>
    </w:pPr>
    <w:rPr>
      <w:rFonts w:ascii="等线 Light" w:hAnsi="等线 Light"/>
      <w:b/>
      <w:bCs/>
      <w:sz w:val="32"/>
      <w:szCs w:val="32"/>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0"/>
    <w:rPr>
      <w:b/>
      <w:bCs/>
    </w:rPr>
  </w:style>
  <w:style w:type="character" w:styleId="17">
    <w:name w:val="Emphasis"/>
    <w:qFormat/>
    <w:uiPriority w:val="0"/>
    <w:rPr>
      <w:i/>
      <w:iCs/>
    </w:rPr>
  </w:style>
  <w:style w:type="character" w:customStyle="1" w:styleId="18">
    <w:name w:val="标题 1 字符"/>
    <w:link w:val="3"/>
    <w:qFormat/>
    <w:uiPriority w:val="0"/>
    <w:rPr>
      <w:rFonts w:ascii="Calibri" w:hAnsi="Calibri"/>
      <w:b/>
      <w:bCs/>
      <w:kern w:val="44"/>
      <w:sz w:val="44"/>
      <w:szCs w:val="44"/>
    </w:rPr>
  </w:style>
  <w:style w:type="character" w:customStyle="1" w:styleId="19">
    <w:name w:val="标题 2 字符"/>
    <w:link w:val="4"/>
    <w:qFormat/>
    <w:uiPriority w:val="9"/>
    <w:rPr>
      <w:rFonts w:ascii="等线 Light" w:hAnsi="等线 Light" w:eastAsia="等线 Light"/>
      <w:b/>
      <w:bCs/>
      <w:kern w:val="2"/>
      <w:sz w:val="32"/>
      <w:szCs w:val="32"/>
    </w:rPr>
  </w:style>
  <w:style w:type="character" w:customStyle="1" w:styleId="20">
    <w:name w:val="标题 4 字符"/>
    <w:link w:val="6"/>
    <w:qFormat/>
    <w:uiPriority w:val="9"/>
    <w:rPr>
      <w:rFonts w:ascii="等线 Light" w:hAnsi="等线 Light" w:eastAsia="等线 Light"/>
      <w:b/>
      <w:bCs/>
      <w:kern w:val="2"/>
      <w:sz w:val="28"/>
      <w:szCs w:val="28"/>
    </w:rPr>
  </w:style>
  <w:style w:type="character" w:customStyle="1" w:styleId="21">
    <w:name w:val="正文文本缩进 字符"/>
    <w:link w:val="8"/>
    <w:qFormat/>
    <w:uiPriority w:val="0"/>
    <w:rPr>
      <w:rFonts w:ascii="宋体" w:hAnsi="宋体" w:eastAsia="等线"/>
      <w:kern w:val="2"/>
      <w:sz w:val="24"/>
      <w:szCs w:val="22"/>
    </w:rPr>
  </w:style>
  <w:style w:type="character" w:customStyle="1" w:styleId="22">
    <w:name w:val="副标题 字符"/>
    <w:link w:val="11"/>
    <w:qFormat/>
    <w:uiPriority w:val="0"/>
    <w:rPr>
      <w:rFonts w:ascii="等线 Light" w:hAnsi="等线 Light" w:cs="Times New Roman"/>
      <w:b/>
      <w:bCs/>
      <w:kern w:val="28"/>
      <w:sz w:val="32"/>
      <w:szCs w:val="32"/>
    </w:rPr>
  </w:style>
  <w:style w:type="character" w:customStyle="1" w:styleId="23">
    <w:name w:val="标题 字符"/>
    <w:link w:val="12"/>
    <w:qFormat/>
    <w:uiPriority w:val="0"/>
    <w:rPr>
      <w:rFonts w:ascii="等线 Light" w:hAnsi="等线 Light" w:cs="Times New Roman"/>
      <w:b/>
      <w:bCs/>
      <w:kern w:val="2"/>
      <w:sz w:val="32"/>
      <w:szCs w:val="32"/>
    </w:rPr>
  </w:style>
  <w:style w:type="paragraph" w:customStyle="1" w:styleId="24">
    <w:name w:val="Char1"/>
    <w:basedOn w:val="1"/>
    <w:qFormat/>
    <w:uiPriority w:val="0"/>
    <w:rPr>
      <w:rFonts w:ascii="Times New Roman" w:hAnsi="Times New Roman"/>
      <w:sz w:val="24"/>
    </w:rPr>
  </w:style>
  <w:style w:type="paragraph" w:customStyle="1" w:styleId="25">
    <w:name w:val="www正文"/>
    <w:basedOn w:val="1"/>
    <w:qFormat/>
    <w:uiPriority w:val="0"/>
    <w:pPr>
      <w:ind w:firstLine="480" w:firstLineChars="200"/>
    </w:pPr>
    <w:rPr>
      <w:rFonts w:ascii="Times New Roman" w:hAnsi="Times New Roman"/>
    </w:rPr>
  </w:style>
  <w:style w:type="paragraph" w:styleId="26">
    <w:name w:val="List Paragraph"/>
    <w:basedOn w:val="1"/>
    <w:link w:val="27"/>
    <w:qFormat/>
    <w:uiPriority w:val="34"/>
    <w:pPr>
      <w:ind w:firstLine="420" w:firstLineChars="200"/>
    </w:pPr>
  </w:style>
  <w:style w:type="character" w:customStyle="1" w:styleId="27">
    <w:name w:val="列表段落 字符"/>
    <w:link w:val="26"/>
    <w:qFormat/>
    <w:locked/>
    <w:uiPriority w:val="34"/>
    <w:rPr>
      <w:rFonts w:ascii="Calibri" w:hAnsi="Calibri"/>
      <w:kern w:val="2"/>
      <w:sz w:val="21"/>
      <w:szCs w:val="24"/>
    </w:rPr>
  </w:style>
  <w:style w:type="character" w:customStyle="1" w:styleId="28">
    <w:name w:val="方案正文 Char"/>
    <w:link w:val="29"/>
    <w:qFormat/>
    <w:uiPriority w:val="0"/>
    <w:rPr>
      <w:rFonts w:ascii="华文细黑" w:hAnsi="华文细黑" w:eastAsia="华文细黑"/>
      <w:sz w:val="24"/>
      <w:szCs w:val="24"/>
    </w:rPr>
  </w:style>
  <w:style w:type="paragraph" w:customStyle="1" w:styleId="29">
    <w:name w:val="方案正文"/>
    <w:basedOn w:val="1"/>
    <w:link w:val="28"/>
    <w:qFormat/>
    <w:uiPriority w:val="0"/>
    <w:pPr>
      <w:spacing w:before="120" w:line="360" w:lineRule="auto"/>
      <w:ind w:firstLine="425" w:firstLineChars="177"/>
    </w:pPr>
    <w:rPr>
      <w:rFonts w:ascii="华文细黑" w:hAnsi="华文细黑" w:eastAsia="华文细黑"/>
      <w:kern w:val="0"/>
      <w:sz w:val="24"/>
    </w:rPr>
  </w:style>
  <w:style w:type="character" w:customStyle="1" w:styleId="30">
    <w:name w:val="样式1 Char Char"/>
    <w:link w:val="31"/>
    <w:qFormat/>
    <w:locked/>
    <w:uiPriority w:val="0"/>
    <w:rPr>
      <w:rFonts w:ascii="Arial" w:hAnsi="Arial"/>
      <w:kern w:val="2"/>
      <w:sz w:val="21"/>
      <w:szCs w:val="24"/>
    </w:rPr>
  </w:style>
  <w:style w:type="paragraph" w:customStyle="1" w:styleId="31">
    <w:name w:val="样式1"/>
    <w:basedOn w:val="1"/>
    <w:link w:val="30"/>
    <w:qFormat/>
    <w:uiPriority w:val="0"/>
    <w:pPr>
      <w:adjustRightInd w:val="0"/>
      <w:snapToGrid w:val="0"/>
      <w:spacing w:line="360" w:lineRule="exact"/>
      <w:ind w:firstLine="200" w:firstLineChars="200"/>
      <w:jc w:val="left"/>
    </w:pPr>
    <w:rPr>
      <w:rFonts w:ascii="Arial" w:hAnsi="Arial"/>
    </w:rPr>
  </w:style>
  <w:style w:type="paragraph" w:customStyle="1" w:styleId="32">
    <w:name w:val="正文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3183</Words>
  <Characters>3788</Characters>
  <Lines>344</Lines>
  <Paragraphs>258</Paragraphs>
  <TotalTime>4</TotalTime>
  <ScaleCrop>false</ScaleCrop>
  <LinksUpToDate>false</LinksUpToDate>
  <CharactersWithSpaces>6713</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2025-10-24T14:31:00Z</dcterms:created>
  <dc:creator>Administrator</dc:creator>
  <cp:lastModifiedBy>Admin</cp:lastModifiedBy>
  <dcterms:modified xsi:type="dcterms:W3CDTF">2025-11-07T06:48:20Z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90005E0338534CDDA1A68F1D6E329E8F_13</vt:lpwstr>
  </property>
</Properties>
</file>