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6CE22CC">
      <w:pPr>
        <w:jc w:val="center"/>
        <w:rPr>
          <w:rFonts w:hint="eastAsia" w:ascii="黑体" w:hAnsi="黑体" w:eastAsia="黑体" w:cs="Times New Roman Regular"/>
          <w:b/>
          <w:bCs/>
          <w:sz w:val="44"/>
          <w:szCs w:val="44"/>
        </w:rPr>
      </w:pPr>
      <w:r>
        <w:rPr>
          <w:rFonts w:ascii="黑体" w:hAnsi="黑体" w:eastAsia="黑体" w:cs="Times New Roman Regular"/>
          <w:b/>
          <w:bCs/>
          <w:sz w:val="44"/>
          <w:szCs w:val="44"/>
        </w:rPr>
        <w:t>重庆医科大学附属儿童医院</w:t>
      </w:r>
    </w:p>
    <w:p w14:paraId="21427B29">
      <w:pPr>
        <w:jc w:val="center"/>
        <w:rPr>
          <w:rFonts w:hint="eastAsia" w:ascii="黑体" w:hAnsi="黑体" w:eastAsia="黑体" w:cs="Times New Roman Regular"/>
          <w:b/>
          <w:bCs/>
          <w:sz w:val="44"/>
          <w:szCs w:val="44"/>
        </w:rPr>
      </w:pPr>
      <w:r>
        <w:rPr>
          <w:rFonts w:hint="eastAsia" w:ascii="黑体" w:hAnsi="黑体" w:eastAsia="黑体" w:cs="Times New Roman Regular"/>
          <w:b/>
          <w:bCs/>
          <w:sz w:val="44"/>
          <w:szCs w:val="44"/>
        </w:rPr>
        <w:t>两江生物样本资源中心局域网接入点及交换机</w:t>
      </w:r>
    </w:p>
    <w:p w14:paraId="4D19B564">
      <w:pPr>
        <w:jc w:val="center"/>
        <w:rPr>
          <w:rFonts w:hint="default" w:ascii="黑体" w:hAnsi="黑体" w:eastAsia="黑体" w:cs="Times New Roman Regular"/>
          <w:b/>
          <w:bCs/>
          <w:sz w:val="44"/>
          <w:szCs w:val="44"/>
          <w:lang w:val="en-US" w:eastAsia="zh-CN"/>
        </w:rPr>
      </w:pPr>
      <w:r>
        <w:rPr>
          <w:rFonts w:hint="eastAsia" w:ascii="黑体" w:hAnsi="黑体" w:eastAsia="黑体" w:cs="Times New Roman Regular"/>
          <w:b/>
          <w:bCs/>
          <w:sz w:val="44"/>
          <w:szCs w:val="44"/>
          <w:lang w:val="en-US" w:eastAsia="zh-CN"/>
        </w:rPr>
        <w:t>市场调查文件</w:t>
      </w:r>
    </w:p>
    <w:p w14:paraId="6E508987">
      <w:pPr>
        <w:pStyle w:val="3"/>
        <w:rPr>
          <w:rStyle w:val="18"/>
          <w:rFonts w:ascii="Times New Roman Regular" w:hAnsi="Times New Roman Regular" w:cs="Times New Roman Regular"/>
          <w:b/>
          <w:bCs/>
          <w:sz w:val="30"/>
          <w:szCs w:val="30"/>
        </w:rPr>
      </w:pPr>
      <w:r>
        <w:rPr>
          <w:rStyle w:val="18"/>
          <w:rFonts w:ascii="Times New Roman Regular" w:hAnsi="Times New Roman Regular" w:cs="Times New Roman Regular"/>
          <w:b/>
          <w:bCs/>
          <w:sz w:val="30"/>
          <w:szCs w:val="30"/>
        </w:rPr>
        <w:t>一、项目概况</w:t>
      </w:r>
    </w:p>
    <w:p w14:paraId="28DEC1A7">
      <w:pPr>
        <w:pStyle w:val="29"/>
      </w:pPr>
      <w:bookmarkStart w:id="0" w:name="OLE_LINK1"/>
      <w:r>
        <w:rPr>
          <w:rFonts w:hint="eastAsia"/>
        </w:rPr>
        <w:t>为满足两江院区生物样本资源中心当前及未来的业务发展需求，需建设一套无线网络系统。实现办公区、实验区的无线信号全覆盖，提供高速、稳定、安全的网络接入，支撑样本数据的高效流转。同时具备统一的物联网扩展能力，支持通过蓝牙、RFID等物联协议，为温湿度监控、设备定位、资产管理及样本标签识别等智能应用提供统一的终端接入与数据承载通道。</w:t>
      </w:r>
    </w:p>
    <w:bookmarkEnd w:id="0"/>
    <w:p w14:paraId="2CBBB489">
      <w:pPr>
        <w:pStyle w:val="3"/>
        <w:rPr>
          <w:rFonts w:ascii="Times New Roman Regular" w:hAnsi="Times New Roman Regular" w:cs="Times New Roman Regular"/>
          <w:sz w:val="30"/>
          <w:szCs w:val="30"/>
        </w:rPr>
      </w:pPr>
      <w:r>
        <w:rPr>
          <w:rFonts w:ascii="Times New Roman Regular" w:hAnsi="Times New Roman Regular" w:cs="Times New Roman Regular"/>
          <w:sz w:val="30"/>
          <w:szCs w:val="30"/>
        </w:rPr>
        <w:t>二、项目要求</w:t>
      </w:r>
    </w:p>
    <w:p w14:paraId="3809C28A">
      <w:pPr>
        <w:pStyle w:val="4"/>
        <w:numPr>
          <w:ilvl w:val="0"/>
          <w:numId w:val="1"/>
        </w:numPr>
        <w:rPr>
          <w:rFonts w:hint="eastAsia"/>
          <w:sz w:val="28"/>
          <w:szCs w:val="28"/>
        </w:rPr>
      </w:pPr>
      <w:r>
        <w:rPr>
          <w:rFonts w:hint="eastAsia"/>
          <w:sz w:val="28"/>
          <w:szCs w:val="28"/>
        </w:rPr>
        <w:t>设备清单</w:t>
      </w:r>
    </w:p>
    <w:tbl>
      <w:tblPr>
        <w:tblStyle w:val="15"/>
        <w:tblW w:w="4995" w:type="pct"/>
        <w:tblInd w:w="0" w:type="dxa"/>
        <w:tblLayout w:type="autofit"/>
        <w:tblCellMar>
          <w:top w:w="0" w:type="dxa"/>
          <w:left w:w="108" w:type="dxa"/>
          <w:bottom w:w="0" w:type="dxa"/>
          <w:right w:w="108" w:type="dxa"/>
        </w:tblCellMar>
      </w:tblPr>
      <w:tblGrid>
        <w:gridCol w:w="1023"/>
        <w:gridCol w:w="1447"/>
        <w:gridCol w:w="6140"/>
        <w:gridCol w:w="671"/>
        <w:gridCol w:w="671"/>
      </w:tblGrid>
      <w:tr w14:paraId="590F4E25">
        <w:tblPrEx>
          <w:tblCellMar>
            <w:top w:w="0" w:type="dxa"/>
            <w:left w:w="108" w:type="dxa"/>
            <w:bottom w:w="0" w:type="dxa"/>
            <w:right w:w="108" w:type="dxa"/>
          </w:tblCellMar>
        </w:tblPrEx>
        <w:trPr>
          <w:trHeight w:val="285" w:hRule="atLeast"/>
          <w:tblHeader/>
        </w:trPr>
        <w:tc>
          <w:tcPr>
            <w:tcW w:w="514" w:type="pct"/>
            <w:tcBorders>
              <w:top w:val="single" w:color="auto" w:sz="4" w:space="0"/>
              <w:left w:val="single" w:color="auto" w:sz="4" w:space="0"/>
              <w:bottom w:val="single" w:color="auto" w:sz="4" w:space="0"/>
              <w:right w:val="single" w:color="auto" w:sz="4" w:space="0"/>
            </w:tcBorders>
            <w:vAlign w:val="center"/>
          </w:tcPr>
          <w:p w14:paraId="6978E8A5">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序号</w:t>
            </w:r>
          </w:p>
        </w:tc>
        <w:tc>
          <w:tcPr>
            <w:tcW w:w="727" w:type="pct"/>
            <w:tcBorders>
              <w:top w:val="single" w:color="auto" w:sz="4" w:space="0"/>
              <w:left w:val="single" w:color="auto" w:sz="4" w:space="0"/>
              <w:bottom w:val="single" w:color="auto" w:sz="4" w:space="0"/>
              <w:right w:val="single" w:color="auto" w:sz="4" w:space="0"/>
            </w:tcBorders>
            <w:vAlign w:val="center"/>
          </w:tcPr>
          <w:p w14:paraId="5E81EAD7">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设备名称</w:t>
            </w:r>
          </w:p>
        </w:tc>
        <w:tc>
          <w:tcPr>
            <w:tcW w:w="3085" w:type="pct"/>
            <w:tcBorders>
              <w:top w:val="single" w:color="auto" w:sz="4" w:space="0"/>
              <w:left w:val="nil"/>
              <w:bottom w:val="single" w:color="auto" w:sz="4" w:space="0"/>
              <w:right w:val="single" w:color="auto" w:sz="4" w:space="0"/>
            </w:tcBorders>
            <w:noWrap/>
            <w:vAlign w:val="center"/>
          </w:tcPr>
          <w:p w14:paraId="391B1F56">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描述</w:t>
            </w:r>
          </w:p>
        </w:tc>
        <w:tc>
          <w:tcPr>
            <w:tcW w:w="337" w:type="pct"/>
            <w:tcBorders>
              <w:top w:val="single" w:color="auto" w:sz="4" w:space="0"/>
              <w:left w:val="nil"/>
              <w:bottom w:val="single" w:color="auto" w:sz="4" w:space="0"/>
              <w:right w:val="single" w:color="auto" w:sz="4" w:space="0"/>
            </w:tcBorders>
            <w:noWrap/>
            <w:vAlign w:val="center"/>
          </w:tcPr>
          <w:p w14:paraId="608DE8ED">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数量</w:t>
            </w:r>
          </w:p>
        </w:tc>
        <w:tc>
          <w:tcPr>
            <w:tcW w:w="337" w:type="pct"/>
            <w:tcBorders>
              <w:top w:val="single" w:color="auto" w:sz="4" w:space="0"/>
              <w:left w:val="nil"/>
              <w:bottom w:val="single" w:color="auto" w:sz="4" w:space="0"/>
              <w:right w:val="single" w:color="auto" w:sz="4" w:space="0"/>
            </w:tcBorders>
            <w:noWrap/>
            <w:vAlign w:val="center"/>
          </w:tcPr>
          <w:p w14:paraId="3F2DBF43">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单位</w:t>
            </w:r>
          </w:p>
        </w:tc>
      </w:tr>
      <w:tr w14:paraId="464CADD2">
        <w:tblPrEx>
          <w:tblCellMar>
            <w:top w:w="0" w:type="dxa"/>
            <w:left w:w="108" w:type="dxa"/>
            <w:bottom w:w="0" w:type="dxa"/>
            <w:right w:w="108" w:type="dxa"/>
          </w:tblCellMar>
        </w:tblPrEx>
        <w:trPr>
          <w:trHeight w:val="1995" w:hRule="atLeast"/>
        </w:trPr>
        <w:tc>
          <w:tcPr>
            <w:tcW w:w="514" w:type="pct"/>
            <w:tcBorders>
              <w:top w:val="nil"/>
              <w:left w:val="single" w:color="auto" w:sz="4" w:space="0"/>
              <w:bottom w:val="single" w:color="auto" w:sz="4" w:space="0"/>
              <w:right w:val="single" w:color="auto" w:sz="4" w:space="0"/>
            </w:tcBorders>
            <w:vAlign w:val="center"/>
          </w:tcPr>
          <w:p w14:paraId="29447D76">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w:t>
            </w:r>
          </w:p>
        </w:tc>
        <w:tc>
          <w:tcPr>
            <w:tcW w:w="727" w:type="pct"/>
            <w:tcBorders>
              <w:top w:val="nil"/>
              <w:left w:val="single" w:color="auto" w:sz="4" w:space="0"/>
              <w:bottom w:val="single" w:color="auto" w:sz="4" w:space="0"/>
              <w:right w:val="single" w:color="auto" w:sz="4" w:space="0"/>
            </w:tcBorders>
            <w:vAlign w:val="center"/>
          </w:tcPr>
          <w:p w14:paraId="438DD456">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无线接入点（吸顶）</w:t>
            </w:r>
          </w:p>
        </w:tc>
        <w:tc>
          <w:tcPr>
            <w:tcW w:w="3085" w:type="pct"/>
            <w:tcBorders>
              <w:top w:val="nil"/>
              <w:left w:val="nil"/>
              <w:bottom w:val="single" w:color="auto" w:sz="4" w:space="0"/>
              <w:right w:val="single" w:color="auto" w:sz="4" w:space="0"/>
            </w:tcBorders>
            <w:vAlign w:val="center"/>
          </w:tcPr>
          <w:p w14:paraId="7184CA7B">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1.全频段支持 IEEE 802.11be 标准，兼容 IEEE 802.11a/b/g/n/ac/ax 标准，支持2.4G频段和5G频段；</w:t>
            </w:r>
          </w:p>
          <w:p w14:paraId="0E58CF3E">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2.设备采用内置智能天线，支持吸顶安装，整机支持4条空间流，整机速率≥3.5Gbps；</w:t>
            </w:r>
          </w:p>
          <w:p w14:paraId="00132910">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3.硬件参数：支持≥1x2.5GE电口；支持蓝牙5.4；</w:t>
            </w:r>
          </w:p>
          <w:p w14:paraId="7A1AEC61">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4.提供 USB 2.0接口，可用于扩展外置物联网；</w:t>
            </w:r>
          </w:p>
          <w:p w14:paraId="3317B11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5.具有工信部无线电管理局核发的型号核准证书。</w:t>
            </w:r>
          </w:p>
        </w:tc>
        <w:tc>
          <w:tcPr>
            <w:tcW w:w="337" w:type="pct"/>
            <w:tcBorders>
              <w:top w:val="nil"/>
              <w:left w:val="nil"/>
              <w:bottom w:val="single" w:color="auto" w:sz="4" w:space="0"/>
              <w:right w:val="single" w:color="auto" w:sz="4" w:space="0"/>
            </w:tcBorders>
            <w:noWrap/>
            <w:vAlign w:val="center"/>
          </w:tcPr>
          <w:p w14:paraId="2EF2CFD9">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22</w:t>
            </w:r>
          </w:p>
        </w:tc>
        <w:tc>
          <w:tcPr>
            <w:tcW w:w="337" w:type="pct"/>
            <w:tcBorders>
              <w:top w:val="nil"/>
              <w:left w:val="nil"/>
              <w:bottom w:val="single" w:color="auto" w:sz="4" w:space="0"/>
              <w:right w:val="single" w:color="auto" w:sz="4" w:space="0"/>
            </w:tcBorders>
            <w:noWrap/>
            <w:vAlign w:val="center"/>
          </w:tcPr>
          <w:p w14:paraId="341C8CA7">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台</w:t>
            </w:r>
          </w:p>
        </w:tc>
      </w:tr>
      <w:tr w14:paraId="54905D34">
        <w:tblPrEx>
          <w:tblCellMar>
            <w:top w:w="0" w:type="dxa"/>
            <w:left w:w="108" w:type="dxa"/>
            <w:bottom w:w="0" w:type="dxa"/>
            <w:right w:w="108" w:type="dxa"/>
          </w:tblCellMar>
        </w:tblPrEx>
        <w:trPr>
          <w:trHeight w:val="1995" w:hRule="atLeast"/>
        </w:trPr>
        <w:tc>
          <w:tcPr>
            <w:tcW w:w="514" w:type="pct"/>
            <w:tcBorders>
              <w:top w:val="nil"/>
              <w:left w:val="single" w:color="auto" w:sz="4" w:space="0"/>
              <w:bottom w:val="single" w:color="auto" w:sz="4" w:space="0"/>
              <w:right w:val="single" w:color="auto" w:sz="4" w:space="0"/>
            </w:tcBorders>
            <w:vAlign w:val="center"/>
          </w:tcPr>
          <w:p w14:paraId="16DEFAF6">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727" w:type="pct"/>
            <w:tcBorders>
              <w:top w:val="nil"/>
              <w:left w:val="single" w:color="auto" w:sz="4" w:space="0"/>
              <w:bottom w:val="single" w:color="auto" w:sz="4" w:space="0"/>
              <w:right w:val="single" w:color="auto" w:sz="4" w:space="0"/>
            </w:tcBorders>
            <w:vAlign w:val="center"/>
          </w:tcPr>
          <w:p w14:paraId="034E646C">
            <w:pPr>
              <w:widowControl/>
              <w:spacing w:line="360" w:lineRule="auto"/>
              <w:rPr>
                <w:rFonts w:hint="eastAsia" w:ascii="等线" w:hAnsi="等线" w:eastAsia="等线" w:cs="宋体"/>
                <w:color w:val="000000"/>
                <w:kern w:val="0"/>
                <w:sz w:val="22"/>
                <w:szCs w:val="22"/>
              </w:rPr>
            </w:pPr>
            <w:r>
              <w:rPr>
                <w:rFonts w:hint="eastAsia"/>
              </w:rPr>
              <w:t>PoE接入交换机</w:t>
            </w:r>
          </w:p>
        </w:tc>
        <w:tc>
          <w:tcPr>
            <w:tcW w:w="3085" w:type="pct"/>
            <w:tcBorders>
              <w:top w:val="nil"/>
              <w:left w:val="nil"/>
              <w:bottom w:val="single" w:color="auto" w:sz="4" w:space="0"/>
              <w:right w:val="single" w:color="auto" w:sz="4" w:space="0"/>
            </w:tcBorders>
            <w:vAlign w:val="center"/>
          </w:tcPr>
          <w:p w14:paraId="77B02633">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1.性能要求：交换容量≥672Gbps，包转发率≥171Mpps；</w:t>
            </w:r>
          </w:p>
          <w:p w14:paraId="3BB65EA6">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2.配置要求：提供≥24个10/100/1000BASE-T POE+电口，提供≥4个1/10GE SFP+端口，支持802.3at/POE+供电标准，单端口最大支持30W，整机POE功率≥400W。配置万兆单模光纤模块≥4个，含配套跳纤。；</w:t>
            </w:r>
          </w:p>
          <w:p w14:paraId="5E59E457">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3.二层功能：支持MAC地址规格≥32K，支持ARP表项规格≥4K，支持4K个VLAN，支持Voice VLAN，基于端口的VLAN，基于MAC的VLAN，基于协议的VLAN，支持1:1和N:1 VLAN Mapping功能；</w:t>
            </w:r>
          </w:p>
          <w:p w14:paraId="3999B5D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4.三层功能：支持RIP、RIPng、OSPF、OSPFv3、VRRP、VRRP6等路由协议。支持Ipv4路由FIB表≥4K，Ipv6路由FIB表≥1K；</w:t>
            </w:r>
          </w:p>
          <w:p w14:paraId="58E304CD">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5.组播:支持IGMP v1/v2/v3 Snooping,支持VLAN内组播转发和组播多VLAN复制,支持捆绑端口的组播负载分担,支持可控组播,基于端口的组播流量统计；</w:t>
            </w:r>
          </w:p>
          <w:p w14:paraId="183C0FAE">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6.安全:支持防止DOS、ARP攻击功能、ICMP防攻击,支持端口隔离、端口安全、Sticky MAC,支持 IP、MAC、端口、VLAN的组合绑定,支持CPU保护功能,支持DHCP Snooping、DHCPv6 Snooping功能，设备支持MAC、802.1x认证和混合认证，实现用户策略（VLAN、QoS、ACL）的动态下发；</w:t>
            </w:r>
          </w:p>
          <w:p w14:paraId="39867CA6">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7.支持SNMP v1/v2/v3、Telnet、RMON,支持通过命令行、Web、中文图形化配置软件等方式进行配置和管理,支持Telemetry技术。</w:t>
            </w:r>
          </w:p>
        </w:tc>
        <w:tc>
          <w:tcPr>
            <w:tcW w:w="337" w:type="pct"/>
            <w:tcBorders>
              <w:top w:val="nil"/>
              <w:left w:val="nil"/>
              <w:bottom w:val="single" w:color="auto" w:sz="4" w:space="0"/>
              <w:right w:val="single" w:color="auto" w:sz="4" w:space="0"/>
            </w:tcBorders>
            <w:noWrap/>
            <w:vAlign w:val="center"/>
          </w:tcPr>
          <w:p w14:paraId="7768CA1D">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337" w:type="pct"/>
            <w:tcBorders>
              <w:top w:val="nil"/>
              <w:left w:val="nil"/>
              <w:bottom w:val="single" w:color="auto" w:sz="4" w:space="0"/>
              <w:right w:val="single" w:color="auto" w:sz="4" w:space="0"/>
            </w:tcBorders>
            <w:noWrap/>
            <w:vAlign w:val="center"/>
          </w:tcPr>
          <w:p w14:paraId="0A1EA443">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台</w:t>
            </w:r>
          </w:p>
        </w:tc>
      </w:tr>
      <w:tr w14:paraId="2B40694F">
        <w:tblPrEx>
          <w:tblCellMar>
            <w:top w:w="0" w:type="dxa"/>
            <w:left w:w="108" w:type="dxa"/>
            <w:bottom w:w="0" w:type="dxa"/>
            <w:right w:w="108" w:type="dxa"/>
          </w:tblCellMar>
        </w:tblPrEx>
        <w:trPr>
          <w:trHeight w:val="1075" w:hRule="atLeast"/>
        </w:trPr>
        <w:tc>
          <w:tcPr>
            <w:tcW w:w="514" w:type="pct"/>
            <w:tcBorders>
              <w:top w:val="nil"/>
              <w:left w:val="single" w:color="auto" w:sz="4" w:space="0"/>
              <w:bottom w:val="single" w:color="auto" w:sz="4" w:space="0"/>
              <w:right w:val="single" w:color="auto" w:sz="4" w:space="0"/>
            </w:tcBorders>
            <w:vAlign w:val="center"/>
          </w:tcPr>
          <w:p w14:paraId="7A5760E5">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727" w:type="pct"/>
            <w:tcBorders>
              <w:top w:val="nil"/>
              <w:left w:val="single" w:color="auto" w:sz="4" w:space="0"/>
              <w:bottom w:val="single" w:color="auto" w:sz="4" w:space="0"/>
              <w:right w:val="single" w:color="auto" w:sz="4" w:space="0"/>
            </w:tcBorders>
            <w:vAlign w:val="center"/>
          </w:tcPr>
          <w:p w14:paraId="052D3C56">
            <w:pPr>
              <w:widowControl/>
              <w:spacing w:line="360" w:lineRule="auto"/>
            </w:pPr>
            <w:r>
              <w:rPr>
                <w:rFonts w:hint="eastAsia"/>
              </w:rPr>
              <w:t>无线控制器许可</w:t>
            </w:r>
          </w:p>
        </w:tc>
        <w:tc>
          <w:tcPr>
            <w:tcW w:w="3085" w:type="pct"/>
            <w:tcBorders>
              <w:top w:val="nil"/>
              <w:left w:val="nil"/>
              <w:bottom w:val="single" w:color="auto" w:sz="4" w:space="0"/>
              <w:right w:val="single" w:color="auto" w:sz="4" w:space="0"/>
            </w:tcBorders>
            <w:vAlign w:val="center"/>
          </w:tcPr>
          <w:p w14:paraId="33706E8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基于现有两江院区无线控制器扩容本项目配套许可。</w:t>
            </w:r>
          </w:p>
        </w:tc>
        <w:tc>
          <w:tcPr>
            <w:tcW w:w="337" w:type="pct"/>
            <w:tcBorders>
              <w:top w:val="nil"/>
              <w:left w:val="nil"/>
              <w:bottom w:val="single" w:color="auto" w:sz="4" w:space="0"/>
              <w:right w:val="single" w:color="auto" w:sz="4" w:space="0"/>
            </w:tcBorders>
            <w:noWrap/>
            <w:vAlign w:val="center"/>
          </w:tcPr>
          <w:p w14:paraId="7B4E2A14">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337" w:type="pct"/>
            <w:tcBorders>
              <w:top w:val="nil"/>
              <w:left w:val="nil"/>
              <w:bottom w:val="single" w:color="auto" w:sz="4" w:space="0"/>
              <w:right w:val="single" w:color="auto" w:sz="4" w:space="0"/>
            </w:tcBorders>
            <w:noWrap/>
            <w:vAlign w:val="center"/>
          </w:tcPr>
          <w:p w14:paraId="00B14212">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5B20B4CF">
        <w:tblPrEx>
          <w:tblCellMar>
            <w:top w:w="0" w:type="dxa"/>
            <w:left w:w="108" w:type="dxa"/>
            <w:bottom w:w="0" w:type="dxa"/>
            <w:right w:w="108" w:type="dxa"/>
          </w:tblCellMar>
        </w:tblPrEx>
        <w:trPr>
          <w:trHeight w:val="1425" w:hRule="atLeast"/>
        </w:trPr>
        <w:tc>
          <w:tcPr>
            <w:tcW w:w="1240" w:type="pct"/>
            <w:gridSpan w:val="2"/>
            <w:tcBorders>
              <w:top w:val="single" w:color="auto" w:sz="4" w:space="0"/>
              <w:left w:val="single" w:color="auto" w:sz="4" w:space="0"/>
              <w:bottom w:val="single" w:color="auto" w:sz="4" w:space="0"/>
              <w:right w:val="single" w:color="auto" w:sz="4" w:space="0"/>
            </w:tcBorders>
            <w:vAlign w:val="center"/>
          </w:tcPr>
          <w:p w14:paraId="4DFD5A7D">
            <w:pPr>
              <w:widowControl/>
              <w:spacing w:line="360" w:lineRule="auto"/>
              <w:jc w:val="center"/>
              <w:rPr>
                <w:rFonts w:hint="eastAsia" w:ascii="等线" w:hAnsi="等线" w:eastAsia="等线" w:cs="宋体"/>
                <w:color w:val="000000"/>
                <w:kern w:val="0"/>
                <w:sz w:val="22"/>
                <w:szCs w:val="22"/>
              </w:rPr>
            </w:pPr>
            <w:r>
              <w:rPr>
                <w:rFonts w:hint="eastAsia" w:ascii="Calibri" w:hAnsi="Calibri" w:eastAsia="宋体" w:cs="Times New Roman"/>
                <w:kern w:val="2"/>
                <w:sz w:val="21"/>
                <w:szCs w:val="24"/>
                <w:lang w:val="en-US" w:eastAsia="zh-CN" w:bidi="ar-SA"/>
              </w:rPr>
              <w:t>集成服务要求</w:t>
            </w:r>
          </w:p>
        </w:tc>
        <w:tc>
          <w:tcPr>
            <w:tcW w:w="3760" w:type="pct"/>
            <w:gridSpan w:val="3"/>
            <w:tcBorders>
              <w:top w:val="single" w:color="auto" w:sz="4" w:space="0"/>
              <w:left w:val="nil"/>
              <w:bottom w:val="single" w:color="auto" w:sz="4" w:space="0"/>
              <w:right w:val="single" w:color="auto" w:sz="4" w:space="0"/>
            </w:tcBorders>
            <w:vAlign w:val="center"/>
          </w:tcPr>
          <w:p w14:paraId="62773D82">
            <w:pPr>
              <w:pStyle w:val="29"/>
              <w:widowControl/>
              <w:numPr>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1.本项目为交钥匙工程，投标人需根据现场实际需求报价。</w:t>
            </w:r>
          </w:p>
          <w:p w14:paraId="1E89D30A">
            <w:pPr>
              <w:pStyle w:val="29"/>
              <w:widowControl/>
              <w:numPr>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2.投标人需根据现场实际需求配置相应光纤模块、光纤跳线、网络跳线等。</w:t>
            </w:r>
          </w:p>
          <w:p w14:paraId="132DB25F">
            <w:pPr>
              <w:pStyle w:val="29"/>
              <w:widowControl/>
              <w:numPr>
                <w:numId w:val="0"/>
              </w:numPr>
              <w:ind w:leftChars="0"/>
              <w:rPr>
                <w:rFonts w:hint="eastAsia" w:ascii="等线" w:hAnsi="等线" w:eastAsia="等线" w:cs="宋体"/>
                <w:color w:val="000000"/>
                <w:kern w:val="0"/>
                <w:sz w:val="22"/>
                <w:szCs w:val="22"/>
              </w:rPr>
            </w:pPr>
            <w:r>
              <w:rPr>
                <w:rFonts w:hint="eastAsia" w:ascii="Calibri" w:hAnsi="Calibri" w:eastAsia="宋体" w:cs="Times New Roman"/>
                <w:kern w:val="2"/>
                <w:sz w:val="21"/>
                <w:szCs w:val="24"/>
                <w:lang w:val="en-US" w:eastAsia="zh-CN" w:bidi="ar-SA"/>
              </w:rPr>
              <w:t>3.含设备的安装、调试、测试。本次改造过程中可能涉及的辅材和割接过程中所有临时材料及人工费用。</w:t>
            </w:r>
          </w:p>
        </w:tc>
      </w:tr>
    </w:tbl>
    <w:p w14:paraId="10C56249"/>
    <w:p w14:paraId="7F58525F">
      <w:pPr>
        <w:pStyle w:val="3"/>
        <w:numPr>
          <w:ilvl w:val="0"/>
          <w:numId w:val="2"/>
        </w:numPr>
        <w:rPr>
          <w:rFonts w:ascii="Times New Roman Regular" w:hAnsi="Times New Roman Regular" w:cs="Times New Roman Regular"/>
          <w:sz w:val="30"/>
          <w:szCs w:val="30"/>
        </w:rPr>
      </w:pPr>
      <w:r>
        <w:rPr>
          <w:rFonts w:ascii="Times New Roman Regular" w:hAnsi="Times New Roman Regular" w:cs="Times New Roman Regular"/>
          <w:sz w:val="30"/>
          <w:szCs w:val="30"/>
        </w:rPr>
        <w:t>报价要求</w:t>
      </w:r>
    </w:p>
    <w:p w14:paraId="7A5D0E21">
      <w:pPr>
        <w:pStyle w:val="32"/>
        <w:ind w:firstLine="0" w:firstLineChars="0"/>
        <w:jc w:val="left"/>
        <w:rPr>
          <w:rFonts w:hint="eastAsia" w:ascii="宋体" w:hAnsi="宋体" w:eastAsia="宋体"/>
          <w:b/>
          <w:bCs/>
          <w:color w:val="C00000"/>
          <w:sz w:val="44"/>
          <w:szCs w:val="44"/>
        </w:rPr>
      </w:pPr>
      <w:r>
        <w:rPr>
          <w:rFonts w:hint="eastAsia" w:ascii="宋体" w:hAnsi="宋体" w:eastAsia="宋体"/>
          <w:b/>
          <w:bCs/>
          <w:color w:val="C00000"/>
          <w:sz w:val="44"/>
          <w:szCs w:val="44"/>
        </w:rPr>
        <w:t>注意事项：按附件1（市场调查表）进行填报，如漏项、增项、修改项则无效，报价时需有单价、总价、合计，并盖公章。</w:t>
      </w:r>
    </w:p>
    <w:p w14:paraId="5EF3FF7F"/>
    <w:p w14:paraId="519DA08C">
      <w:pPr>
        <w:pStyle w:val="32"/>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1</w:t>
      </w:r>
      <w:r>
        <w:rPr>
          <w:rFonts w:ascii="Times New Roman Regular" w:hAnsi="Times New Roman Regular" w:eastAsia="宋体" w:cs="Times New Roman Regular"/>
          <w:szCs w:val="28"/>
        </w:rPr>
        <w:t>、</w:t>
      </w:r>
      <w:r>
        <w:rPr>
          <w:rFonts w:hint="eastAsia" w:ascii="Times New Roman Regular" w:hAnsi="Times New Roman Regular" w:eastAsia="宋体" w:cs="Times New Roman Regular"/>
          <w:szCs w:val="28"/>
        </w:rPr>
        <w:t>本项目为交钥匙工程，供应商需综合评估所有风险。报价应包含有可能涉及的所有费用。</w:t>
      </w:r>
    </w:p>
    <w:p w14:paraId="27250CE7">
      <w:pPr>
        <w:pStyle w:val="32"/>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2、</w:t>
      </w:r>
      <w:r>
        <w:rPr>
          <w:rFonts w:ascii="Times New Roman Regular" w:hAnsi="Times New Roman Regular" w:eastAsia="宋体" w:cs="Times New Roman Regular"/>
          <w:szCs w:val="28"/>
        </w:rPr>
        <w:t>人民币报价，报价包括但不限于人工费、劳务费、保险费、税费、安装调试费等维保单位提供维保服务而产生的所有费用。</w:t>
      </w:r>
    </w:p>
    <w:p w14:paraId="536CBEED">
      <w:pPr>
        <w:pStyle w:val="32"/>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3、提供原厂商6年维保。</w:t>
      </w:r>
    </w:p>
    <w:p w14:paraId="0DE56F1B">
      <w:pPr>
        <w:pStyle w:val="32"/>
        <w:ind w:firstLine="482" w:firstLineChars="200"/>
        <w:jc w:val="left"/>
        <w:rPr>
          <w:rFonts w:hint="eastAsia" w:ascii="宋体" w:hAnsi="宋体" w:eastAsia="宋体"/>
          <w:b/>
          <w:bCs/>
          <w:color w:val="C00000"/>
          <w:szCs w:val="28"/>
        </w:rPr>
      </w:pPr>
      <w:r>
        <w:rPr>
          <w:rFonts w:hint="eastAsia" w:ascii="Times New Roman Regular" w:hAnsi="Times New Roman Regular" w:eastAsia="宋体" w:cs="Times New Roman Regular"/>
          <w:b/>
          <w:bCs/>
          <w:color w:val="C00000"/>
          <w:szCs w:val="28"/>
        </w:rPr>
        <w:t>4、请提供所有调查产品的价格支撑材料，近12个月内的合同复印件（关键页），模糊不清晰的无效。</w:t>
      </w:r>
    </w:p>
    <w:p w14:paraId="35E40C97">
      <w:pPr>
        <w:pStyle w:val="32"/>
        <w:ind w:firstLine="480" w:firstLineChars="200"/>
        <w:jc w:val="left"/>
        <w:rPr>
          <w:rFonts w:ascii="Times New Roman Regular" w:hAnsi="Times New Roman Regular" w:eastAsia="宋体" w:cs="Times New Roman Regular"/>
          <w:szCs w:val="28"/>
        </w:rPr>
      </w:pPr>
    </w:p>
    <w:p w14:paraId="08C3D606">
      <w:pPr>
        <w:pStyle w:val="32"/>
        <w:ind w:firstLine="480" w:firstLineChars="200"/>
        <w:jc w:val="left"/>
        <w:rPr>
          <w:rFonts w:ascii="Times New Roman Regular" w:hAnsi="Times New Roman Regular" w:eastAsia="宋体" w:cs="Times New Roman Regular"/>
          <w:szCs w:val="28"/>
        </w:rPr>
      </w:pPr>
    </w:p>
    <w:p w14:paraId="5BF65D80">
      <w:pPr>
        <w:pStyle w:val="32"/>
        <w:ind w:firstLine="480" w:firstLineChars="200"/>
        <w:jc w:val="left"/>
        <w:rPr>
          <w:rFonts w:hint="eastAsia" w:ascii="宋体" w:hAnsi="宋体" w:eastAsia="宋体"/>
          <w:szCs w:val="28"/>
        </w:rPr>
      </w:pPr>
    </w:p>
    <w:p w14:paraId="63D9D409">
      <w:pPr>
        <w:widowControl/>
        <w:jc w:val="left"/>
        <w:rPr>
          <w:rFonts w:hint="eastAsia" w:ascii="宋体" w:hAnsi="宋体"/>
          <w:kern w:val="0"/>
          <w:sz w:val="24"/>
          <w:szCs w:val="28"/>
        </w:rPr>
      </w:pPr>
      <w:r>
        <w:rPr>
          <w:rFonts w:hint="eastAsia" w:ascii="宋体" w:hAnsi="宋体"/>
          <w:szCs w:val="28"/>
        </w:rPr>
        <w:br w:type="page"/>
      </w:r>
    </w:p>
    <w:p w14:paraId="156DCF9E">
      <w:pPr>
        <w:pStyle w:val="32"/>
        <w:ind w:firstLine="480" w:firstLineChars="200"/>
        <w:jc w:val="left"/>
        <w:rPr>
          <w:rFonts w:hint="eastAsia" w:ascii="宋体" w:hAnsi="宋体" w:eastAsia="宋体"/>
          <w:szCs w:val="28"/>
        </w:rPr>
      </w:pPr>
      <w:r>
        <w:rPr>
          <w:rFonts w:hint="eastAsia" w:ascii="宋体" w:hAnsi="宋体" w:eastAsia="宋体"/>
          <w:szCs w:val="28"/>
        </w:rPr>
        <w:t>附件1.市场调查表</w:t>
      </w:r>
    </w:p>
    <w:tbl>
      <w:tblPr>
        <w:tblStyle w:val="15"/>
        <w:tblpPr w:leftFromText="180" w:rightFromText="180" w:vertAnchor="text" w:horzAnchor="page" w:tblpX="1136" w:tblpY="25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664"/>
        <w:gridCol w:w="790"/>
        <w:gridCol w:w="394"/>
        <w:gridCol w:w="953"/>
        <w:gridCol w:w="1113"/>
        <w:gridCol w:w="698"/>
        <w:gridCol w:w="381"/>
        <w:gridCol w:w="1050"/>
        <w:gridCol w:w="831"/>
        <w:gridCol w:w="897"/>
      </w:tblGrid>
      <w:tr w14:paraId="3730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475" w:type="dxa"/>
            <w:gridSpan w:val="11"/>
            <w:vAlign w:val="center"/>
          </w:tcPr>
          <w:p w14:paraId="30C2AB41">
            <w:pPr>
              <w:jc w:val="center"/>
              <w:rPr>
                <w:rFonts w:hint="eastAsia" w:ascii="宋体" w:hAnsi="宋体" w:cs="宋体"/>
                <w:szCs w:val="21"/>
              </w:rPr>
            </w:pPr>
            <w:r>
              <w:rPr>
                <w:rFonts w:hint="eastAsia" w:ascii="宋体" w:hAnsi="宋体" w:cs="宋体"/>
                <w:sz w:val="28"/>
                <w:szCs w:val="28"/>
              </w:rPr>
              <w:t>两江生物样本资源中心局域网接入点及交换机市场调查表</w:t>
            </w:r>
          </w:p>
        </w:tc>
      </w:tr>
      <w:tr w14:paraId="4A6FB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704" w:type="dxa"/>
            <w:vAlign w:val="center"/>
          </w:tcPr>
          <w:p w14:paraId="5FB815A2">
            <w:pPr>
              <w:jc w:val="center"/>
              <w:rPr>
                <w:rFonts w:hint="eastAsia" w:ascii="宋体" w:hAnsi="宋体" w:cs="宋体"/>
                <w:szCs w:val="21"/>
              </w:rPr>
            </w:pPr>
            <w:r>
              <w:rPr>
                <w:rFonts w:hint="eastAsia" w:ascii="宋体" w:hAnsi="宋体" w:cs="宋体"/>
                <w:szCs w:val="21"/>
              </w:rPr>
              <w:t>序号</w:t>
            </w:r>
          </w:p>
        </w:tc>
        <w:tc>
          <w:tcPr>
            <w:tcW w:w="1664" w:type="dxa"/>
            <w:vAlign w:val="center"/>
          </w:tcPr>
          <w:p w14:paraId="3422DE3D">
            <w:pPr>
              <w:jc w:val="center"/>
              <w:rPr>
                <w:rFonts w:hint="eastAsia" w:ascii="宋体" w:hAnsi="宋体" w:cs="宋体"/>
                <w:szCs w:val="21"/>
              </w:rPr>
            </w:pPr>
            <w:r>
              <w:rPr>
                <w:rFonts w:hint="eastAsia" w:ascii="宋体" w:hAnsi="宋体" w:cs="宋体"/>
                <w:szCs w:val="21"/>
              </w:rPr>
              <w:t>名称</w:t>
            </w:r>
          </w:p>
        </w:tc>
        <w:tc>
          <w:tcPr>
            <w:tcW w:w="1184" w:type="dxa"/>
            <w:gridSpan w:val="2"/>
            <w:vAlign w:val="center"/>
          </w:tcPr>
          <w:p w14:paraId="38B4A3B3">
            <w:pPr>
              <w:jc w:val="center"/>
              <w:rPr>
                <w:rFonts w:hint="eastAsia" w:ascii="宋体" w:hAnsi="宋体" w:cs="宋体"/>
                <w:szCs w:val="21"/>
              </w:rPr>
            </w:pPr>
            <w:r>
              <w:rPr>
                <w:rFonts w:hint="eastAsia" w:ascii="宋体" w:hAnsi="宋体" w:cs="宋体"/>
                <w:szCs w:val="21"/>
              </w:rPr>
              <w:t>品牌、规格型号</w:t>
            </w:r>
          </w:p>
        </w:tc>
        <w:tc>
          <w:tcPr>
            <w:tcW w:w="953" w:type="dxa"/>
            <w:vAlign w:val="center"/>
          </w:tcPr>
          <w:p w14:paraId="04F8E631">
            <w:pPr>
              <w:jc w:val="center"/>
              <w:rPr>
                <w:rFonts w:hint="eastAsia" w:ascii="宋体" w:hAnsi="宋体" w:cs="宋体"/>
                <w:szCs w:val="21"/>
              </w:rPr>
            </w:pPr>
            <w:r>
              <w:rPr>
                <w:rFonts w:hint="eastAsia" w:ascii="宋体" w:hAnsi="宋体" w:cs="宋体"/>
                <w:szCs w:val="21"/>
              </w:rPr>
              <w:t>制造商</w:t>
            </w:r>
          </w:p>
        </w:tc>
        <w:tc>
          <w:tcPr>
            <w:tcW w:w="1113" w:type="dxa"/>
            <w:vAlign w:val="center"/>
          </w:tcPr>
          <w:p w14:paraId="5BA3A94F">
            <w:pPr>
              <w:jc w:val="center"/>
              <w:rPr>
                <w:rFonts w:hint="eastAsia" w:ascii="宋体" w:hAnsi="宋体" w:cs="宋体"/>
                <w:szCs w:val="21"/>
              </w:rPr>
            </w:pPr>
            <w:r>
              <w:rPr>
                <w:rFonts w:hint="eastAsia" w:ascii="宋体" w:hAnsi="宋体" w:cs="宋体"/>
                <w:szCs w:val="21"/>
              </w:rPr>
              <w:t>原产地</w:t>
            </w:r>
          </w:p>
        </w:tc>
        <w:tc>
          <w:tcPr>
            <w:tcW w:w="1079" w:type="dxa"/>
            <w:gridSpan w:val="2"/>
            <w:vAlign w:val="center"/>
          </w:tcPr>
          <w:p w14:paraId="30A32ECA">
            <w:pPr>
              <w:jc w:val="center"/>
              <w:rPr>
                <w:rFonts w:hint="eastAsia" w:ascii="宋体" w:hAnsi="宋体" w:cs="宋体"/>
                <w:szCs w:val="21"/>
              </w:rPr>
            </w:pPr>
            <w:r>
              <w:rPr>
                <w:rFonts w:hint="eastAsia" w:ascii="宋体" w:hAnsi="宋体" w:cs="宋体"/>
                <w:szCs w:val="21"/>
              </w:rPr>
              <w:t>数量</w:t>
            </w:r>
          </w:p>
        </w:tc>
        <w:tc>
          <w:tcPr>
            <w:tcW w:w="1050" w:type="dxa"/>
            <w:vAlign w:val="center"/>
          </w:tcPr>
          <w:p w14:paraId="7F46D538">
            <w:pPr>
              <w:jc w:val="center"/>
              <w:rPr>
                <w:rFonts w:hint="eastAsia" w:ascii="宋体" w:hAnsi="宋体" w:cs="宋体"/>
                <w:szCs w:val="21"/>
              </w:rPr>
            </w:pPr>
            <w:r>
              <w:rPr>
                <w:rFonts w:hint="eastAsia" w:ascii="宋体" w:hAnsi="宋体" w:cs="宋体"/>
                <w:szCs w:val="21"/>
              </w:rPr>
              <w:t>单价</w:t>
            </w:r>
          </w:p>
        </w:tc>
        <w:tc>
          <w:tcPr>
            <w:tcW w:w="831" w:type="dxa"/>
            <w:vAlign w:val="center"/>
          </w:tcPr>
          <w:p w14:paraId="5B6EBD61">
            <w:pPr>
              <w:jc w:val="center"/>
              <w:rPr>
                <w:rFonts w:hint="eastAsia" w:ascii="宋体" w:hAnsi="宋体" w:cs="宋体"/>
                <w:szCs w:val="21"/>
              </w:rPr>
            </w:pPr>
            <w:r>
              <w:rPr>
                <w:rFonts w:hint="eastAsia" w:ascii="宋体" w:hAnsi="宋体" w:cs="宋体"/>
                <w:szCs w:val="21"/>
              </w:rPr>
              <w:t>合计</w:t>
            </w:r>
          </w:p>
        </w:tc>
        <w:tc>
          <w:tcPr>
            <w:tcW w:w="897" w:type="dxa"/>
            <w:vAlign w:val="center"/>
          </w:tcPr>
          <w:p w14:paraId="1E8D4506">
            <w:pPr>
              <w:jc w:val="center"/>
              <w:rPr>
                <w:rFonts w:hint="eastAsia" w:ascii="宋体" w:hAnsi="宋体" w:eastAsia="宋体" w:cs="宋体"/>
                <w:szCs w:val="21"/>
                <w:lang w:val="en-US" w:eastAsia="zh-CN"/>
              </w:rPr>
            </w:pPr>
            <w:r>
              <w:rPr>
                <w:rFonts w:hint="eastAsia" w:ascii="宋体" w:hAnsi="宋体" w:cs="宋体"/>
                <w:szCs w:val="21"/>
                <w:lang w:val="en-US" w:eastAsia="zh-CN"/>
              </w:rPr>
              <w:t>备注</w:t>
            </w:r>
          </w:p>
        </w:tc>
      </w:tr>
      <w:tr w14:paraId="45CF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04" w:type="dxa"/>
            <w:vAlign w:val="center"/>
          </w:tcPr>
          <w:p w14:paraId="22DBD72F">
            <w:pPr>
              <w:jc w:val="center"/>
              <w:rPr>
                <w:rFonts w:hint="eastAsia" w:ascii="宋体" w:hAnsi="宋体" w:cs="宋体"/>
                <w:szCs w:val="21"/>
              </w:rPr>
            </w:pPr>
            <w:r>
              <w:rPr>
                <w:rFonts w:hint="eastAsia" w:ascii="宋体" w:hAnsi="宋体" w:cs="宋体"/>
                <w:szCs w:val="21"/>
              </w:rPr>
              <w:t>1</w:t>
            </w:r>
          </w:p>
        </w:tc>
        <w:tc>
          <w:tcPr>
            <w:tcW w:w="1664" w:type="dxa"/>
          </w:tcPr>
          <w:p w14:paraId="66DAD98D">
            <w:pPr>
              <w:widowControl/>
              <w:textAlignment w:val="center"/>
              <w:rPr>
                <w:rFonts w:hint="eastAsia" w:ascii="宋体" w:hAnsi="宋体" w:cs="宋体"/>
                <w:szCs w:val="21"/>
              </w:rPr>
            </w:pPr>
            <w:r>
              <w:rPr>
                <w:rFonts w:hint="eastAsia"/>
              </w:rPr>
              <w:t>无线接入点（吸顶）</w:t>
            </w:r>
          </w:p>
        </w:tc>
        <w:tc>
          <w:tcPr>
            <w:tcW w:w="1184" w:type="dxa"/>
            <w:gridSpan w:val="2"/>
            <w:vAlign w:val="center"/>
          </w:tcPr>
          <w:p w14:paraId="74D8D365">
            <w:pPr>
              <w:rPr>
                <w:rFonts w:hint="eastAsia" w:ascii="宋体" w:hAnsi="宋体" w:cs="宋体"/>
                <w:szCs w:val="21"/>
              </w:rPr>
            </w:pPr>
          </w:p>
        </w:tc>
        <w:tc>
          <w:tcPr>
            <w:tcW w:w="953" w:type="dxa"/>
            <w:vAlign w:val="center"/>
          </w:tcPr>
          <w:p w14:paraId="3D32B1B1">
            <w:pPr>
              <w:jc w:val="center"/>
              <w:rPr>
                <w:rFonts w:hint="eastAsia" w:ascii="宋体" w:hAnsi="宋体" w:cs="宋体"/>
                <w:szCs w:val="21"/>
              </w:rPr>
            </w:pPr>
          </w:p>
        </w:tc>
        <w:tc>
          <w:tcPr>
            <w:tcW w:w="1113" w:type="dxa"/>
            <w:vAlign w:val="center"/>
          </w:tcPr>
          <w:p w14:paraId="5CD7B1A2">
            <w:pPr>
              <w:jc w:val="center"/>
              <w:rPr>
                <w:rFonts w:hint="eastAsia" w:ascii="宋体" w:hAnsi="宋体" w:cs="宋体"/>
                <w:szCs w:val="21"/>
              </w:rPr>
            </w:pPr>
          </w:p>
        </w:tc>
        <w:tc>
          <w:tcPr>
            <w:tcW w:w="1079" w:type="dxa"/>
            <w:gridSpan w:val="2"/>
            <w:vAlign w:val="center"/>
          </w:tcPr>
          <w:p w14:paraId="59C687FD">
            <w:pPr>
              <w:jc w:val="center"/>
              <w:rPr>
                <w:rFonts w:hint="eastAsia" w:ascii="宋体" w:hAnsi="宋体" w:cs="宋体"/>
                <w:szCs w:val="21"/>
              </w:rPr>
            </w:pPr>
            <w:r>
              <w:rPr>
                <w:rFonts w:hint="eastAsia"/>
              </w:rPr>
              <w:t>22</w:t>
            </w:r>
          </w:p>
        </w:tc>
        <w:tc>
          <w:tcPr>
            <w:tcW w:w="1050" w:type="dxa"/>
            <w:vAlign w:val="center"/>
          </w:tcPr>
          <w:p w14:paraId="305BE395">
            <w:pPr>
              <w:jc w:val="center"/>
              <w:rPr>
                <w:rFonts w:hint="eastAsia" w:ascii="宋体" w:hAnsi="宋体" w:cs="宋体"/>
                <w:szCs w:val="21"/>
              </w:rPr>
            </w:pPr>
          </w:p>
        </w:tc>
        <w:tc>
          <w:tcPr>
            <w:tcW w:w="831" w:type="dxa"/>
            <w:vAlign w:val="center"/>
          </w:tcPr>
          <w:p w14:paraId="50368978">
            <w:pPr>
              <w:jc w:val="center"/>
              <w:rPr>
                <w:rFonts w:hint="eastAsia" w:ascii="宋体" w:hAnsi="宋体" w:cs="宋体"/>
                <w:szCs w:val="21"/>
              </w:rPr>
            </w:pPr>
          </w:p>
        </w:tc>
        <w:tc>
          <w:tcPr>
            <w:tcW w:w="897" w:type="dxa"/>
            <w:vAlign w:val="center"/>
          </w:tcPr>
          <w:p w14:paraId="3B9DDF9B">
            <w:pPr>
              <w:jc w:val="center"/>
              <w:rPr>
                <w:rFonts w:hint="eastAsia" w:ascii="宋体" w:hAnsi="宋体" w:cs="宋体"/>
                <w:szCs w:val="21"/>
              </w:rPr>
            </w:pPr>
          </w:p>
        </w:tc>
      </w:tr>
      <w:tr w14:paraId="10DBA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4C7BF2F1">
            <w:pPr>
              <w:jc w:val="center"/>
              <w:rPr>
                <w:rFonts w:hint="eastAsia" w:ascii="宋体" w:hAnsi="宋体" w:cs="宋体"/>
                <w:szCs w:val="21"/>
              </w:rPr>
            </w:pPr>
            <w:r>
              <w:rPr>
                <w:rFonts w:hint="eastAsia" w:ascii="宋体" w:hAnsi="宋体" w:cs="宋体"/>
                <w:szCs w:val="21"/>
              </w:rPr>
              <w:t>2</w:t>
            </w:r>
          </w:p>
        </w:tc>
        <w:tc>
          <w:tcPr>
            <w:tcW w:w="1664" w:type="dxa"/>
          </w:tcPr>
          <w:p w14:paraId="4A23EB35">
            <w:pPr>
              <w:widowControl/>
              <w:textAlignment w:val="center"/>
            </w:pPr>
            <w:r>
              <w:rPr>
                <w:rFonts w:hint="eastAsia"/>
              </w:rPr>
              <w:t>PoE接入交换机</w:t>
            </w:r>
          </w:p>
        </w:tc>
        <w:tc>
          <w:tcPr>
            <w:tcW w:w="1184" w:type="dxa"/>
            <w:gridSpan w:val="2"/>
            <w:vAlign w:val="center"/>
          </w:tcPr>
          <w:p w14:paraId="5F031A0F">
            <w:pPr>
              <w:rPr>
                <w:rFonts w:hint="eastAsia" w:ascii="宋体" w:hAnsi="宋体" w:cs="宋体"/>
                <w:szCs w:val="21"/>
              </w:rPr>
            </w:pPr>
          </w:p>
        </w:tc>
        <w:tc>
          <w:tcPr>
            <w:tcW w:w="953" w:type="dxa"/>
            <w:vAlign w:val="center"/>
          </w:tcPr>
          <w:p w14:paraId="150B8812">
            <w:pPr>
              <w:jc w:val="center"/>
              <w:rPr>
                <w:rFonts w:hint="eastAsia" w:ascii="宋体" w:hAnsi="宋体" w:cs="宋体"/>
                <w:szCs w:val="21"/>
              </w:rPr>
            </w:pPr>
          </w:p>
        </w:tc>
        <w:tc>
          <w:tcPr>
            <w:tcW w:w="1113" w:type="dxa"/>
            <w:vAlign w:val="center"/>
          </w:tcPr>
          <w:p w14:paraId="766FCD1D">
            <w:pPr>
              <w:jc w:val="center"/>
              <w:rPr>
                <w:rFonts w:hint="eastAsia" w:ascii="宋体" w:hAnsi="宋体" w:cs="宋体"/>
                <w:szCs w:val="21"/>
              </w:rPr>
            </w:pPr>
          </w:p>
        </w:tc>
        <w:tc>
          <w:tcPr>
            <w:tcW w:w="1079" w:type="dxa"/>
            <w:gridSpan w:val="2"/>
            <w:vAlign w:val="center"/>
          </w:tcPr>
          <w:p w14:paraId="3A1CC2AD">
            <w:pPr>
              <w:tabs>
                <w:tab w:val="left" w:pos="390"/>
                <w:tab w:val="center" w:pos="484"/>
              </w:tabs>
              <w:jc w:val="center"/>
              <w:rPr>
                <w:rFonts w:hint="eastAsia" w:ascii="宋体" w:hAnsi="宋体" w:cs="宋体"/>
                <w:szCs w:val="21"/>
              </w:rPr>
            </w:pPr>
            <w:r>
              <w:rPr>
                <w:rFonts w:hint="eastAsia"/>
              </w:rPr>
              <w:t>1</w:t>
            </w:r>
          </w:p>
        </w:tc>
        <w:tc>
          <w:tcPr>
            <w:tcW w:w="1050" w:type="dxa"/>
            <w:vAlign w:val="center"/>
          </w:tcPr>
          <w:p w14:paraId="7C654B79">
            <w:pPr>
              <w:jc w:val="center"/>
              <w:rPr>
                <w:rFonts w:hint="eastAsia" w:ascii="宋体" w:hAnsi="宋体" w:cs="宋体"/>
                <w:szCs w:val="21"/>
              </w:rPr>
            </w:pPr>
          </w:p>
        </w:tc>
        <w:tc>
          <w:tcPr>
            <w:tcW w:w="831" w:type="dxa"/>
            <w:vAlign w:val="center"/>
          </w:tcPr>
          <w:p w14:paraId="550D5EFC">
            <w:pPr>
              <w:jc w:val="center"/>
              <w:rPr>
                <w:rFonts w:hint="eastAsia" w:ascii="宋体" w:hAnsi="宋体" w:cs="宋体"/>
                <w:szCs w:val="21"/>
              </w:rPr>
            </w:pPr>
          </w:p>
        </w:tc>
        <w:tc>
          <w:tcPr>
            <w:tcW w:w="897" w:type="dxa"/>
            <w:vAlign w:val="center"/>
          </w:tcPr>
          <w:p w14:paraId="1A29676C">
            <w:pPr>
              <w:jc w:val="center"/>
              <w:rPr>
                <w:rFonts w:hint="eastAsia" w:ascii="宋体" w:hAnsi="宋体" w:cs="宋体"/>
                <w:szCs w:val="21"/>
              </w:rPr>
            </w:pPr>
          </w:p>
        </w:tc>
      </w:tr>
      <w:tr w14:paraId="7244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7E9D5DB7">
            <w:pPr>
              <w:jc w:val="center"/>
              <w:rPr>
                <w:rFonts w:hint="eastAsia" w:ascii="宋体" w:hAnsi="宋体" w:cs="宋体"/>
                <w:szCs w:val="21"/>
              </w:rPr>
            </w:pPr>
            <w:r>
              <w:rPr>
                <w:rFonts w:hint="eastAsia" w:ascii="宋体" w:hAnsi="宋体" w:cs="宋体"/>
                <w:szCs w:val="21"/>
              </w:rPr>
              <w:t>3</w:t>
            </w:r>
          </w:p>
        </w:tc>
        <w:tc>
          <w:tcPr>
            <w:tcW w:w="1664" w:type="dxa"/>
          </w:tcPr>
          <w:p w14:paraId="76213A07">
            <w:pPr>
              <w:widowControl/>
              <w:textAlignment w:val="center"/>
              <w:rPr>
                <w:rFonts w:hint="eastAsia" w:ascii="宋体" w:hAnsi="宋体" w:cs="宋体"/>
                <w:szCs w:val="21"/>
              </w:rPr>
            </w:pPr>
            <w:r>
              <w:rPr>
                <w:rFonts w:hint="eastAsia"/>
              </w:rPr>
              <w:t>无线控制器许可</w:t>
            </w:r>
          </w:p>
        </w:tc>
        <w:tc>
          <w:tcPr>
            <w:tcW w:w="1184" w:type="dxa"/>
            <w:gridSpan w:val="2"/>
            <w:vAlign w:val="center"/>
          </w:tcPr>
          <w:p w14:paraId="73BC04D1">
            <w:pPr>
              <w:rPr>
                <w:rFonts w:hint="eastAsia" w:ascii="宋体" w:hAnsi="宋体" w:cs="宋体"/>
                <w:szCs w:val="21"/>
              </w:rPr>
            </w:pPr>
          </w:p>
        </w:tc>
        <w:tc>
          <w:tcPr>
            <w:tcW w:w="953" w:type="dxa"/>
            <w:vAlign w:val="center"/>
          </w:tcPr>
          <w:p w14:paraId="0F11C3E2">
            <w:pPr>
              <w:jc w:val="center"/>
              <w:rPr>
                <w:rFonts w:hint="eastAsia" w:ascii="宋体" w:hAnsi="宋体" w:cs="宋体"/>
                <w:szCs w:val="21"/>
              </w:rPr>
            </w:pPr>
          </w:p>
        </w:tc>
        <w:tc>
          <w:tcPr>
            <w:tcW w:w="1113" w:type="dxa"/>
            <w:vAlign w:val="center"/>
          </w:tcPr>
          <w:p w14:paraId="3794759E">
            <w:pPr>
              <w:jc w:val="center"/>
              <w:rPr>
                <w:rFonts w:hint="eastAsia" w:ascii="宋体" w:hAnsi="宋体" w:cs="宋体"/>
                <w:szCs w:val="21"/>
              </w:rPr>
            </w:pPr>
          </w:p>
        </w:tc>
        <w:tc>
          <w:tcPr>
            <w:tcW w:w="1079" w:type="dxa"/>
            <w:gridSpan w:val="2"/>
            <w:vAlign w:val="center"/>
          </w:tcPr>
          <w:p w14:paraId="5570F0EF">
            <w:pPr>
              <w:jc w:val="center"/>
              <w:rPr>
                <w:rFonts w:hint="eastAsia" w:ascii="宋体" w:hAnsi="宋体" w:cs="宋体"/>
                <w:szCs w:val="21"/>
              </w:rPr>
            </w:pPr>
            <w:r>
              <w:t>1</w:t>
            </w:r>
          </w:p>
        </w:tc>
        <w:tc>
          <w:tcPr>
            <w:tcW w:w="1050" w:type="dxa"/>
            <w:vAlign w:val="center"/>
          </w:tcPr>
          <w:p w14:paraId="68D7E60D">
            <w:pPr>
              <w:jc w:val="center"/>
              <w:rPr>
                <w:rFonts w:hint="eastAsia" w:ascii="宋体" w:hAnsi="宋体" w:cs="宋体"/>
                <w:szCs w:val="21"/>
              </w:rPr>
            </w:pPr>
          </w:p>
        </w:tc>
        <w:tc>
          <w:tcPr>
            <w:tcW w:w="831" w:type="dxa"/>
            <w:vAlign w:val="center"/>
          </w:tcPr>
          <w:p w14:paraId="3DA169C6">
            <w:pPr>
              <w:jc w:val="center"/>
              <w:rPr>
                <w:rFonts w:hint="eastAsia" w:ascii="宋体" w:hAnsi="宋体" w:cs="宋体"/>
                <w:szCs w:val="21"/>
              </w:rPr>
            </w:pPr>
          </w:p>
        </w:tc>
        <w:tc>
          <w:tcPr>
            <w:tcW w:w="897" w:type="dxa"/>
            <w:vAlign w:val="center"/>
          </w:tcPr>
          <w:p w14:paraId="5E8BFD99">
            <w:pPr>
              <w:jc w:val="center"/>
              <w:rPr>
                <w:rFonts w:hint="eastAsia" w:ascii="宋体" w:hAnsi="宋体" w:cs="宋体"/>
                <w:szCs w:val="21"/>
              </w:rPr>
            </w:pPr>
          </w:p>
        </w:tc>
      </w:tr>
      <w:tr w14:paraId="17218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2CA6EFBE">
            <w:pPr>
              <w:jc w:val="center"/>
              <w:rPr>
                <w:rFonts w:hint="eastAsia" w:ascii="宋体" w:hAnsi="宋体" w:cs="宋体"/>
                <w:szCs w:val="21"/>
              </w:rPr>
            </w:pPr>
            <w:r>
              <w:rPr>
                <w:rFonts w:hint="eastAsia" w:ascii="宋体" w:hAnsi="宋体" w:cs="宋体"/>
                <w:szCs w:val="21"/>
              </w:rPr>
              <w:t>4</w:t>
            </w:r>
          </w:p>
        </w:tc>
        <w:tc>
          <w:tcPr>
            <w:tcW w:w="1664" w:type="dxa"/>
          </w:tcPr>
          <w:p w14:paraId="1B481994">
            <w:pPr>
              <w:widowControl/>
              <w:textAlignment w:val="center"/>
              <w:rPr>
                <w:rFonts w:hint="eastAsia" w:ascii="宋体" w:hAnsi="宋体" w:cs="宋体"/>
                <w:szCs w:val="21"/>
              </w:rPr>
            </w:pPr>
            <w:r>
              <w:rPr>
                <w:rFonts w:hint="eastAsia" w:cs="宋体"/>
              </w:rPr>
              <w:t>集成服务</w:t>
            </w:r>
          </w:p>
        </w:tc>
        <w:tc>
          <w:tcPr>
            <w:tcW w:w="1184" w:type="dxa"/>
            <w:gridSpan w:val="2"/>
            <w:vAlign w:val="center"/>
          </w:tcPr>
          <w:p w14:paraId="3809F62B">
            <w:pPr>
              <w:rPr>
                <w:rFonts w:hint="eastAsia" w:ascii="宋体" w:hAnsi="宋体" w:cs="宋体"/>
                <w:szCs w:val="21"/>
              </w:rPr>
            </w:pPr>
          </w:p>
        </w:tc>
        <w:tc>
          <w:tcPr>
            <w:tcW w:w="953" w:type="dxa"/>
            <w:vAlign w:val="center"/>
          </w:tcPr>
          <w:p w14:paraId="71359A52">
            <w:pPr>
              <w:jc w:val="center"/>
              <w:rPr>
                <w:rFonts w:hint="eastAsia" w:ascii="宋体" w:hAnsi="宋体" w:cs="宋体"/>
                <w:szCs w:val="21"/>
              </w:rPr>
            </w:pPr>
          </w:p>
        </w:tc>
        <w:tc>
          <w:tcPr>
            <w:tcW w:w="1113" w:type="dxa"/>
            <w:vAlign w:val="center"/>
          </w:tcPr>
          <w:p w14:paraId="306E3FAA">
            <w:pPr>
              <w:jc w:val="center"/>
              <w:rPr>
                <w:rFonts w:hint="eastAsia" w:ascii="宋体" w:hAnsi="宋体" w:cs="宋体"/>
                <w:szCs w:val="21"/>
              </w:rPr>
            </w:pPr>
          </w:p>
        </w:tc>
        <w:tc>
          <w:tcPr>
            <w:tcW w:w="1079" w:type="dxa"/>
            <w:gridSpan w:val="2"/>
            <w:vAlign w:val="center"/>
          </w:tcPr>
          <w:p w14:paraId="108D2A9D">
            <w:pPr>
              <w:jc w:val="center"/>
              <w:rPr>
                <w:rFonts w:hint="eastAsia" w:ascii="宋体" w:hAnsi="宋体" w:cs="宋体"/>
                <w:szCs w:val="21"/>
              </w:rPr>
            </w:pPr>
            <w:r>
              <w:rPr>
                <w:rFonts w:hint="eastAsia" w:ascii="宋体" w:hAnsi="宋体" w:cs="宋体"/>
                <w:szCs w:val="21"/>
              </w:rPr>
              <w:t>1</w:t>
            </w:r>
          </w:p>
        </w:tc>
        <w:tc>
          <w:tcPr>
            <w:tcW w:w="1050" w:type="dxa"/>
            <w:vAlign w:val="center"/>
          </w:tcPr>
          <w:p w14:paraId="12A871F3">
            <w:pPr>
              <w:jc w:val="center"/>
              <w:rPr>
                <w:rFonts w:hint="eastAsia" w:ascii="宋体" w:hAnsi="宋体" w:cs="宋体"/>
                <w:szCs w:val="21"/>
              </w:rPr>
            </w:pPr>
          </w:p>
        </w:tc>
        <w:tc>
          <w:tcPr>
            <w:tcW w:w="831" w:type="dxa"/>
            <w:vAlign w:val="center"/>
          </w:tcPr>
          <w:p w14:paraId="6328317F">
            <w:pPr>
              <w:jc w:val="center"/>
              <w:rPr>
                <w:rFonts w:hint="eastAsia" w:ascii="宋体" w:hAnsi="宋体" w:cs="宋体"/>
                <w:szCs w:val="21"/>
              </w:rPr>
            </w:pPr>
          </w:p>
        </w:tc>
        <w:tc>
          <w:tcPr>
            <w:tcW w:w="897" w:type="dxa"/>
            <w:vAlign w:val="center"/>
          </w:tcPr>
          <w:p w14:paraId="54DD6B91">
            <w:pPr>
              <w:jc w:val="center"/>
              <w:rPr>
                <w:rFonts w:hint="eastAsia" w:ascii="宋体" w:hAnsi="宋体" w:cs="宋体"/>
                <w:szCs w:val="21"/>
              </w:rPr>
            </w:pPr>
          </w:p>
        </w:tc>
      </w:tr>
      <w:tr w14:paraId="2DAC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3158" w:type="dxa"/>
            <w:gridSpan w:val="3"/>
            <w:vAlign w:val="center"/>
          </w:tcPr>
          <w:p w14:paraId="20BAC474">
            <w:pPr>
              <w:jc w:val="center"/>
            </w:pPr>
            <w:r>
              <w:rPr>
                <w:rFonts w:hint="eastAsia"/>
              </w:rPr>
              <w:t>总计</w:t>
            </w:r>
          </w:p>
        </w:tc>
        <w:tc>
          <w:tcPr>
            <w:tcW w:w="3158" w:type="dxa"/>
            <w:gridSpan w:val="4"/>
            <w:vAlign w:val="center"/>
          </w:tcPr>
          <w:p w14:paraId="380F5468">
            <w:pPr>
              <w:jc w:val="center"/>
              <w:rPr>
                <w:rFonts w:hint="eastAsia" w:ascii="宋体" w:hAnsi="宋体" w:cs="宋体"/>
                <w:szCs w:val="21"/>
              </w:rPr>
            </w:pPr>
            <w:r>
              <w:rPr>
                <w:rFonts w:hint="eastAsia"/>
              </w:rPr>
              <w:t xml:space="preserve">（小写）            </w:t>
            </w:r>
            <w:r>
              <w:t>元</w:t>
            </w:r>
          </w:p>
        </w:tc>
        <w:tc>
          <w:tcPr>
            <w:tcW w:w="3159" w:type="dxa"/>
            <w:gridSpan w:val="4"/>
            <w:vAlign w:val="center"/>
          </w:tcPr>
          <w:p w14:paraId="3F25F173">
            <w:pPr>
              <w:rPr>
                <w:rFonts w:hint="eastAsia" w:ascii="宋体" w:hAnsi="宋体" w:cs="宋体"/>
                <w:szCs w:val="21"/>
              </w:rPr>
            </w:pPr>
            <w:r>
              <w:rPr>
                <w:rFonts w:hint="eastAsia"/>
              </w:rPr>
              <w:t>（</w:t>
            </w:r>
            <w:r>
              <w:rPr>
                <w:rFonts w:hint="eastAsia"/>
                <w:lang w:val="en-US" w:eastAsia="zh-CN"/>
              </w:rPr>
              <w:t>大</w:t>
            </w:r>
            <w:r>
              <w:rPr>
                <w:rFonts w:hint="eastAsia"/>
              </w:rPr>
              <w:t xml:space="preserve">写）            </w:t>
            </w:r>
            <w:r>
              <w:t>元</w:t>
            </w:r>
          </w:p>
        </w:tc>
      </w:tr>
      <w:tr w14:paraId="03F4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475" w:type="dxa"/>
            <w:gridSpan w:val="11"/>
            <w:vAlign w:val="center"/>
          </w:tcPr>
          <w:p w14:paraId="502438E2">
            <w:pPr>
              <w:jc w:val="center"/>
            </w:pPr>
            <w:r>
              <w:rPr>
                <w:rFonts w:hint="eastAsia"/>
              </w:rPr>
              <w:t xml:space="preserve"> </w:t>
            </w:r>
            <w:r>
              <w:t xml:space="preserve">    </w:t>
            </w:r>
            <w:r>
              <w:rPr>
                <w:rFonts w:hint="eastAsia"/>
              </w:rPr>
              <w:t xml:space="preserve">        </w:t>
            </w:r>
          </w:p>
          <w:p w14:paraId="18A71FD4">
            <w:pPr>
              <w:pStyle w:val="2"/>
              <w:rPr>
                <w:rFonts w:ascii="Calibri" w:hAnsi="Calibri"/>
                <w:b w:val="0"/>
                <w:sz w:val="21"/>
              </w:rPr>
            </w:pPr>
          </w:p>
          <w:p w14:paraId="5E7CC6CE">
            <w:pPr>
              <w:pStyle w:val="2"/>
              <w:rPr>
                <w:rFonts w:ascii="Calibri" w:hAnsi="Calibri"/>
                <w:b w:val="0"/>
                <w:sz w:val="21"/>
              </w:rPr>
            </w:pPr>
            <w:r>
              <w:rPr>
                <w:rFonts w:hint="eastAsia" w:ascii="Calibri" w:hAnsi="Calibri"/>
                <w:b w:val="0"/>
                <w:sz w:val="21"/>
              </w:rPr>
              <w:t>供应商名称（盖章）：</w:t>
            </w:r>
          </w:p>
          <w:p w14:paraId="73E3AEEA"/>
          <w:p w14:paraId="00BA3E4C">
            <w:pPr>
              <w:pStyle w:val="2"/>
            </w:pPr>
          </w:p>
        </w:tc>
      </w:tr>
    </w:tbl>
    <w:p w14:paraId="49D1FE1E">
      <w:pPr>
        <w:pStyle w:val="32"/>
        <w:ind w:firstLine="0" w:firstLineChars="0"/>
        <w:jc w:val="left"/>
        <w:rPr>
          <w:rFonts w:hint="eastAsia" w:ascii="Times New Roman Regular" w:hAnsi="Times New Roman Regular" w:eastAsia="宋体" w:cs="Times New Roman Regular"/>
          <w:szCs w:val="28"/>
        </w:rPr>
      </w:pPr>
      <w:bookmarkStart w:id="1" w:name="_GoBack"/>
      <w:r>
        <w:rPr>
          <w:rFonts w:hint="eastAsia" w:ascii="Times New Roman Regular" w:hAnsi="Times New Roman Regular" w:eastAsia="宋体" w:cs="Times New Roman Regular"/>
          <w:szCs w:val="28"/>
        </w:rPr>
        <w:t>填报说明：</w:t>
      </w:r>
    </w:p>
    <w:p w14:paraId="0C104DD9">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所有单元格均需按要求填报，无内容填 “/”，不得空项；</w:t>
      </w:r>
    </w:p>
    <w:p w14:paraId="588DD8BA">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规格型号需严格匹配本项目技术要求，偏离的需在 “备注” 栏说明；</w:t>
      </w:r>
    </w:p>
    <w:p w14:paraId="366C9A27">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单价和合计均为含税落地价，保留 2 位小数；</w:t>
      </w:r>
    </w:p>
    <w:p w14:paraId="639B6DB0">
      <w:pPr>
        <w:pStyle w:val="32"/>
        <w:ind w:firstLine="0" w:firstLineChars="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本表需加盖供应商公章，否则视为无效报价。</w:t>
      </w:r>
    </w:p>
    <w:bookmarkEnd w:id="1"/>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华文细黑">
    <w:altName w:val="微软雅黑"/>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EFF" w:usb1="C000785B" w:usb2="00000009" w:usb3="00000000" w:csb0="400001FF" w:csb1="FFFF0000"/>
  </w:font>
  <w:font w:name="Times New Roman Regular">
    <w:altName w:val="Times New Roman"/>
    <w:panose1 w:val="00000000000000000000"/>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360A3">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1320" cy="147955"/>
              <wp:effectExtent l="0" t="0" r="0" b="4445"/>
              <wp:wrapNone/>
              <wp:docPr id="263176149"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01320" cy="147955"/>
                      </a:xfrm>
                      <a:prstGeom prst="rect">
                        <a:avLst/>
                      </a:prstGeom>
                      <a:noFill/>
                      <a:ln>
                        <a:noFill/>
                      </a:ln>
                    </wps:spPr>
                    <wps:txbx>
                      <w:txbxContent>
                        <w:p w14:paraId="3B956D9B">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1.65pt;width:31.6pt;mso-position-horizontal:center;mso-position-horizontal-relative:margin;mso-wrap-style:none;z-index:251659264;mso-width-relative:page;mso-height-relative:page;" filled="f" stroked="f" coordsize="21600,21600" o:gfxdata="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2m48QdEAAAADAQAADwAAAAAAAAABACAAAAAi&#10;AAAAZHJzL2Rvd25yZXYueG1sUEsBAhQAFAAAAAgAh07iQBfa0JsRAgAACgQAAA4AAAAAAAAAAQAg&#10;AAAAIAEAAGRycy9lMm9Eb2MueG1sUEsFBgAAAAAGAAYAWQEAAKMFAAAAAA==&#10;">
              <v:fill on="f" focussize="0,0"/>
              <v:stroke on="f"/>
              <v:imagedata o:title=""/>
              <o:lock v:ext="edit" aspectratio="f"/>
              <v:textbox inset="0mm,0mm,0mm,0mm" style="mso-fit-shape-to-text:t;">
                <w:txbxContent>
                  <w:p w14:paraId="3B956D9B">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37B021"/>
    <w:multiLevelType w:val="singleLevel"/>
    <w:tmpl w:val="E337B021"/>
    <w:lvl w:ilvl="0" w:tentative="0">
      <w:start w:val="3"/>
      <w:numFmt w:val="chineseCounting"/>
      <w:suff w:val="nothing"/>
      <w:lvlText w:val="%1、"/>
      <w:lvlJc w:val="left"/>
      <w:rPr>
        <w:rFonts w:hint="eastAsia"/>
      </w:rPr>
    </w:lvl>
  </w:abstractNum>
  <w:abstractNum w:abstractNumId="1">
    <w:nsid w:val="54133610"/>
    <w:multiLevelType w:val="multilevel"/>
    <w:tmpl w:val="54133610"/>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1NzBmYzI3NzFjYjhiOTlkNDNmNTQwNzM5ZmQ3MGQifQ=="/>
  </w:docVars>
  <w:rsids>
    <w:rsidRoot w:val="43DC0D6D"/>
    <w:rsid w:val="00002211"/>
    <w:rsid w:val="00012174"/>
    <w:rsid w:val="000123CC"/>
    <w:rsid w:val="0001538F"/>
    <w:rsid w:val="00020CE1"/>
    <w:rsid w:val="00026A18"/>
    <w:rsid w:val="00035545"/>
    <w:rsid w:val="00050915"/>
    <w:rsid w:val="00064571"/>
    <w:rsid w:val="00064722"/>
    <w:rsid w:val="00096C3C"/>
    <w:rsid w:val="000A7106"/>
    <w:rsid w:val="000E515E"/>
    <w:rsid w:val="000F01CF"/>
    <w:rsid w:val="0011795C"/>
    <w:rsid w:val="001257AA"/>
    <w:rsid w:val="00132D91"/>
    <w:rsid w:val="00154D7E"/>
    <w:rsid w:val="00154E9A"/>
    <w:rsid w:val="00160438"/>
    <w:rsid w:val="00163EB7"/>
    <w:rsid w:val="00165D83"/>
    <w:rsid w:val="0017030E"/>
    <w:rsid w:val="00183C8E"/>
    <w:rsid w:val="001912EF"/>
    <w:rsid w:val="00193F44"/>
    <w:rsid w:val="0019549C"/>
    <w:rsid w:val="001A1DA9"/>
    <w:rsid w:val="001A465C"/>
    <w:rsid w:val="001A5A00"/>
    <w:rsid w:val="001B161E"/>
    <w:rsid w:val="001C4EBC"/>
    <w:rsid w:val="001E3057"/>
    <w:rsid w:val="001E548A"/>
    <w:rsid w:val="00211CF3"/>
    <w:rsid w:val="00213086"/>
    <w:rsid w:val="002139CB"/>
    <w:rsid w:val="00255F90"/>
    <w:rsid w:val="00263909"/>
    <w:rsid w:val="00274575"/>
    <w:rsid w:val="002A252C"/>
    <w:rsid w:val="002D5BF9"/>
    <w:rsid w:val="002E2D45"/>
    <w:rsid w:val="002F27B3"/>
    <w:rsid w:val="002F768D"/>
    <w:rsid w:val="00383F10"/>
    <w:rsid w:val="00390EF1"/>
    <w:rsid w:val="003A06CD"/>
    <w:rsid w:val="003B02DD"/>
    <w:rsid w:val="003D16AD"/>
    <w:rsid w:val="003D3DD7"/>
    <w:rsid w:val="003D52B2"/>
    <w:rsid w:val="003E1DD4"/>
    <w:rsid w:val="003E5F5D"/>
    <w:rsid w:val="0041206F"/>
    <w:rsid w:val="0044370B"/>
    <w:rsid w:val="00455DC0"/>
    <w:rsid w:val="00481DEB"/>
    <w:rsid w:val="00497D61"/>
    <w:rsid w:val="004A061D"/>
    <w:rsid w:val="004A6CCE"/>
    <w:rsid w:val="004C13B9"/>
    <w:rsid w:val="004C1EF3"/>
    <w:rsid w:val="00522A90"/>
    <w:rsid w:val="00525F09"/>
    <w:rsid w:val="00530964"/>
    <w:rsid w:val="0053123F"/>
    <w:rsid w:val="0053495A"/>
    <w:rsid w:val="00547072"/>
    <w:rsid w:val="005B4B0D"/>
    <w:rsid w:val="00600147"/>
    <w:rsid w:val="00606086"/>
    <w:rsid w:val="006140F6"/>
    <w:rsid w:val="0061490C"/>
    <w:rsid w:val="0063690D"/>
    <w:rsid w:val="00642909"/>
    <w:rsid w:val="00645574"/>
    <w:rsid w:val="0065128B"/>
    <w:rsid w:val="00652F80"/>
    <w:rsid w:val="00667555"/>
    <w:rsid w:val="00685183"/>
    <w:rsid w:val="006878DA"/>
    <w:rsid w:val="006B5D08"/>
    <w:rsid w:val="006B6059"/>
    <w:rsid w:val="006B773D"/>
    <w:rsid w:val="006C0BB6"/>
    <w:rsid w:val="006C3CA1"/>
    <w:rsid w:val="006D3C81"/>
    <w:rsid w:val="006D6029"/>
    <w:rsid w:val="007039C9"/>
    <w:rsid w:val="00752AE3"/>
    <w:rsid w:val="007A3EA3"/>
    <w:rsid w:val="007A5AA0"/>
    <w:rsid w:val="007B1BE3"/>
    <w:rsid w:val="007B3CDD"/>
    <w:rsid w:val="007C39BE"/>
    <w:rsid w:val="007D652C"/>
    <w:rsid w:val="007E387E"/>
    <w:rsid w:val="00801BDC"/>
    <w:rsid w:val="0080359A"/>
    <w:rsid w:val="00824CBF"/>
    <w:rsid w:val="00837314"/>
    <w:rsid w:val="00837838"/>
    <w:rsid w:val="008861BE"/>
    <w:rsid w:val="00886B9B"/>
    <w:rsid w:val="00890E2E"/>
    <w:rsid w:val="0089360E"/>
    <w:rsid w:val="008A2906"/>
    <w:rsid w:val="008A302F"/>
    <w:rsid w:val="008C1838"/>
    <w:rsid w:val="008C68F0"/>
    <w:rsid w:val="008D0FEC"/>
    <w:rsid w:val="008E3885"/>
    <w:rsid w:val="008F4BA9"/>
    <w:rsid w:val="00912F41"/>
    <w:rsid w:val="009440F4"/>
    <w:rsid w:val="00953972"/>
    <w:rsid w:val="00955273"/>
    <w:rsid w:val="00A02038"/>
    <w:rsid w:val="00A339DB"/>
    <w:rsid w:val="00A353FB"/>
    <w:rsid w:val="00A428AC"/>
    <w:rsid w:val="00A4515B"/>
    <w:rsid w:val="00A5330E"/>
    <w:rsid w:val="00A93DBB"/>
    <w:rsid w:val="00AA166A"/>
    <w:rsid w:val="00AB1165"/>
    <w:rsid w:val="00AB7FD0"/>
    <w:rsid w:val="00AE108E"/>
    <w:rsid w:val="00AE695C"/>
    <w:rsid w:val="00B0615C"/>
    <w:rsid w:val="00B07CE0"/>
    <w:rsid w:val="00B3577F"/>
    <w:rsid w:val="00B40D85"/>
    <w:rsid w:val="00B654A0"/>
    <w:rsid w:val="00B672BD"/>
    <w:rsid w:val="00B859F8"/>
    <w:rsid w:val="00BD60FB"/>
    <w:rsid w:val="00BD6750"/>
    <w:rsid w:val="00BE0457"/>
    <w:rsid w:val="00C123A1"/>
    <w:rsid w:val="00C16514"/>
    <w:rsid w:val="00C200B3"/>
    <w:rsid w:val="00C23A56"/>
    <w:rsid w:val="00C301F1"/>
    <w:rsid w:val="00C458E1"/>
    <w:rsid w:val="00C74A66"/>
    <w:rsid w:val="00C81D02"/>
    <w:rsid w:val="00C92AF7"/>
    <w:rsid w:val="00CA60D4"/>
    <w:rsid w:val="00CB1812"/>
    <w:rsid w:val="00CC5D1E"/>
    <w:rsid w:val="00CF2B69"/>
    <w:rsid w:val="00D07172"/>
    <w:rsid w:val="00D13989"/>
    <w:rsid w:val="00D45A00"/>
    <w:rsid w:val="00D507CD"/>
    <w:rsid w:val="00D6617D"/>
    <w:rsid w:val="00D8531F"/>
    <w:rsid w:val="00D86C5B"/>
    <w:rsid w:val="00D976F6"/>
    <w:rsid w:val="00DB4763"/>
    <w:rsid w:val="00DD54A0"/>
    <w:rsid w:val="00DD5FE7"/>
    <w:rsid w:val="00DF2190"/>
    <w:rsid w:val="00DF5D8A"/>
    <w:rsid w:val="00E01BF3"/>
    <w:rsid w:val="00E0670E"/>
    <w:rsid w:val="00E11434"/>
    <w:rsid w:val="00E3644B"/>
    <w:rsid w:val="00E4085D"/>
    <w:rsid w:val="00E5494D"/>
    <w:rsid w:val="00E63A83"/>
    <w:rsid w:val="00E66F08"/>
    <w:rsid w:val="00E778F0"/>
    <w:rsid w:val="00E85218"/>
    <w:rsid w:val="00E8671F"/>
    <w:rsid w:val="00E95C01"/>
    <w:rsid w:val="00EA1EC6"/>
    <w:rsid w:val="00EB6F93"/>
    <w:rsid w:val="00EB7514"/>
    <w:rsid w:val="00EE1CE5"/>
    <w:rsid w:val="00EF416E"/>
    <w:rsid w:val="00F26AC6"/>
    <w:rsid w:val="00F27541"/>
    <w:rsid w:val="00F50FC1"/>
    <w:rsid w:val="00F60930"/>
    <w:rsid w:val="00F62C3A"/>
    <w:rsid w:val="00F756E7"/>
    <w:rsid w:val="00F82384"/>
    <w:rsid w:val="00FA65E6"/>
    <w:rsid w:val="00FC0C32"/>
    <w:rsid w:val="00FC5ADA"/>
    <w:rsid w:val="00FD30FB"/>
    <w:rsid w:val="00FE0358"/>
    <w:rsid w:val="00FE7EA2"/>
    <w:rsid w:val="017B11E4"/>
    <w:rsid w:val="03447570"/>
    <w:rsid w:val="045F3E60"/>
    <w:rsid w:val="065435E7"/>
    <w:rsid w:val="07F55F19"/>
    <w:rsid w:val="095A4725"/>
    <w:rsid w:val="0A7271F2"/>
    <w:rsid w:val="0B4765DB"/>
    <w:rsid w:val="0B5E5DFE"/>
    <w:rsid w:val="0C9475FE"/>
    <w:rsid w:val="0ED54FA7"/>
    <w:rsid w:val="113B33C9"/>
    <w:rsid w:val="1223466D"/>
    <w:rsid w:val="16DC6904"/>
    <w:rsid w:val="19AC1208"/>
    <w:rsid w:val="19D42B6C"/>
    <w:rsid w:val="1BD85C34"/>
    <w:rsid w:val="1C62724B"/>
    <w:rsid w:val="1EAF6B6E"/>
    <w:rsid w:val="20ED253F"/>
    <w:rsid w:val="247962E4"/>
    <w:rsid w:val="26494805"/>
    <w:rsid w:val="26D12CCB"/>
    <w:rsid w:val="26F7280B"/>
    <w:rsid w:val="284C1CBC"/>
    <w:rsid w:val="29D53810"/>
    <w:rsid w:val="2B405D02"/>
    <w:rsid w:val="2E4A5C2F"/>
    <w:rsid w:val="2F631386"/>
    <w:rsid w:val="2F6C4C67"/>
    <w:rsid w:val="2F9B4539"/>
    <w:rsid w:val="2FD057C3"/>
    <w:rsid w:val="33497B0A"/>
    <w:rsid w:val="342E2B27"/>
    <w:rsid w:val="38282A1A"/>
    <w:rsid w:val="39E70D2F"/>
    <w:rsid w:val="3A8375C7"/>
    <w:rsid w:val="3DB73C99"/>
    <w:rsid w:val="3DF81348"/>
    <w:rsid w:val="3EEA2C8B"/>
    <w:rsid w:val="40E542E9"/>
    <w:rsid w:val="40F03B15"/>
    <w:rsid w:val="413C5593"/>
    <w:rsid w:val="42E2225C"/>
    <w:rsid w:val="43DC0D6D"/>
    <w:rsid w:val="4463591F"/>
    <w:rsid w:val="464A5A08"/>
    <w:rsid w:val="48F30C2D"/>
    <w:rsid w:val="4AA14B96"/>
    <w:rsid w:val="4B9761E7"/>
    <w:rsid w:val="4E2A6D4B"/>
    <w:rsid w:val="4F5C3751"/>
    <w:rsid w:val="4FE5257F"/>
    <w:rsid w:val="4FFFE914"/>
    <w:rsid w:val="51B340C2"/>
    <w:rsid w:val="560E5731"/>
    <w:rsid w:val="57D97E62"/>
    <w:rsid w:val="5BD844BF"/>
    <w:rsid w:val="5C3563ED"/>
    <w:rsid w:val="5C56150A"/>
    <w:rsid w:val="5C8E394E"/>
    <w:rsid w:val="5C9B41FC"/>
    <w:rsid w:val="5DA930B5"/>
    <w:rsid w:val="5E002D9B"/>
    <w:rsid w:val="5FE85534"/>
    <w:rsid w:val="61972682"/>
    <w:rsid w:val="61D50F91"/>
    <w:rsid w:val="62610A33"/>
    <w:rsid w:val="68F6059A"/>
    <w:rsid w:val="6934552F"/>
    <w:rsid w:val="694C7404"/>
    <w:rsid w:val="6EDF562C"/>
    <w:rsid w:val="6EFC1923"/>
    <w:rsid w:val="6F156B86"/>
    <w:rsid w:val="712D6B22"/>
    <w:rsid w:val="71A30B93"/>
    <w:rsid w:val="734975EC"/>
    <w:rsid w:val="75BE243F"/>
    <w:rsid w:val="778801D2"/>
    <w:rsid w:val="7A5F0C6A"/>
    <w:rsid w:val="7AA55C1E"/>
    <w:rsid w:val="7AFB1F49"/>
    <w:rsid w:val="7C2E6E1D"/>
    <w:rsid w:val="7E5F07E0"/>
    <w:rsid w:val="ABFBD8B6"/>
    <w:rsid w:val="B5EFEC93"/>
    <w:rsid w:val="DDDC3FAD"/>
    <w:rsid w:val="DDE90FAF"/>
    <w:rsid w:val="FFBF2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2"/>
    <w:qFormat/>
    <w:uiPriority w:val="9"/>
    <w:pPr>
      <w:keepNext/>
      <w:keepLines/>
      <w:spacing w:before="260" w:after="260" w:line="416" w:lineRule="auto"/>
      <w:outlineLvl w:val="1"/>
    </w:pPr>
    <w:rPr>
      <w:rFonts w:ascii="等线 Light" w:hAnsi="等线 Light" w:eastAsia="等线 Light"/>
      <w:b/>
      <w:bCs/>
      <w:sz w:val="32"/>
      <w:szCs w:val="32"/>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paragraph" w:styleId="6">
    <w:name w:val="heading 4"/>
    <w:basedOn w:val="1"/>
    <w:next w:val="1"/>
    <w:link w:val="23"/>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toc 1"/>
    <w:basedOn w:val="1"/>
    <w:next w:val="1"/>
    <w:qFormat/>
    <w:uiPriority w:val="39"/>
    <w:pPr>
      <w:tabs>
        <w:tab w:val="left" w:pos="1260"/>
        <w:tab w:val="left" w:pos="1685"/>
        <w:tab w:val="right" w:leader="dot" w:pos="8400"/>
      </w:tabs>
      <w:spacing w:line="360" w:lineRule="auto"/>
    </w:pPr>
    <w:rPr>
      <w:rFonts w:ascii="Times New Roman" w:hAnsi="Times New Roman"/>
      <w:b/>
      <w:sz w:val="24"/>
    </w:rPr>
  </w:style>
  <w:style w:type="paragraph" w:styleId="7">
    <w:name w:val="Normal Indent"/>
    <w:basedOn w:val="1"/>
    <w:qFormat/>
    <w:uiPriority w:val="0"/>
    <w:pPr>
      <w:autoSpaceDE w:val="0"/>
      <w:autoSpaceDN w:val="0"/>
      <w:adjustRightInd w:val="0"/>
      <w:spacing w:line="360" w:lineRule="auto"/>
      <w:ind w:firstLine="200" w:firstLineChars="200"/>
      <w:jc w:val="left"/>
    </w:pPr>
  </w:style>
  <w:style w:type="paragraph" w:styleId="8">
    <w:name w:val="annotation text"/>
    <w:basedOn w:val="1"/>
    <w:link w:val="36"/>
    <w:uiPriority w:val="0"/>
    <w:pPr>
      <w:jc w:val="left"/>
    </w:pPr>
  </w:style>
  <w:style w:type="paragraph" w:styleId="9">
    <w:name w:val="Body Text Indent"/>
    <w:basedOn w:val="1"/>
    <w:link w:val="24"/>
    <w:qFormat/>
    <w:uiPriority w:val="0"/>
    <w:pPr>
      <w:adjustRightInd w:val="0"/>
      <w:snapToGrid w:val="0"/>
      <w:spacing w:before="25" w:beforeLines="25" w:after="25" w:afterLines="25" w:line="360" w:lineRule="auto"/>
      <w:ind w:left="420" w:firstLine="420" w:firstLineChars="200"/>
    </w:pPr>
    <w:rPr>
      <w:rFonts w:ascii="宋体" w:hAnsi="宋体" w:eastAsia="等线"/>
      <w:sz w:val="24"/>
      <w:szCs w:val="22"/>
      <w:shd w:val="pct10" w:color="auto" w:fill="FFFFFF"/>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Subtitle"/>
    <w:basedOn w:val="1"/>
    <w:next w:val="1"/>
    <w:link w:val="25"/>
    <w:qFormat/>
    <w:uiPriority w:val="0"/>
    <w:pPr>
      <w:spacing w:before="240" w:after="60" w:line="312" w:lineRule="auto"/>
      <w:jc w:val="center"/>
      <w:outlineLvl w:val="1"/>
    </w:pPr>
    <w:rPr>
      <w:rFonts w:ascii="等线 Light" w:hAnsi="等线 Light"/>
      <w:b/>
      <w:bCs/>
      <w:kern w:val="28"/>
      <w:sz w:val="32"/>
      <w:szCs w:val="32"/>
    </w:rPr>
  </w:style>
  <w:style w:type="paragraph" w:styleId="13">
    <w:name w:val="Title"/>
    <w:basedOn w:val="1"/>
    <w:next w:val="1"/>
    <w:link w:val="26"/>
    <w:qFormat/>
    <w:uiPriority w:val="0"/>
    <w:pPr>
      <w:spacing w:before="240" w:after="60"/>
      <w:jc w:val="center"/>
      <w:outlineLvl w:val="0"/>
    </w:pPr>
    <w:rPr>
      <w:rFonts w:ascii="等线 Light" w:hAnsi="等线 Light"/>
      <w:b/>
      <w:bCs/>
      <w:sz w:val="32"/>
      <w:szCs w:val="32"/>
    </w:rPr>
  </w:style>
  <w:style w:type="paragraph" w:styleId="14">
    <w:name w:val="annotation subject"/>
    <w:basedOn w:val="8"/>
    <w:next w:val="8"/>
    <w:link w:val="37"/>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character" w:styleId="19">
    <w:name w:val="Emphasis"/>
    <w:qFormat/>
    <w:uiPriority w:val="0"/>
    <w:rPr>
      <w:i/>
      <w:iCs/>
    </w:rPr>
  </w:style>
  <w:style w:type="character" w:styleId="20">
    <w:name w:val="annotation reference"/>
    <w:basedOn w:val="17"/>
    <w:qFormat/>
    <w:uiPriority w:val="0"/>
    <w:rPr>
      <w:sz w:val="21"/>
      <w:szCs w:val="21"/>
    </w:rPr>
  </w:style>
  <w:style w:type="character" w:customStyle="1" w:styleId="21">
    <w:name w:val="标题 1 字符"/>
    <w:link w:val="3"/>
    <w:qFormat/>
    <w:uiPriority w:val="0"/>
    <w:rPr>
      <w:rFonts w:ascii="Calibri" w:hAnsi="Calibri"/>
      <w:b/>
      <w:bCs/>
      <w:kern w:val="44"/>
      <w:sz w:val="44"/>
      <w:szCs w:val="44"/>
    </w:rPr>
  </w:style>
  <w:style w:type="character" w:customStyle="1" w:styleId="22">
    <w:name w:val="标题 2 字符"/>
    <w:link w:val="4"/>
    <w:qFormat/>
    <w:uiPriority w:val="9"/>
    <w:rPr>
      <w:rFonts w:ascii="等线 Light" w:hAnsi="等线 Light" w:eastAsia="等线 Light"/>
      <w:b/>
      <w:bCs/>
      <w:kern w:val="2"/>
      <w:sz w:val="32"/>
      <w:szCs w:val="32"/>
    </w:rPr>
  </w:style>
  <w:style w:type="character" w:customStyle="1" w:styleId="23">
    <w:name w:val="标题 4 字符"/>
    <w:link w:val="6"/>
    <w:qFormat/>
    <w:uiPriority w:val="9"/>
    <w:rPr>
      <w:rFonts w:ascii="等线 Light" w:hAnsi="等线 Light" w:eastAsia="等线 Light"/>
      <w:b/>
      <w:bCs/>
      <w:kern w:val="2"/>
      <w:sz w:val="28"/>
      <w:szCs w:val="28"/>
    </w:rPr>
  </w:style>
  <w:style w:type="character" w:customStyle="1" w:styleId="24">
    <w:name w:val="正文文本缩进 字符"/>
    <w:link w:val="9"/>
    <w:qFormat/>
    <w:uiPriority w:val="0"/>
    <w:rPr>
      <w:rFonts w:ascii="宋体" w:hAnsi="宋体" w:eastAsia="等线"/>
      <w:kern w:val="2"/>
      <w:sz w:val="24"/>
      <w:szCs w:val="22"/>
    </w:rPr>
  </w:style>
  <w:style w:type="character" w:customStyle="1" w:styleId="25">
    <w:name w:val="副标题 字符"/>
    <w:link w:val="12"/>
    <w:qFormat/>
    <w:uiPriority w:val="0"/>
    <w:rPr>
      <w:rFonts w:ascii="等线 Light" w:hAnsi="等线 Light" w:cs="Times New Roman"/>
      <w:b/>
      <w:bCs/>
      <w:kern w:val="28"/>
      <w:sz w:val="32"/>
      <w:szCs w:val="32"/>
    </w:rPr>
  </w:style>
  <w:style w:type="character" w:customStyle="1" w:styleId="26">
    <w:name w:val="标题 字符"/>
    <w:link w:val="13"/>
    <w:qFormat/>
    <w:uiPriority w:val="0"/>
    <w:rPr>
      <w:rFonts w:ascii="等线 Light" w:hAnsi="等线 Light" w:cs="Times New Roman"/>
      <w:b/>
      <w:bCs/>
      <w:kern w:val="2"/>
      <w:sz w:val="32"/>
      <w:szCs w:val="32"/>
    </w:rPr>
  </w:style>
  <w:style w:type="paragraph" w:customStyle="1" w:styleId="27">
    <w:name w:val="Char1"/>
    <w:basedOn w:val="1"/>
    <w:qFormat/>
    <w:uiPriority w:val="0"/>
    <w:rPr>
      <w:rFonts w:ascii="Times New Roman" w:hAnsi="Times New Roman"/>
      <w:sz w:val="24"/>
    </w:rPr>
  </w:style>
  <w:style w:type="paragraph" w:customStyle="1" w:styleId="28">
    <w:name w:val="www正文"/>
    <w:basedOn w:val="1"/>
    <w:qFormat/>
    <w:uiPriority w:val="0"/>
    <w:pPr>
      <w:ind w:firstLine="480" w:firstLineChars="200"/>
    </w:pPr>
    <w:rPr>
      <w:rFonts w:ascii="Times New Roman" w:hAnsi="Times New Roman"/>
    </w:rPr>
  </w:style>
  <w:style w:type="paragraph" w:styleId="29">
    <w:name w:val="List Paragraph"/>
    <w:basedOn w:val="1"/>
    <w:link w:val="30"/>
    <w:qFormat/>
    <w:uiPriority w:val="34"/>
    <w:pPr>
      <w:spacing w:line="360" w:lineRule="auto"/>
      <w:ind w:firstLine="480" w:firstLineChars="200"/>
    </w:pPr>
    <w:rPr>
      <w:sz w:val="24"/>
    </w:rPr>
  </w:style>
  <w:style w:type="character" w:customStyle="1" w:styleId="30">
    <w:name w:val="列表段落 字符"/>
    <w:link w:val="29"/>
    <w:qFormat/>
    <w:locked/>
    <w:uiPriority w:val="34"/>
    <w:rPr>
      <w:rFonts w:ascii="Calibri" w:hAnsi="Calibri"/>
      <w:kern w:val="2"/>
      <w:sz w:val="24"/>
      <w:szCs w:val="24"/>
    </w:rPr>
  </w:style>
  <w:style w:type="character" w:customStyle="1" w:styleId="31">
    <w:name w:val="方案正文 Char"/>
    <w:link w:val="32"/>
    <w:qFormat/>
    <w:uiPriority w:val="0"/>
    <w:rPr>
      <w:rFonts w:ascii="华文细黑" w:hAnsi="华文细黑" w:eastAsia="华文细黑"/>
      <w:sz w:val="24"/>
      <w:szCs w:val="24"/>
    </w:rPr>
  </w:style>
  <w:style w:type="paragraph" w:customStyle="1" w:styleId="32">
    <w:name w:val="方案正文"/>
    <w:basedOn w:val="1"/>
    <w:link w:val="31"/>
    <w:qFormat/>
    <w:uiPriority w:val="0"/>
    <w:pPr>
      <w:spacing w:before="120" w:line="360" w:lineRule="auto"/>
      <w:ind w:firstLine="425" w:firstLineChars="177"/>
    </w:pPr>
    <w:rPr>
      <w:rFonts w:ascii="华文细黑" w:hAnsi="华文细黑" w:eastAsia="华文细黑"/>
      <w:kern w:val="0"/>
      <w:sz w:val="24"/>
    </w:rPr>
  </w:style>
  <w:style w:type="character" w:customStyle="1" w:styleId="33">
    <w:name w:val="样式1 Char Char"/>
    <w:link w:val="34"/>
    <w:qFormat/>
    <w:locked/>
    <w:uiPriority w:val="0"/>
    <w:rPr>
      <w:rFonts w:ascii="Arial" w:hAnsi="Arial"/>
      <w:kern w:val="2"/>
      <w:sz w:val="21"/>
      <w:szCs w:val="24"/>
    </w:rPr>
  </w:style>
  <w:style w:type="paragraph" w:customStyle="1" w:styleId="34">
    <w:name w:val="样式1"/>
    <w:basedOn w:val="1"/>
    <w:link w:val="33"/>
    <w:qFormat/>
    <w:uiPriority w:val="0"/>
    <w:pPr>
      <w:adjustRightInd w:val="0"/>
      <w:snapToGrid w:val="0"/>
      <w:spacing w:line="360" w:lineRule="exact"/>
      <w:ind w:firstLine="200" w:firstLineChars="200"/>
      <w:jc w:val="left"/>
    </w:pPr>
    <w:rPr>
      <w:rFonts w:ascii="Arial" w:hAnsi="Arial"/>
    </w:rPr>
  </w:style>
  <w:style w:type="paragraph" w:customStyle="1" w:styleId="35">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
    <w:name w:val="批注文字 字符"/>
    <w:basedOn w:val="17"/>
    <w:link w:val="8"/>
    <w:qFormat/>
    <w:uiPriority w:val="0"/>
    <w:rPr>
      <w:rFonts w:ascii="Calibri" w:hAnsi="Calibri"/>
      <w:kern w:val="2"/>
      <w:sz w:val="21"/>
      <w:szCs w:val="24"/>
    </w:rPr>
  </w:style>
  <w:style w:type="character" w:customStyle="1" w:styleId="37">
    <w:name w:val="批注主题 字符"/>
    <w:basedOn w:val="36"/>
    <w:link w:val="14"/>
    <w:uiPriority w:val="0"/>
    <w:rPr>
      <w:rFonts w:ascii="Calibri" w:hAnsi="Calibri"/>
      <w:b/>
      <w:bCs/>
      <w:kern w:val="2"/>
      <w:sz w:val="21"/>
      <w:szCs w:val="24"/>
    </w:rPr>
  </w:style>
  <w:style w:type="paragraph" w:customStyle="1" w:styleId="38">
    <w:name w:val="修订1"/>
    <w:hidden/>
    <w:unhideWhenUsed/>
    <w:uiPriority w:val="99"/>
    <w:rPr>
      <w:rFonts w:ascii="Calibri" w:hAnsi="Calibri" w:eastAsia="宋体" w:cs="Times New Roman"/>
      <w:kern w:val="2"/>
      <w:sz w:val="21"/>
      <w:szCs w:val="24"/>
      <w:lang w:val="en-US" w:eastAsia="zh-CN" w:bidi="ar-SA"/>
    </w:rPr>
  </w:style>
  <w:style w:type="paragraph" w:customStyle="1" w:styleId="39">
    <w:name w:val="Revision"/>
    <w:hidden/>
    <w:unhideWhenUsed/>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772</Words>
  <Characters>967</Characters>
  <Lines>87</Lines>
  <Paragraphs>79</Paragraphs>
  <TotalTime>12</TotalTime>
  <ScaleCrop>false</ScaleCrop>
  <LinksUpToDate>false</LinksUpToDate>
  <CharactersWithSpaces>1660</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2026-03-06T08:11:00Z</dcterms:created>
  <dc:creator>Administrator</dc:creator>
  <cp:lastModifiedBy>Administrator</cp:lastModifiedBy>
  <dcterms:modified xsi:type="dcterms:W3CDTF">2026-03-10T07:31:44Z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90005E0338534CDDA1A68F1D6E329E8F_13</vt:lpwstr>
  </property>
</Properties>
</file>