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CE22CC">
      <w:pPr>
        <w:jc w:val="center"/>
        <w:rPr>
          <w:rFonts w:hint="eastAsia" w:ascii="黑体" w:hAnsi="黑体" w:eastAsia="黑体" w:cs="Times New Roman Regular"/>
          <w:b/>
          <w:bCs/>
          <w:sz w:val="44"/>
          <w:szCs w:val="44"/>
        </w:rPr>
      </w:pPr>
      <w:r>
        <w:rPr>
          <w:rFonts w:ascii="黑体" w:hAnsi="黑体" w:eastAsia="黑体" w:cs="Times New Roman Regular"/>
          <w:b/>
          <w:bCs/>
          <w:sz w:val="44"/>
          <w:szCs w:val="44"/>
        </w:rPr>
        <w:t>重庆医科大学附属儿童医院</w:t>
      </w:r>
    </w:p>
    <w:p w14:paraId="0F27A3C1">
      <w:pPr>
        <w:jc w:val="center"/>
        <w:rPr>
          <w:rFonts w:ascii="黑体" w:hAnsi="黑体" w:eastAsia="黑体"/>
          <w:b/>
          <w:bCs/>
          <w:sz w:val="44"/>
          <w:szCs w:val="44"/>
        </w:rPr>
      </w:pPr>
      <w:r>
        <w:rPr>
          <w:rFonts w:hint="eastAsia" w:ascii="黑体" w:hAnsi="黑体" w:eastAsia="黑体"/>
          <w:b/>
          <w:bCs/>
          <w:sz w:val="44"/>
          <w:szCs w:val="44"/>
        </w:rPr>
        <w:t>渝中院区</w:t>
      </w:r>
      <w:r>
        <w:rPr>
          <w:rFonts w:ascii="黑体" w:hAnsi="黑体" w:eastAsia="黑体"/>
          <w:b/>
          <w:bCs/>
          <w:sz w:val="44"/>
          <w:szCs w:val="44"/>
        </w:rPr>
        <w:t>6号楼</w:t>
      </w:r>
      <w:r>
        <w:rPr>
          <w:rFonts w:hint="eastAsia" w:ascii="黑体" w:hAnsi="黑体" w:eastAsia="黑体"/>
          <w:b/>
          <w:bCs/>
          <w:sz w:val="44"/>
          <w:szCs w:val="44"/>
          <w:lang w:val="en-US" w:eastAsia="zh-CN"/>
        </w:rPr>
        <w:t>内网无线</w:t>
      </w:r>
      <w:r>
        <w:rPr>
          <w:rFonts w:ascii="黑体" w:hAnsi="黑体" w:eastAsia="黑体"/>
          <w:b/>
          <w:bCs/>
          <w:sz w:val="44"/>
          <w:szCs w:val="44"/>
        </w:rPr>
        <w:t>网络升级改造</w:t>
      </w:r>
    </w:p>
    <w:p w14:paraId="4D19B564">
      <w:pPr>
        <w:jc w:val="center"/>
        <w:rPr>
          <w:rFonts w:hint="default" w:ascii="黑体" w:hAnsi="黑体" w:eastAsia="黑体" w:cs="Times New Roman Regular"/>
          <w:b/>
          <w:bCs/>
          <w:sz w:val="44"/>
          <w:szCs w:val="44"/>
          <w:lang w:val="en-US" w:eastAsia="zh-CN"/>
        </w:rPr>
      </w:pPr>
      <w:r>
        <w:rPr>
          <w:rFonts w:hint="eastAsia" w:ascii="黑体" w:hAnsi="黑体" w:eastAsia="黑体" w:cs="Times New Roman Regular"/>
          <w:b/>
          <w:bCs/>
          <w:sz w:val="44"/>
          <w:szCs w:val="44"/>
          <w:lang w:val="en-US" w:eastAsia="zh-CN"/>
        </w:rPr>
        <w:t>市场调查文件</w:t>
      </w:r>
    </w:p>
    <w:p w14:paraId="6E508987">
      <w:pPr>
        <w:pStyle w:val="3"/>
        <w:rPr>
          <w:rStyle w:val="18"/>
          <w:rFonts w:ascii="Times New Roman Regular" w:hAnsi="Times New Roman Regular" w:cs="Times New Roman Regular"/>
          <w:b/>
          <w:bCs/>
          <w:sz w:val="30"/>
          <w:szCs w:val="30"/>
        </w:rPr>
      </w:pPr>
      <w:r>
        <w:rPr>
          <w:rStyle w:val="18"/>
          <w:rFonts w:ascii="Times New Roman Regular" w:hAnsi="Times New Roman Regular" w:cs="Times New Roman Regular"/>
          <w:b/>
          <w:bCs/>
          <w:sz w:val="30"/>
          <w:szCs w:val="30"/>
        </w:rPr>
        <w:t>一、项目概况</w:t>
      </w:r>
    </w:p>
    <w:p w14:paraId="28DEC1A7">
      <w:pPr>
        <w:pStyle w:val="29"/>
        <w:rPr>
          <w:rFonts w:hint="eastAsia"/>
        </w:rPr>
      </w:pPr>
      <w:bookmarkStart w:id="0" w:name="OLE_LINK1"/>
      <w:r>
        <w:rPr>
          <w:rFonts w:hint="eastAsia"/>
        </w:rPr>
        <w:t>根据医院的整体计划，将对6号楼的第3层、5-7层、10-17层进行改造提升工程。原有内网无线网络已使用超 10 年，存在速率低、信号覆盖不均、设备老化等问题，已无法满足医院日常医疗办公、终端接入的高效网络需求，将随本次改造提升工程同步完成无线网络升级。本次改造将新增汇聚机房 1 个、楼层接入机房 12 个，其中新汇聚机房将接入第 2、8 层原有无线网络设备，旨在构建一个高速、稳定、安全、易管理的新一代医疗无线专用网络，同时确保与现有核心网络及管理平台的无缝对接，保障医疗业务数据的安全、实时流转。</w:t>
      </w:r>
    </w:p>
    <w:bookmarkEnd w:id="0"/>
    <w:p w14:paraId="2CBBB489">
      <w:pPr>
        <w:pStyle w:val="3"/>
        <w:rPr>
          <w:rFonts w:ascii="Times New Roman Regular" w:hAnsi="Times New Roman Regular" w:cs="Times New Roman Regular"/>
          <w:sz w:val="30"/>
          <w:szCs w:val="30"/>
        </w:rPr>
      </w:pPr>
      <w:r>
        <w:rPr>
          <w:rFonts w:ascii="Times New Roman Regular" w:hAnsi="Times New Roman Regular" w:cs="Times New Roman Regular"/>
          <w:sz w:val="30"/>
          <w:szCs w:val="30"/>
        </w:rPr>
        <w:t>二、项目要求</w:t>
      </w:r>
    </w:p>
    <w:p w14:paraId="3809C28A">
      <w:pPr>
        <w:pStyle w:val="4"/>
        <w:numPr>
          <w:ilvl w:val="0"/>
          <w:numId w:val="1"/>
        </w:numPr>
        <w:rPr>
          <w:rFonts w:hint="eastAsia"/>
          <w:sz w:val="28"/>
          <w:szCs w:val="28"/>
        </w:rPr>
      </w:pPr>
      <w:r>
        <w:rPr>
          <w:rFonts w:hint="eastAsia"/>
          <w:sz w:val="28"/>
          <w:szCs w:val="28"/>
        </w:rPr>
        <w:t>设备清单</w:t>
      </w:r>
    </w:p>
    <w:tbl>
      <w:tblPr>
        <w:tblStyle w:val="15"/>
        <w:tblW w:w="4995" w:type="pct"/>
        <w:tblInd w:w="0" w:type="dxa"/>
        <w:tblLayout w:type="autofit"/>
        <w:tblCellMar>
          <w:top w:w="0" w:type="dxa"/>
          <w:left w:w="108" w:type="dxa"/>
          <w:bottom w:w="0" w:type="dxa"/>
          <w:right w:w="108" w:type="dxa"/>
        </w:tblCellMar>
      </w:tblPr>
      <w:tblGrid>
        <w:gridCol w:w="1023"/>
        <w:gridCol w:w="1447"/>
        <w:gridCol w:w="6140"/>
        <w:gridCol w:w="671"/>
        <w:gridCol w:w="671"/>
      </w:tblGrid>
      <w:tr w14:paraId="590F4E25">
        <w:tblPrEx>
          <w:tblCellMar>
            <w:top w:w="0" w:type="dxa"/>
            <w:left w:w="108" w:type="dxa"/>
            <w:bottom w:w="0" w:type="dxa"/>
            <w:right w:w="108" w:type="dxa"/>
          </w:tblCellMar>
        </w:tblPrEx>
        <w:trPr>
          <w:trHeight w:val="285" w:hRule="atLeast"/>
          <w:tblHeader/>
        </w:trPr>
        <w:tc>
          <w:tcPr>
            <w:tcW w:w="514" w:type="pct"/>
            <w:tcBorders>
              <w:top w:val="single" w:color="auto" w:sz="4" w:space="0"/>
              <w:left w:val="single" w:color="auto" w:sz="4" w:space="0"/>
              <w:bottom w:val="single" w:color="auto" w:sz="4" w:space="0"/>
              <w:right w:val="single" w:color="auto" w:sz="4" w:space="0"/>
            </w:tcBorders>
            <w:vAlign w:val="center"/>
          </w:tcPr>
          <w:p w14:paraId="6978E8A5">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序号</w:t>
            </w:r>
          </w:p>
        </w:tc>
        <w:tc>
          <w:tcPr>
            <w:tcW w:w="727" w:type="pct"/>
            <w:tcBorders>
              <w:top w:val="single" w:color="auto" w:sz="4" w:space="0"/>
              <w:left w:val="single" w:color="auto" w:sz="4" w:space="0"/>
              <w:bottom w:val="single" w:color="auto" w:sz="4" w:space="0"/>
              <w:right w:val="single" w:color="auto" w:sz="4" w:space="0"/>
            </w:tcBorders>
            <w:vAlign w:val="center"/>
          </w:tcPr>
          <w:p w14:paraId="5E81EAD7">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设备名称</w:t>
            </w:r>
          </w:p>
        </w:tc>
        <w:tc>
          <w:tcPr>
            <w:tcW w:w="3085" w:type="pct"/>
            <w:tcBorders>
              <w:top w:val="single" w:color="auto" w:sz="4" w:space="0"/>
              <w:left w:val="nil"/>
              <w:bottom w:val="single" w:color="auto" w:sz="4" w:space="0"/>
              <w:right w:val="single" w:color="auto" w:sz="4" w:space="0"/>
            </w:tcBorders>
            <w:noWrap/>
            <w:vAlign w:val="center"/>
          </w:tcPr>
          <w:p w14:paraId="391B1F56">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37" w:type="pct"/>
            <w:tcBorders>
              <w:top w:val="single" w:color="auto" w:sz="4" w:space="0"/>
              <w:left w:val="nil"/>
              <w:bottom w:val="single" w:color="auto" w:sz="4" w:space="0"/>
              <w:right w:val="single" w:color="auto" w:sz="4" w:space="0"/>
            </w:tcBorders>
            <w:noWrap/>
            <w:vAlign w:val="center"/>
          </w:tcPr>
          <w:p w14:paraId="608DE8ED">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37" w:type="pct"/>
            <w:tcBorders>
              <w:top w:val="single" w:color="auto" w:sz="4" w:space="0"/>
              <w:left w:val="nil"/>
              <w:bottom w:val="single" w:color="auto" w:sz="4" w:space="0"/>
              <w:right w:val="single" w:color="auto" w:sz="4" w:space="0"/>
            </w:tcBorders>
            <w:noWrap/>
            <w:vAlign w:val="center"/>
          </w:tcPr>
          <w:p w14:paraId="3F2DBF43">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464CADD2">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29447D76">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727" w:type="pct"/>
            <w:tcBorders>
              <w:top w:val="nil"/>
              <w:left w:val="single" w:color="auto" w:sz="4" w:space="0"/>
              <w:bottom w:val="single" w:color="auto" w:sz="4" w:space="0"/>
              <w:right w:val="single" w:color="auto" w:sz="4" w:space="0"/>
            </w:tcBorders>
            <w:vAlign w:val="center"/>
          </w:tcPr>
          <w:p w14:paraId="438DD456">
            <w:pPr>
              <w:widowControl/>
              <w:spacing w:line="360" w:lineRule="auto"/>
            </w:pPr>
            <w:r>
              <w:rPr>
                <w:rFonts w:hint="eastAsia" w:ascii="等线" w:hAnsi="等线" w:eastAsia="等线" w:cs="宋体"/>
                <w:color w:val="000000"/>
                <w:kern w:val="0"/>
                <w:sz w:val="22"/>
                <w:szCs w:val="22"/>
              </w:rPr>
              <w:t>无线接入点（面板型）</w:t>
            </w:r>
          </w:p>
        </w:tc>
        <w:tc>
          <w:tcPr>
            <w:tcW w:w="3085" w:type="pct"/>
            <w:tcBorders>
              <w:top w:val="nil"/>
              <w:left w:val="nil"/>
              <w:bottom w:val="single" w:color="auto" w:sz="4" w:space="0"/>
              <w:right w:val="single" w:color="auto" w:sz="4" w:space="0"/>
            </w:tcBorders>
            <w:vAlign w:val="center"/>
          </w:tcPr>
          <w:p w14:paraId="719FEE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1.全频段支持IEEE 802.11be标准，兼容IEEE 802.11a/b/g/n/ac/ax 标准，支持2.4G频段和5G频段；</w:t>
            </w:r>
          </w:p>
          <w:p w14:paraId="1F9358F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2.设备采用内置智能天线，支持面板安装方式。整机支持4条空间流，整机数率≥3.5Gbps；</w:t>
            </w:r>
          </w:p>
          <w:p w14:paraId="72C966A1">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3.上行支持≥1x2.5GE电口，下行支持≥4xGE电口；支持蓝牙5.4；</w:t>
            </w:r>
          </w:p>
          <w:p w14:paraId="3373195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4.物联网扩展：提供 USB 2.0接口，可用于扩展外置物联网；</w:t>
            </w:r>
          </w:p>
          <w:p w14:paraId="619FD2F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 xml:space="preserve">5.具有工信部无线电管理局核发的型号核准证书； </w:t>
            </w:r>
          </w:p>
          <w:p w14:paraId="3317B11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6.优先选择使用国产化Wi-Fi芯片。</w:t>
            </w:r>
          </w:p>
        </w:tc>
        <w:tc>
          <w:tcPr>
            <w:tcW w:w="337" w:type="pct"/>
            <w:tcBorders>
              <w:top w:val="nil"/>
              <w:left w:val="nil"/>
              <w:bottom w:val="single" w:color="auto" w:sz="4" w:space="0"/>
              <w:right w:val="single" w:color="auto" w:sz="4" w:space="0"/>
            </w:tcBorders>
            <w:noWrap/>
            <w:vAlign w:val="center"/>
          </w:tcPr>
          <w:p w14:paraId="2EF2CFD9">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273</w:t>
            </w:r>
          </w:p>
        </w:tc>
        <w:tc>
          <w:tcPr>
            <w:tcW w:w="337" w:type="pct"/>
            <w:tcBorders>
              <w:top w:val="nil"/>
              <w:left w:val="nil"/>
              <w:bottom w:val="single" w:color="auto" w:sz="4" w:space="0"/>
              <w:right w:val="single" w:color="auto" w:sz="4" w:space="0"/>
            </w:tcBorders>
            <w:noWrap/>
            <w:vAlign w:val="center"/>
          </w:tcPr>
          <w:p w14:paraId="341C8CA7">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54905D34">
        <w:tblPrEx>
          <w:tblCellMar>
            <w:top w:w="0" w:type="dxa"/>
            <w:left w:w="108" w:type="dxa"/>
            <w:bottom w:w="0" w:type="dxa"/>
            <w:right w:w="108" w:type="dxa"/>
          </w:tblCellMar>
        </w:tblPrEx>
        <w:trPr>
          <w:trHeight w:val="1995" w:hRule="atLeast"/>
        </w:trPr>
        <w:tc>
          <w:tcPr>
            <w:tcW w:w="514" w:type="pct"/>
            <w:tcBorders>
              <w:top w:val="nil"/>
              <w:left w:val="single" w:color="auto" w:sz="4" w:space="0"/>
              <w:bottom w:val="single" w:color="auto" w:sz="4" w:space="0"/>
              <w:right w:val="single" w:color="auto" w:sz="4" w:space="0"/>
            </w:tcBorders>
            <w:vAlign w:val="center"/>
          </w:tcPr>
          <w:p w14:paraId="16DEFAF6">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727" w:type="pct"/>
            <w:tcBorders>
              <w:top w:val="nil"/>
              <w:left w:val="single" w:color="auto" w:sz="4" w:space="0"/>
              <w:bottom w:val="single" w:color="auto" w:sz="4" w:space="0"/>
              <w:right w:val="single" w:color="auto" w:sz="4" w:space="0"/>
            </w:tcBorders>
            <w:vAlign w:val="center"/>
          </w:tcPr>
          <w:p w14:paraId="034E646C">
            <w:pPr>
              <w:widowControl/>
              <w:spacing w:line="360" w:lineRule="auto"/>
              <w:rPr>
                <w:rFonts w:hint="eastAsia" w:ascii="等线" w:hAnsi="等线" w:eastAsia="等线" w:cs="宋体"/>
                <w:color w:val="000000"/>
                <w:kern w:val="0"/>
                <w:sz w:val="22"/>
                <w:szCs w:val="22"/>
              </w:rPr>
            </w:pPr>
            <w:r>
              <w:rPr>
                <w:rFonts w:hint="eastAsia"/>
              </w:rPr>
              <w:t>无线接入点（吸顶型）</w:t>
            </w:r>
          </w:p>
        </w:tc>
        <w:tc>
          <w:tcPr>
            <w:tcW w:w="3085" w:type="pct"/>
            <w:tcBorders>
              <w:top w:val="nil"/>
              <w:left w:val="nil"/>
              <w:bottom w:val="single" w:color="auto" w:sz="4" w:space="0"/>
              <w:right w:val="single" w:color="auto" w:sz="4" w:space="0"/>
            </w:tcBorders>
            <w:vAlign w:val="center"/>
          </w:tcPr>
          <w:p w14:paraId="03394DD0">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1.全频段支持IEEE 802.11be标准，兼容IEEE 802.11a/b/g/n/ac/ax 标准，支持2.4G频段和5G频段；</w:t>
            </w:r>
          </w:p>
          <w:p w14:paraId="486AE527">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2.设备采用内置智能天线，支持吸顶安装，整机支持4条空间流，整机速率≥3.5Gbps；</w:t>
            </w:r>
          </w:p>
          <w:p w14:paraId="47E5D2A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3.硬件参数：支持≥1x2.5GE电口；支持蓝牙5.4；</w:t>
            </w:r>
          </w:p>
          <w:p w14:paraId="56D0089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4.提供 USB 2.0接口，可用于扩展外置物联网；</w:t>
            </w:r>
          </w:p>
          <w:p w14:paraId="05E68F95">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 xml:space="preserve">5.具有工信部无线电管理局核发的型号核准证书； </w:t>
            </w:r>
          </w:p>
          <w:p w14:paraId="39867CA6">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6.优先选择使用国产化Wi-Fi芯片。</w:t>
            </w:r>
          </w:p>
        </w:tc>
        <w:tc>
          <w:tcPr>
            <w:tcW w:w="337" w:type="pct"/>
            <w:tcBorders>
              <w:top w:val="nil"/>
              <w:left w:val="nil"/>
              <w:bottom w:val="single" w:color="auto" w:sz="4" w:space="0"/>
              <w:right w:val="single" w:color="auto" w:sz="4" w:space="0"/>
            </w:tcBorders>
            <w:noWrap/>
            <w:vAlign w:val="center"/>
          </w:tcPr>
          <w:p w14:paraId="7768CA1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120</w:t>
            </w:r>
          </w:p>
        </w:tc>
        <w:tc>
          <w:tcPr>
            <w:tcW w:w="337" w:type="pct"/>
            <w:tcBorders>
              <w:top w:val="nil"/>
              <w:left w:val="nil"/>
              <w:bottom w:val="single" w:color="auto" w:sz="4" w:space="0"/>
              <w:right w:val="single" w:color="auto" w:sz="4" w:space="0"/>
            </w:tcBorders>
            <w:noWrap/>
            <w:vAlign w:val="center"/>
          </w:tcPr>
          <w:p w14:paraId="0A1EA443">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7F7C413C">
        <w:tblPrEx>
          <w:tblCellMar>
            <w:top w:w="0" w:type="dxa"/>
            <w:left w:w="108" w:type="dxa"/>
            <w:bottom w:w="0" w:type="dxa"/>
            <w:right w:w="108" w:type="dxa"/>
          </w:tblCellMar>
        </w:tblPrEx>
        <w:trPr>
          <w:trHeight w:val="563" w:hRule="atLeast"/>
        </w:trPr>
        <w:tc>
          <w:tcPr>
            <w:tcW w:w="514" w:type="pct"/>
            <w:tcBorders>
              <w:top w:val="nil"/>
              <w:left w:val="single" w:color="auto" w:sz="4" w:space="0"/>
              <w:bottom w:val="single" w:color="auto" w:sz="4" w:space="0"/>
              <w:right w:val="single" w:color="auto" w:sz="4" w:space="0"/>
            </w:tcBorders>
            <w:vAlign w:val="center"/>
          </w:tcPr>
          <w:p w14:paraId="3AE5ED8A">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727" w:type="pct"/>
            <w:tcBorders>
              <w:top w:val="nil"/>
              <w:left w:val="single" w:color="auto" w:sz="4" w:space="0"/>
              <w:bottom w:val="single" w:color="auto" w:sz="4" w:space="0"/>
              <w:right w:val="single" w:color="auto" w:sz="4" w:space="0"/>
            </w:tcBorders>
            <w:vAlign w:val="center"/>
          </w:tcPr>
          <w:p w14:paraId="21D68B18">
            <w:pPr>
              <w:widowControl/>
              <w:spacing w:line="360" w:lineRule="auto"/>
              <w:rPr>
                <w:rFonts w:hint="eastAsia"/>
              </w:rPr>
            </w:pPr>
            <w:r>
              <w:t>POE</w:t>
            </w:r>
            <w:r>
              <w:rPr>
                <w:rFonts w:hint="eastAsia"/>
              </w:rPr>
              <w:t>交换机（</w:t>
            </w:r>
            <w:r>
              <w:t>24</w:t>
            </w:r>
            <w:r>
              <w:rPr>
                <w:rFonts w:hint="eastAsia"/>
              </w:rPr>
              <w:t>口）</w:t>
            </w:r>
          </w:p>
        </w:tc>
        <w:tc>
          <w:tcPr>
            <w:tcW w:w="3085" w:type="pct"/>
            <w:tcBorders>
              <w:top w:val="nil"/>
              <w:left w:val="nil"/>
              <w:bottom w:val="single" w:color="auto" w:sz="4" w:space="0"/>
              <w:right w:val="single" w:color="auto" w:sz="4" w:space="0"/>
            </w:tcBorders>
            <w:vAlign w:val="center"/>
          </w:tcPr>
          <w:p w14:paraId="4819DBE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1.性能要求：交换容量≥672Gbps，包转发率≥171Mpps；</w:t>
            </w:r>
          </w:p>
          <w:p w14:paraId="23174B33">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2.配置要求：提供≥24个10/100/1000BASE-T PoE+电口，提供≥4个1/10GE SFP+端口，支持802.3at/POE+供电标准，单端口最大支持30W，整机POE功率≥400W。配置万兆单模光纤模块≥4个，含配套跳纤。</w:t>
            </w:r>
          </w:p>
          <w:p w14:paraId="4FACA22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3.二层功能：支持MAC地址规格≥32K，支持ARP表项规格≥4K，支持4K个VLAN，支持Voice VLAN，基于端口的VLAN，基于MAC的VLAN，基于协议的VLAN，支持1:1和N:1 VLAN Mapping功能；</w:t>
            </w:r>
          </w:p>
          <w:p w14:paraId="2CD61FC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4.三层功能：支持RIP、RIPng、OSPF、OSPFv3、VRRP、VRRP6等路由协议。支持Ipv4路由FIB表≥4K，Ipv6路由FIB表≥1K；</w:t>
            </w:r>
          </w:p>
          <w:p w14:paraId="2D8D7B5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5.组播:支持IGMP v1/v2/v3 Snooping,支持VLAN内组播转发和组播多VLAN复制,支持捆绑端口的组播负载分担,支持可控组播,基于端口的组播流量统计；</w:t>
            </w:r>
          </w:p>
          <w:p w14:paraId="27C2A4D5">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6.安全:支持防止DOS、ARP攻击功能、ICMP防攻击,支持端口隔离、端口安全、Sticky MAC,支持 IP、MAC、端口、VLAN的组合绑定,支持CPU保护功能,支持DHCP Snooping、DHCPv6 Snooping功能，设备支持MAC、802.1x认证和混合认证，实现用户策略（VLAN、QoS、ACL）的动态下发；</w:t>
            </w:r>
          </w:p>
          <w:p w14:paraId="713A577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7.支持SNMP v1/v2/v3、Telnet、RMON,支持通过命令行、Web、中文图形化配置软件等方式进行配置和管理,支持Telemetry技术；</w:t>
            </w:r>
          </w:p>
          <w:p w14:paraId="3EA2E7E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8.优先选择使用国产化芯片设备。</w:t>
            </w:r>
          </w:p>
        </w:tc>
        <w:tc>
          <w:tcPr>
            <w:tcW w:w="337" w:type="pct"/>
            <w:tcBorders>
              <w:top w:val="nil"/>
              <w:left w:val="nil"/>
              <w:bottom w:val="single" w:color="auto" w:sz="4" w:space="0"/>
              <w:right w:val="single" w:color="auto" w:sz="4" w:space="0"/>
            </w:tcBorders>
            <w:noWrap/>
            <w:vAlign w:val="center"/>
          </w:tcPr>
          <w:p w14:paraId="0AA6FD4F">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26</w:t>
            </w:r>
          </w:p>
        </w:tc>
        <w:tc>
          <w:tcPr>
            <w:tcW w:w="337" w:type="pct"/>
            <w:tcBorders>
              <w:top w:val="nil"/>
              <w:left w:val="nil"/>
              <w:bottom w:val="single" w:color="auto" w:sz="4" w:space="0"/>
              <w:right w:val="single" w:color="auto" w:sz="4" w:space="0"/>
            </w:tcBorders>
            <w:noWrap/>
            <w:vAlign w:val="center"/>
          </w:tcPr>
          <w:p w14:paraId="43506D41">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61FFD4E9">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5CDF86D8">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727" w:type="pct"/>
            <w:tcBorders>
              <w:top w:val="nil"/>
              <w:left w:val="single" w:color="auto" w:sz="4" w:space="0"/>
              <w:bottom w:val="single" w:color="auto" w:sz="4" w:space="0"/>
              <w:right w:val="single" w:color="auto" w:sz="4" w:space="0"/>
            </w:tcBorders>
            <w:vAlign w:val="center"/>
          </w:tcPr>
          <w:p w14:paraId="0644E39D">
            <w:pPr>
              <w:widowControl/>
              <w:spacing w:line="360" w:lineRule="auto"/>
              <w:rPr>
                <w:rFonts w:hint="eastAsia"/>
              </w:rPr>
            </w:pPr>
            <w:r>
              <w:rPr>
                <w:rFonts w:hint="eastAsia"/>
              </w:rPr>
              <w:t>汇聚交换机</w:t>
            </w:r>
          </w:p>
        </w:tc>
        <w:tc>
          <w:tcPr>
            <w:tcW w:w="3085" w:type="pct"/>
            <w:tcBorders>
              <w:top w:val="nil"/>
              <w:left w:val="nil"/>
              <w:bottom w:val="single" w:color="auto" w:sz="4" w:space="0"/>
              <w:right w:val="single" w:color="auto" w:sz="4" w:space="0"/>
            </w:tcBorders>
            <w:vAlign w:val="center"/>
          </w:tcPr>
          <w:p w14:paraId="59477102">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1.性能要求：交换容量≥4.8Tbps，包转发率≥2000Mpps；</w:t>
            </w:r>
          </w:p>
          <w:p w14:paraId="24C74D5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2.配置要求要求：提供≥48个1/10GE SFP+端口，提供≥6个40/100GE QSFP28端口，配置双电源冗余供电。配置100G堆叠线≥1条(长度按需)，配置万兆单模光纤模块≥4个，含配套跳纤。</w:t>
            </w:r>
          </w:p>
          <w:p w14:paraId="0CEEE6D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3.二层功能：支持≥4K个VLAN，支持基于MAC/协议/IP子网/端口的VLAN。支持QinQ、VLAN Stacking、VLAN mapping 、支持MAC表项≥64K；</w:t>
            </w:r>
          </w:p>
          <w:p w14:paraId="441B611C">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4.支持静态路由、RIP 、OSPF、IS-IS、BGP、RIPng、OSPFv3、BGP4+、ISISv6，支持IPv4路由表项≥64K</w:t>
            </w:r>
            <w:r>
              <w:rPr>
                <w:rFonts w:hint="eastAsia"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IPv6路由表项≥32K；</w:t>
            </w:r>
          </w:p>
          <w:p w14:paraId="69694B2E">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5.用户管理：支持统一用户管理功能，屏蔽接入侧差异，支持802.1X/MAC/Portal等多种认证方式，支持对用户进行分组/分域/分时的管理，用户、业务可视可控；</w:t>
            </w:r>
          </w:p>
          <w:p w14:paraId="07762604">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6.VxLAN：支持VxLAN功能，支持BGP EVPN，支持分布式网关，支持VxLAN的自动化部署；</w:t>
            </w:r>
          </w:p>
          <w:p w14:paraId="5A9D160F">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7.支持SNMP v1/v2/v3、Telnet、RMON,支持通过命令行、Web、中文图形化配置软件等方式进行配置和管理,支持Telemetry技术；</w:t>
            </w:r>
          </w:p>
          <w:p w14:paraId="1BDCBB08">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8.优先选择使用国产化芯片设备。</w:t>
            </w:r>
          </w:p>
        </w:tc>
        <w:tc>
          <w:tcPr>
            <w:tcW w:w="337" w:type="pct"/>
            <w:tcBorders>
              <w:top w:val="nil"/>
              <w:left w:val="nil"/>
              <w:bottom w:val="single" w:color="auto" w:sz="4" w:space="0"/>
              <w:right w:val="single" w:color="auto" w:sz="4" w:space="0"/>
            </w:tcBorders>
            <w:noWrap/>
            <w:vAlign w:val="center"/>
          </w:tcPr>
          <w:p w14:paraId="7DFFCFD5">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337" w:type="pct"/>
            <w:tcBorders>
              <w:top w:val="nil"/>
              <w:left w:val="nil"/>
              <w:bottom w:val="single" w:color="auto" w:sz="4" w:space="0"/>
              <w:right w:val="single" w:color="auto" w:sz="4" w:space="0"/>
            </w:tcBorders>
            <w:noWrap/>
            <w:vAlign w:val="center"/>
          </w:tcPr>
          <w:p w14:paraId="59D52BD8">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19ED035B">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19E2B1FE">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727" w:type="pct"/>
            <w:tcBorders>
              <w:top w:val="nil"/>
              <w:left w:val="single" w:color="auto" w:sz="4" w:space="0"/>
              <w:bottom w:val="single" w:color="auto" w:sz="4" w:space="0"/>
              <w:right w:val="single" w:color="auto" w:sz="4" w:space="0"/>
            </w:tcBorders>
            <w:vAlign w:val="center"/>
          </w:tcPr>
          <w:p w14:paraId="28D31FF6">
            <w:pPr>
              <w:widowControl/>
              <w:spacing w:line="360" w:lineRule="auto"/>
              <w:rPr>
                <w:rFonts w:hint="eastAsia"/>
              </w:rPr>
            </w:pPr>
            <w:r>
              <w:rPr>
                <w:rFonts w:hint="eastAsia"/>
              </w:rPr>
              <w:t>内网安全隔离防火墙</w:t>
            </w:r>
          </w:p>
        </w:tc>
        <w:tc>
          <w:tcPr>
            <w:tcW w:w="3085" w:type="pct"/>
            <w:tcBorders>
              <w:top w:val="nil"/>
              <w:left w:val="nil"/>
              <w:bottom w:val="single" w:color="auto" w:sz="4" w:space="0"/>
              <w:right w:val="single" w:color="auto" w:sz="4" w:space="0"/>
            </w:tcBorders>
            <w:vAlign w:val="center"/>
          </w:tcPr>
          <w:p w14:paraId="4E987C39">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1.性能要求：防火墙吞吐量≥10Gbps，最大并发连接数≥300万，每秒新建连接数≥15万；IPS吞吐量≥3Gbps，IPSec VPN吞吐量≥2.1Gbps，SSL VPN吞吐量≥300Mbps，IPSec VPN隧道数≥4000，SSL VPN并发在线用户数≥500；</w:t>
            </w:r>
          </w:p>
          <w:p w14:paraId="4AE2860D">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2.配置要求：标准机架式1U设备，千兆光口≥8，千兆电口≥2，万兆光口≥2。配置SSL VPN授权≥100，虚拟防火墙数量≥100，配置不少于200GB固态硬盘，配置2个冗余交流电源，配置6年IPS入侵防御/AV防病毒/URL过滤功能授权和原厂维保服务；</w:t>
            </w:r>
          </w:p>
          <w:p w14:paraId="467DED2B">
            <w:pPr>
              <w:pStyle w:val="29"/>
              <w:widowControl/>
              <w:numPr>
                <w:ilvl w:val="0"/>
                <w:numId w:val="0"/>
              </w:numPr>
              <w:ind w:leftChars="0"/>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3.双机主备模式故障切换时间&lt;1秒。</w:t>
            </w:r>
          </w:p>
        </w:tc>
        <w:tc>
          <w:tcPr>
            <w:tcW w:w="337" w:type="pct"/>
            <w:tcBorders>
              <w:top w:val="nil"/>
              <w:left w:val="nil"/>
              <w:bottom w:val="single" w:color="auto" w:sz="4" w:space="0"/>
              <w:right w:val="single" w:color="auto" w:sz="4" w:space="0"/>
            </w:tcBorders>
            <w:noWrap/>
            <w:vAlign w:val="center"/>
          </w:tcPr>
          <w:p w14:paraId="68006B6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337" w:type="pct"/>
            <w:tcBorders>
              <w:top w:val="nil"/>
              <w:left w:val="nil"/>
              <w:bottom w:val="single" w:color="auto" w:sz="4" w:space="0"/>
              <w:right w:val="single" w:color="auto" w:sz="4" w:space="0"/>
            </w:tcBorders>
            <w:noWrap/>
            <w:vAlign w:val="center"/>
          </w:tcPr>
          <w:p w14:paraId="73262882">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2B40694F">
        <w:tblPrEx>
          <w:tblCellMar>
            <w:top w:w="0" w:type="dxa"/>
            <w:left w:w="108" w:type="dxa"/>
            <w:bottom w:w="0" w:type="dxa"/>
            <w:right w:w="108" w:type="dxa"/>
          </w:tblCellMar>
        </w:tblPrEx>
        <w:trPr>
          <w:trHeight w:val="1075" w:hRule="atLeast"/>
        </w:trPr>
        <w:tc>
          <w:tcPr>
            <w:tcW w:w="514" w:type="pct"/>
            <w:tcBorders>
              <w:top w:val="nil"/>
              <w:left w:val="single" w:color="auto" w:sz="4" w:space="0"/>
              <w:bottom w:val="single" w:color="auto" w:sz="4" w:space="0"/>
              <w:right w:val="single" w:color="auto" w:sz="4" w:space="0"/>
            </w:tcBorders>
            <w:vAlign w:val="center"/>
          </w:tcPr>
          <w:p w14:paraId="7A5760E5">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727" w:type="pct"/>
            <w:tcBorders>
              <w:top w:val="nil"/>
              <w:left w:val="single" w:color="auto" w:sz="4" w:space="0"/>
              <w:bottom w:val="single" w:color="auto" w:sz="4" w:space="0"/>
              <w:right w:val="single" w:color="auto" w:sz="4" w:space="0"/>
            </w:tcBorders>
            <w:vAlign w:val="center"/>
          </w:tcPr>
          <w:p w14:paraId="052D3C56">
            <w:pPr>
              <w:widowControl/>
              <w:spacing w:line="360" w:lineRule="auto"/>
            </w:pPr>
            <w:r>
              <w:rPr>
                <w:rFonts w:hint="eastAsia"/>
              </w:rPr>
              <w:t>无线控制器许可</w:t>
            </w:r>
          </w:p>
        </w:tc>
        <w:tc>
          <w:tcPr>
            <w:tcW w:w="3085" w:type="pct"/>
            <w:tcBorders>
              <w:top w:val="nil"/>
              <w:left w:val="nil"/>
              <w:bottom w:val="single" w:color="auto" w:sz="4" w:space="0"/>
              <w:right w:val="single" w:color="auto" w:sz="4" w:space="0"/>
            </w:tcBorders>
            <w:vAlign w:val="center"/>
          </w:tcPr>
          <w:p w14:paraId="76560BC1">
            <w:pPr>
              <w:pStyle w:val="29"/>
              <w:widowControl/>
              <w:numPr>
                <w:numId w:val="0"/>
              </w:numPr>
              <w:rPr>
                <w:rFonts w:hint="eastAsia" w:ascii="Calibri" w:hAnsi="Calibri" w:eastAsia="宋体" w:cs="Times New Roman"/>
                <w:kern w:val="2"/>
                <w:sz w:val="21"/>
                <w:szCs w:val="24"/>
                <w:lang w:val="en-US" w:eastAsia="zh-CN" w:bidi="ar-SA"/>
              </w:rPr>
            </w:pPr>
            <w:r>
              <w:rPr>
                <w:rFonts w:hint="eastAsia" w:cs="Times New Roman"/>
                <w:kern w:val="2"/>
                <w:sz w:val="21"/>
                <w:szCs w:val="24"/>
                <w:lang w:val="en-US" w:eastAsia="zh-CN" w:bidi="ar-SA"/>
              </w:rPr>
              <w:t>1.</w:t>
            </w:r>
            <w:r>
              <w:rPr>
                <w:rFonts w:hint="eastAsia" w:ascii="Calibri" w:hAnsi="Calibri" w:eastAsia="宋体" w:cs="Times New Roman"/>
                <w:kern w:val="2"/>
                <w:sz w:val="21"/>
                <w:szCs w:val="24"/>
                <w:lang w:val="en-US" w:eastAsia="zh-CN" w:bidi="ar-SA"/>
              </w:rPr>
              <w:t>医院现有无线控制器为华为 Airengine 9700-M，基于利旧该设备扩容支持 393 台无线接入点的 AP 许可；或为本项目增加 2 台与 AP 品牌匹配的无线控制器，新增控制器性能不低于现有华为 Airengine 9700-M。</w:t>
            </w:r>
          </w:p>
          <w:p w14:paraId="33706E8F">
            <w:pPr>
              <w:pStyle w:val="29"/>
              <w:widowControl/>
              <w:numPr>
                <w:numId w:val="0"/>
              </w:numPr>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2.承建方负责完成新控制器与医院现有管理认证平台的对接调试，确保终端认证流程与体验完全一致，此方案的集成风险与成本由承建方全权承担。</w:t>
            </w:r>
          </w:p>
        </w:tc>
        <w:tc>
          <w:tcPr>
            <w:tcW w:w="337" w:type="pct"/>
            <w:tcBorders>
              <w:top w:val="nil"/>
              <w:left w:val="nil"/>
              <w:bottom w:val="single" w:color="auto" w:sz="4" w:space="0"/>
              <w:right w:val="single" w:color="auto" w:sz="4" w:space="0"/>
            </w:tcBorders>
            <w:noWrap/>
            <w:vAlign w:val="center"/>
          </w:tcPr>
          <w:p w14:paraId="7B4E2A14">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37" w:type="pct"/>
            <w:tcBorders>
              <w:top w:val="nil"/>
              <w:left w:val="nil"/>
              <w:bottom w:val="single" w:color="auto" w:sz="4" w:space="0"/>
              <w:right w:val="single" w:color="auto" w:sz="4" w:space="0"/>
            </w:tcBorders>
            <w:noWrap/>
            <w:vAlign w:val="center"/>
          </w:tcPr>
          <w:p w14:paraId="00B14212">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5B20B4CF">
        <w:tblPrEx>
          <w:tblCellMar>
            <w:top w:w="0" w:type="dxa"/>
            <w:left w:w="108" w:type="dxa"/>
            <w:bottom w:w="0" w:type="dxa"/>
            <w:right w:w="108" w:type="dxa"/>
          </w:tblCellMar>
        </w:tblPrEx>
        <w:trPr>
          <w:trHeight w:val="1425" w:hRule="atLeast"/>
        </w:trPr>
        <w:tc>
          <w:tcPr>
            <w:tcW w:w="1240" w:type="pct"/>
            <w:gridSpan w:val="2"/>
            <w:tcBorders>
              <w:top w:val="single" w:color="auto" w:sz="4" w:space="0"/>
              <w:left w:val="single" w:color="auto" w:sz="4" w:space="0"/>
              <w:bottom w:val="single" w:color="auto" w:sz="4" w:space="0"/>
              <w:right w:val="single" w:color="auto" w:sz="4" w:space="0"/>
            </w:tcBorders>
            <w:vAlign w:val="center"/>
          </w:tcPr>
          <w:p w14:paraId="4DFD5A7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集成服务要求</w:t>
            </w:r>
          </w:p>
        </w:tc>
        <w:tc>
          <w:tcPr>
            <w:tcW w:w="3760" w:type="pct"/>
            <w:gridSpan w:val="3"/>
            <w:tcBorders>
              <w:top w:val="single" w:color="auto" w:sz="4" w:space="0"/>
              <w:left w:val="nil"/>
              <w:bottom w:val="single" w:color="auto" w:sz="4" w:space="0"/>
              <w:right w:val="single" w:color="auto" w:sz="4" w:space="0"/>
            </w:tcBorders>
            <w:vAlign w:val="center"/>
          </w:tcPr>
          <w:p w14:paraId="1A136DA7">
            <w:pPr>
              <w:pStyle w:val="29"/>
              <w:widowControl/>
              <w:numPr>
                <w:numId w:val="0"/>
              </w:numPr>
              <w:rPr>
                <w:rFonts w:hint="eastAsia" w:ascii="Calibri" w:hAnsi="Calibri" w:eastAsia="宋体" w:cs="Times New Roman"/>
                <w:kern w:val="2"/>
                <w:sz w:val="21"/>
                <w:szCs w:val="24"/>
                <w:lang w:val="en-US" w:eastAsia="zh-CN" w:bidi="ar-SA"/>
              </w:rPr>
            </w:pPr>
            <w:r>
              <w:rPr>
                <w:rFonts w:hint="eastAsia" w:cs="Times New Roman"/>
                <w:kern w:val="2"/>
                <w:sz w:val="21"/>
                <w:szCs w:val="24"/>
                <w:lang w:val="en-US" w:eastAsia="zh-CN" w:bidi="ar-SA"/>
              </w:rPr>
              <w:t>1.</w:t>
            </w:r>
            <w:r>
              <w:rPr>
                <w:rFonts w:hint="eastAsia" w:ascii="Calibri" w:hAnsi="Calibri" w:eastAsia="宋体" w:cs="Times New Roman"/>
                <w:kern w:val="2"/>
                <w:sz w:val="21"/>
                <w:szCs w:val="24"/>
                <w:lang w:val="en-US" w:eastAsia="zh-CN" w:bidi="ar-SA"/>
              </w:rPr>
              <w:t>本项目为交钥匙工程，投标人需根据现场实际需求报价；</w:t>
            </w:r>
          </w:p>
          <w:p w14:paraId="344E6661">
            <w:pPr>
              <w:pStyle w:val="29"/>
              <w:widowControl/>
              <w:numPr>
                <w:numId w:val="0"/>
              </w:numPr>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 投标人需根据现场实际需求配置相应光纤模块、光纤跳线、网络跳线等辅材；3. 含设备的安装、调试、测试，及本次改造过程中可能涉及的辅材和割接过程中所有临时材料及人工费用；</w:t>
            </w:r>
          </w:p>
          <w:p w14:paraId="577CB0BF">
            <w:pPr>
              <w:pStyle w:val="29"/>
              <w:widowControl/>
              <w:numPr>
                <w:numId w:val="0"/>
              </w:numPr>
              <w:rPr>
                <w:rFonts w:hint="eastAsia"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4. 现场施工需符合医院医疗场所安全规范，避开诊疗高峰时段，做好施工降噪、防尘措施，不得影响医院正常诊疗工作；</w:t>
            </w:r>
          </w:p>
          <w:p w14:paraId="132DB25F">
            <w:pPr>
              <w:pStyle w:val="29"/>
              <w:widowControl/>
              <w:numPr>
                <w:numId w:val="0"/>
              </w:numPr>
              <w:rPr>
                <w:rFonts w:hint="eastAsia" w:ascii="等线" w:hAnsi="等线" w:eastAsia="等线" w:cs="宋体"/>
                <w:color w:val="000000"/>
                <w:kern w:val="0"/>
                <w:sz w:val="22"/>
                <w:szCs w:val="22"/>
              </w:rPr>
            </w:pPr>
            <w:r>
              <w:rPr>
                <w:rFonts w:hint="eastAsia" w:ascii="Calibri" w:hAnsi="Calibri" w:eastAsia="宋体" w:cs="Times New Roman"/>
                <w:kern w:val="2"/>
                <w:sz w:val="21"/>
                <w:szCs w:val="24"/>
                <w:lang w:val="en-US" w:eastAsia="zh-CN" w:bidi="ar-SA"/>
              </w:rPr>
              <w:t>5. 项目完成后需提供完整的竣工文档（含网络拓扑图、设备配置手册、辅材清单）和测试报告，通过招标人的网络性能验收后方可交付。</w:t>
            </w:r>
            <w:bookmarkStart w:id="1" w:name="_GoBack"/>
            <w:bookmarkEnd w:id="1"/>
          </w:p>
        </w:tc>
      </w:tr>
    </w:tbl>
    <w:p w14:paraId="10C56249"/>
    <w:p w14:paraId="4C9CB5C9">
      <w:pPr>
        <w:widowControl/>
        <w:jc w:val="left"/>
        <w:rPr>
          <w:rFonts w:ascii="Times New Roman Regular" w:hAnsi="Times New Roman Regular" w:cs="Times New Roman Regular"/>
          <w:b/>
          <w:bCs/>
          <w:kern w:val="44"/>
          <w:sz w:val="30"/>
          <w:szCs w:val="30"/>
        </w:rPr>
      </w:pPr>
      <w:r>
        <w:rPr>
          <w:rFonts w:ascii="Times New Roman Regular" w:hAnsi="Times New Roman Regular" w:cs="Times New Roman Regular"/>
          <w:sz w:val="30"/>
          <w:szCs w:val="30"/>
        </w:rPr>
        <w:br w:type="page"/>
      </w:r>
    </w:p>
    <w:p w14:paraId="7F58525F">
      <w:pPr>
        <w:pStyle w:val="3"/>
        <w:numPr>
          <w:ilvl w:val="0"/>
          <w:numId w:val="2"/>
        </w:numPr>
        <w:rPr>
          <w:rFonts w:ascii="Times New Roman Regular" w:hAnsi="Times New Roman Regular" w:cs="Times New Roman Regular"/>
          <w:sz w:val="30"/>
          <w:szCs w:val="30"/>
        </w:rPr>
      </w:pPr>
      <w:r>
        <w:rPr>
          <w:rFonts w:ascii="Times New Roman Regular" w:hAnsi="Times New Roman Regular" w:cs="Times New Roman Regular"/>
          <w:sz w:val="30"/>
          <w:szCs w:val="30"/>
        </w:rPr>
        <w:t>报价要求</w:t>
      </w:r>
    </w:p>
    <w:p w14:paraId="7A5D0E21">
      <w:pPr>
        <w:pStyle w:val="32"/>
        <w:ind w:firstLine="0" w:firstLineChars="0"/>
        <w:jc w:val="left"/>
        <w:rPr>
          <w:rFonts w:hint="eastAsia" w:ascii="宋体" w:hAnsi="宋体" w:eastAsia="宋体"/>
          <w:b/>
          <w:bCs/>
          <w:color w:val="C00000"/>
          <w:sz w:val="44"/>
          <w:szCs w:val="44"/>
        </w:rPr>
      </w:pPr>
      <w:r>
        <w:rPr>
          <w:rFonts w:hint="eastAsia" w:ascii="宋体" w:hAnsi="宋体" w:eastAsia="宋体"/>
          <w:b/>
          <w:bCs/>
          <w:color w:val="C00000"/>
          <w:sz w:val="44"/>
          <w:szCs w:val="44"/>
        </w:rPr>
        <w:t>注意事项：按附件1（市场调查表）进行填报，如漏项、增项、修改项则无效，报价时需有单价、总价、合计，并盖公章。</w:t>
      </w:r>
    </w:p>
    <w:p w14:paraId="5EF3FF7F"/>
    <w:p w14:paraId="519DA08C">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1</w:t>
      </w:r>
      <w:r>
        <w:rPr>
          <w:rFonts w:ascii="Times New Roman Regular" w:hAnsi="Times New Roman Regular" w:eastAsia="宋体" w:cs="Times New Roman Regular"/>
          <w:szCs w:val="28"/>
        </w:rPr>
        <w:t>、</w:t>
      </w:r>
      <w:r>
        <w:rPr>
          <w:rFonts w:hint="eastAsia" w:ascii="Times New Roman Regular" w:hAnsi="Times New Roman Regular" w:eastAsia="宋体" w:cs="Times New Roman Regular"/>
          <w:szCs w:val="28"/>
        </w:rPr>
        <w:t>本项目为交钥匙工程，供应商需综合评估所有风险。报价应包含有可能涉及的所有费用。</w:t>
      </w:r>
    </w:p>
    <w:p w14:paraId="27250CE7">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2、</w:t>
      </w:r>
      <w:r>
        <w:rPr>
          <w:rFonts w:ascii="Times New Roman Regular" w:hAnsi="Times New Roman Regular" w:eastAsia="宋体" w:cs="Times New Roman Regular"/>
          <w:szCs w:val="28"/>
        </w:rPr>
        <w:t>人民币报价，报价包括但不限于人工费、劳务费、保险费、税费、安装调试费等维保单位提供维保服务而产生的所有费用。</w:t>
      </w:r>
    </w:p>
    <w:p w14:paraId="536CBEED">
      <w:pPr>
        <w:pStyle w:val="32"/>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3、提供原厂商6年维保。</w:t>
      </w:r>
    </w:p>
    <w:p w14:paraId="0DE56F1B">
      <w:pPr>
        <w:pStyle w:val="32"/>
        <w:ind w:firstLine="482" w:firstLineChars="200"/>
        <w:jc w:val="left"/>
        <w:rPr>
          <w:rFonts w:hint="eastAsia" w:ascii="宋体" w:hAnsi="宋体" w:eastAsia="宋体"/>
          <w:b/>
          <w:bCs/>
          <w:color w:val="C00000"/>
          <w:szCs w:val="28"/>
        </w:rPr>
      </w:pPr>
      <w:r>
        <w:rPr>
          <w:rFonts w:hint="eastAsia" w:ascii="Times New Roman Regular" w:hAnsi="Times New Roman Regular" w:eastAsia="宋体" w:cs="Times New Roman Regular"/>
          <w:b/>
          <w:bCs/>
          <w:color w:val="C00000"/>
          <w:szCs w:val="28"/>
        </w:rPr>
        <w:t>4、请提供所有调查产品的价格支撑材料，近12个月内的合同复印件（关键页），模糊不清晰的无效。</w:t>
      </w:r>
    </w:p>
    <w:p w14:paraId="35E40C97">
      <w:pPr>
        <w:pStyle w:val="32"/>
        <w:ind w:firstLine="480" w:firstLineChars="200"/>
        <w:jc w:val="left"/>
        <w:rPr>
          <w:rFonts w:ascii="Times New Roman Regular" w:hAnsi="Times New Roman Regular" w:eastAsia="宋体" w:cs="Times New Roman Regular"/>
          <w:szCs w:val="28"/>
        </w:rPr>
      </w:pPr>
    </w:p>
    <w:p w14:paraId="08C3D606">
      <w:pPr>
        <w:pStyle w:val="32"/>
        <w:ind w:firstLine="480" w:firstLineChars="200"/>
        <w:jc w:val="left"/>
        <w:rPr>
          <w:rFonts w:ascii="Times New Roman Regular" w:hAnsi="Times New Roman Regular" w:eastAsia="宋体" w:cs="Times New Roman Regular"/>
          <w:szCs w:val="28"/>
        </w:rPr>
      </w:pPr>
    </w:p>
    <w:p w14:paraId="5BF65D80">
      <w:pPr>
        <w:pStyle w:val="32"/>
        <w:ind w:firstLine="480" w:firstLineChars="200"/>
        <w:jc w:val="left"/>
        <w:rPr>
          <w:rFonts w:hint="eastAsia" w:ascii="宋体" w:hAnsi="宋体" w:eastAsia="宋体"/>
          <w:szCs w:val="28"/>
        </w:rPr>
      </w:pPr>
    </w:p>
    <w:p w14:paraId="63D9D409">
      <w:pPr>
        <w:widowControl/>
        <w:jc w:val="left"/>
        <w:rPr>
          <w:rFonts w:hint="eastAsia" w:ascii="宋体" w:hAnsi="宋体"/>
          <w:kern w:val="0"/>
          <w:sz w:val="24"/>
          <w:szCs w:val="28"/>
        </w:rPr>
      </w:pPr>
      <w:r>
        <w:rPr>
          <w:rFonts w:hint="eastAsia" w:ascii="宋体" w:hAnsi="宋体"/>
          <w:szCs w:val="28"/>
        </w:rPr>
        <w:br w:type="page"/>
      </w:r>
    </w:p>
    <w:p w14:paraId="156DCF9E">
      <w:pPr>
        <w:pStyle w:val="32"/>
        <w:ind w:firstLine="480" w:firstLineChars="200"/>
        <w:jc w:val="left"/>
        <w:rPr>
          <w:rFonts w:hint="eastAsia" w:ascii="宋体" w:hAnsi="宋体" w:eastAsia="宋体"/>
          <w:szCs w:val="28"/>
        </w:rPr>
      </w:pPr>
      <w:r>
        <w:rPr>
          <w:rFonts w:hint="eastAsia" w:ascii="宋体" w:hAnsi="宋体" w:eastAsia="宋体"/>
          <w:szCs w:val="28"/>
        </w:rPr>
        <w:t>附件1.市场调查表</w:t>
      </w:r>
    </w:p>
    <w:tbl>
      <w:tblPr>
        <w:tblStyle w:val="15"/>
        <w:tblpPr w:leftFromText="180" w:rightFromText="180" w:vertAnchor="text" w:horzAnchor="page" w:tblpX="1136" w:tblpY="25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664"/>
        <w:gridCol w:w="790"/>
        <w:gridCol w:w="394"/>
        <w:gridCol w:w="999"/>
        <w:gridCol w:w="1108"/>
        <w:gridCol w:w="657"/>
        <w:gridCol w:w="318"/>
        <w:gridCol w:w="940"/>
        <w:gridCol w:w="998"/>
        <w:gridCol w:w="903"/>
      </w:tblGrid>
      <w:tr w14:paraId="3730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475" w:type="dxa"/>
            <w:gridSpan w:val="11"/>
            <w:vAlign w:val="center"/>
          </w:tcPr>
          <w:p w14:paraId="30C2AB41">
            <w:pPr>
              <w:jc w:val="center"/>
              <w:rPr>
                <w:rFonts w:hint="eastAsia" w:ascii="宋体" w:hAnsi="宋体" w:cs="宋体"/>
                <w:szCs w:val="21"/>
              </w:rPr>
            </w:pPr>
            <w:r>
              <w:rPr>
                <w:rFonts w:hint="eastAsia" w:ascii="宋体" w:hAnsi="宋体" w:cs="宋体"/>
                <w:sz w:val="28"/>
                <w:szCs w:val="28"/>
              </w:rPr>
              <w:t>渝中院区6号楼</w:t>
            </w:r>
            <w:r>
              <w:rPr>
                <w:rFonts w:hint="eastAsia" w:ascii="宋体" w:hAnsi="宋体" w:cs="宋体"/>
                <w:sz w:val="28"/>
                <w:szCs w:val="28"/>
                <w:lang w:val="en-US" w:eastAsia="zh-CN"/>
              </w:rPr>
              <w:t>内网无线</w:t>
            </w:r>
            <w:r>
              <w:rPr>
                <w:rFonts w:hint="eastAsia" w:ascii="宋体" w:hAnsi="宋体" w:cs="宋体"/>
                <w:sz w:val="28"/>
                <w:szCs w:val="28"/>
              </w:rPr>
              <w:t>网络升级改造项目市场调查表</w:t>
            </w:r>
          </w:p>
        </w:tc>
      </w:tr>
      <w:tr w14:paraId="1E66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04" w:type="dxa"/>
            <w:vAlign w:val="center"/>
          </w:tcPr>
          <w:p w14:paraId="5FB815A2">
            <w:pPr>
              <w:jc w:val="center"/>
              <w:rPr>
                <w:rFonts w:hint="eastAsia" w:ascii="宋体" w:hAnsi="宋体" w:cs="宋体"/>
                <w:szCs w:val="21"/>
              </w:rPr>
            </w:pPr>
            <w:r>
              <w:rPr>
                <w:rFonts w:hint="eastAsia" w:ascii="宋体" w:hAnsi="宋体" w:cs="宋体"/>
                <w:szCs w:val="21"/>
              </w:rPr>
              <w:t>序号</w:t>
            </w:r>
          </w:p>
        </w:tc>
        <w:tc>
          <w:tcPr>
            <w:tcW w:w="1664" w:type="dxa"/>
            <w:vAlign w:val="center"/>
          </w:tcPr>
          <w:p w14:paraId="3422DE3D">
            <w:pPr>
              <w:jc w:val="center"/>
              <w:rPr>
                <w:rFonts w:hint="eastAsia" w:ascii="宋体" w:hAnsi="宋体" w:cs="宋体"/>
                <w:szCs w:val="21"/>
              </w:rPr>
            </w:pPr>
            <w:r>
              <w:rPr>
                <w:rFonts w:hint="eastAsia" w:ascii="宋体" w:hAnsi="宋体" w:cs="宋体"/>
                <w:szCs w:val="21"/>
              </w:rPr>
              <w:t>名称</w:t>
            </w:r>
          </w:p>
        </w:tc>
        <w:tc>
          <w:tcPr>
            <w:tcW w:w="1184" w:type="dxa"/>
            <w:gridSpan w:val="2"/>
            <w:vAlign w:val="center"/>
          </w:tcPr>
          <w:p w14:paraId="38B4A3B3">
            <w:pPr>
              <w:jc w:val="center"/>
              <w:rPr>
                <w:rFonts w:hint="eastAsia" w:ascii="宋体" w:hAnsi="宋体" w:cs="宋体"/>
                <w:szCs w:val="21"/>
              </w:rPr>
            </w:pPr>
            <w:r>
              <w:rPr>
                <w:rFonts w:hint="eastAsia" w:ascii="宋体" w:hAnsi="宋体" w:cs="宋体"/>
                <w:szCs w:val="21"/>
              </w:rPr>
              <w:t>品牌、规格型号</w:t>
            </w:r>
          </w:p>
        </w:tc>
        <w:tc>
          <w:tcPr>
            <w:tcW w:w="999" w:type="dxa"/>
            <w:vAlign w:val="center"/>
          </w:tcPr>
          <w:p w14:paraId="04F8E631">
            <w:pPr>
              <w:jc w:val="center"/>
              <w:rPr>
                <w:rFonts w:hint="eastAsia" w:ascii="宋体" w:hAnsi="宋体" w:cs="宋体"/>
                <w:szCs w:val="21"/>
              </w:rPr>
            </w:pPr>
            <w:r>
              <w:rPr>
                <w:rFonts w:hint="eastAsia" w:ascii="宋体" w:hAnsi="宋体" w:cs="宋体"/>
                <w:szCs w:val="21"/>
              </w:rPr>
              <w:t>制造商</w:t>
            </w:r>
          </w:p>
        </w:tc>
        <w:tc>
          <w:tcPr>
            <w:tcW w:w="1108" w:type="dxa"/>
            <w:vAlign w:val="center"/>
          </w:tcPr>
          <w:p w14:paraId="5BA3A94F">
            <w:pPr>
              <w:jc w:val="center"/>
              <w:rPr>
                <w:rFonts w:hint="eastAsia" w:ascii="宋体" w:hAnsi="宋体" w:cs="宋体"/>
                <w:szCs w:val="21"/>
              </w:rPr>
            </w:pPr>
            <w:r>
              <w:rPr>
                <w:rFonts w:hint="eastAsia" w:ascii="宋体" w:hAnsi="宋体" w:cs="宋体"/>
                <w:szCs w:val="21"/>
              </w:rPr>
              <w:t>原产地</w:t>
            </w:r>
          </w:p>
        </w:tc>
        <w:tc>
          <w:tcPr>
            <w:tcW w:w="975" w:type="dxa"/>
            <w:gridSpan w:val="2"/>
            <w:vAlign w:val="center"/>
          </w:tcPr>
          <w:p w14:paraId="30A32ECA">
            <w:pPr>
              <w:jc w:val="center"/>
              <w:rPr>
                <w:rFonts w:hint="eastAsia" w:ascii="宋体" w:hAnsi="宋体" w:cs="宋体"/>
                <w:szCs w:val="21"/>
              </w:rPr>
            </w:pPr>
            <w:r>
              <w:rPr>
                <w:rFonts w:hint="eastAsia" w:ascii="宋体" w:hAnsi="宋体" w:cs="宋体"/>
                <w:szCs w:val="21"/>
              </w:rPr>
              <w:t>数量</w:t>
            </w:r>
          </w:p>
        </w:tc>
        <w:tc>
          <w:tcPr>
            <w:tcW w:w="940" w:type="dxa"/>
            <w:vAlign w:val="center"/>
          </w:tcPr>
          <w:p w14:paraId="7F46D538">
            <w:pPr>
              <w:jc w:val="center"/>
              <w:rPr>
                <w:rFonts w:hint="eastAsia" w:ascii="宋体" w:hAnsi="宋体" w:cs="宋体"/>
                <w:szCs w:val="21"/>
              </w:rPr>
            </w:pPr>
            <w:r>
              <w:rPr>
                <w:rFonts w:hint="eastAsia" w:ascii="宋体" w:hAnsi="宋体" w:cs="宋体"/>
                <w:szCs w:val="21"/>
              </w:rPr>
              <w:t>单价</w:t>
            </w:r>
          </w:p>
        </w:tc>
        <w:tc>
          <w:tcPr>
            <w:tcW w:w="998" w:type="dxa"/>
            <w:vAlign w:val="center"/>
          </w:tcPr>
          <w:p w14:paraId="5B6EBD61">
            <w:pPr>
              <w:jc w:val="center"/>
              <w:rPr>
                <w:rFonts w:hint="eastAsia" w:ascii="宋体" w:hAnsi="宋体" w:cs="宋体"/>
                <w:szCs w:val="21"/>
              </w:rPr>
            </w:pPr>
            <w:r>
              <w:rPr>
                <w:rFonts w:hint="eastAsia" w:ascii="宋体" w:hAnsi="宋体" w:cs="宋体"/>
                <w:szCs w:val="21"/>
              </w:rPr>
              <w:t>合计</w:t>
            </w:r>
          </w:p>
        </w:tc>
        <w:tc>
          <w:tcPr>
            <w:tcW w:w="903" w:type="dxa"/>
            <w:vAlign w:val="center"/>
          </w:tcPr>
          <w:p w14:paraId="0A7E26A5">
            <w:pPr>
              <w:jc w:val="center"/>
              <w:rPr>
                <w:rFonts w:hint="default" w:ascii="宋体" w:hAnsi="宋体" w:eastAsia="宋体" w:cs="宋体"/>
                <w:szCs w:val="21"/>
                <w:lang w:val="en-US" w:eastAsia="zh-CN"/>
              </w:rPr>
            </w:pPr>
            <w:r>
              <w:rPr>
                <w:rFonts w:hint="eastAsia" w:ascii="宋体" w:hAnsi="宋体" w:cs="宋体"/>
                <w:szCs w:val="21"/>
                <w:lang w:val="en-US" w:eastAsia="zh-CN"/>
              </w:rPr>
              <w:t>备注</w:t>
            </w:r>
          </w:p>
        </w:tc>
      </w:tr>
      <w:tr w14:paraId="282C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04" w:type="dxa"/>
            <w:vAlign w:val="center"/>
          </w:tcPr>
          <w:p w14:paraId="22DBD72F">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1</w:t>
            </w:r>
          </w:p>
        </w:tc>
        <w:tc>
          <w:tcPr>
            <w:tcW w:w="1664" w:type="dxa"/>
            <w:vAlign w:val="center"/>
          </w:tcPr>
          <w:p w14:paraId="66DAD98D">
            <w:pPr>
              <w:widowControl/>
              <w:jc w:val="center"/>
              <w:textAlignment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无线接入点（面板型）</w:t>
            </w:r>
          </w:p>
        </w:tc>
        <w:tc>
          <w:tcPr>
            <w:tcW w:w="1184" w:type="dxa"/>
            <w:gridSpan w:val="2"/>
            <w:vAlign w:val="center"/>
          </w:tcPr>
          <w:p w14:paraId="74D8D365">
            <w:pPr>
              <w:jc w:val="center"/>
              <w:rPr>
                <w:rFonts w:hint="eastAsia" w:cs="宋体" w:asciiTheme="minorEastAsia" w:hAnsiTheme="minorEastAsia" w:eastAsiaTheme="minorEastAsia"/>
                <w:szCs w:val="21"/>
              </w:rPr>
            </w:pPr>
          </w:p>
        </w:tc>
        <w:tc>
          <w:tcPr>
            <w:tcW w:w="999" w:type="dxa"/>
            <w:vAlign w:val="center"/>
          </w:tcPr>
          <w:p w14:paraId="3D32B1B1">
            <w:pPr>
              <w:jc w:val="center"/>
              <w:rPr>
                <w:rFonts w:hint="eastAsia" w:cs="宋体" w:asciiTheme="minorEastAsia" w:hAnsiTheme="minorEastAsia" w:eastAsiaTheme="minorEastAsia"/>
                <w:szCs w:val="21"/>
              </w:rPr>
            </w:pPr>
          </w:p>
        </w:tc>
        <w:tc>
          <w:tcPr>
            <w:tcW w:w="1108" w:type="dxa"/>
            <w:vAlign w:val="center"/>
          </w:tcPr>
          <w:p w14:paraId="5CD7B1A2">
            <w:pPr>
              <w:jc w:val="center"/>
              <w:rPr>
                <w:rFonts w:hint="eastAsia" w:cs="宋体" w:asciiTheme="minorEastAsia" w:hAnsiTheme="minorEastAsia" w:eastAsiaTheme="minorEastAsia"/>
                <w:szCs w:val="21"/>
              </w:rPr>
            </w:pPr>
          </w:p>
        </w:tc>
        <w:tc>
          <w:tcPr>
            <w:tcW w:w="975" w:type="dxa"/>
            <w:gridSpan w:val="2"/>
            <w:vAlign w:val="center"/>
          </w:tcPr>
          <w:p w14:paraId="59C687FD">
            <w:pPr>
              <w:jc w:val="center"/>
              <w:rPr>
                <w:rFonts w:hint="eastAsia" w:cs="宋体" w:asciiTheme="minorEastAsia" w:hAnsiTheme="minorEastAsia" w:eastAsiaTheme="minorEastAsia"/>
                <w:szCs w:val="21"/>
              </w:rPr>
            </w:pPr>
            <w:r>
              <w:rPr>
                <w:rFonts w:asciiTheme="minorEastAsia" w:hAnsiTheme="minorEastAsia" w:eastAsiaTheme="minorEastAsia"/>
                <w:szCs w:val="21"/>
              </w:rPr>
              <w:t>273</w:t>
            </w:r>
          </w:p>
        </w:tc>
        <w:tc>
          <w:tcPr>
            <w:tcW w:w="940" w:type="dxa"/>
            <w:vAlign w:val="center"/>
          </w:tcPr>
          <w:p w14:paraId="305BE395">
            <w:pPr>
              <w:jc w:val="center"/>
              <w:rPr>
                <w:rFonts w:hint="eastAsia" w:cs="宋体" w:asciiTheme="minorEastAsia" w:hAnsiTheme="minorEastAsia" w:eastAsiaTheme="minorEastAsia"/>
                <w:szCs w:val="21"/>
              </w:rPr>
            </w:pPr>
          </w:p>
        </w:tc>
        <w:tc>
          <w:tcPr>
            <w:tcW w:w="998" w:type="dxa"/>
            <w:vAlign w:val="center"/>
          </w:tcPr>
          <w:p w14:paraId="50368978">
            <w:pPr>
              <w:jc w:val="center"/>
              <w:rPr>
                <w:rFonts w:hint="eastAsia" w:cs="宋体" w:asciiTheme="minorEastAsia" w:hAnsiTheme="minorEastAsia" w:eastAsiaTheme="minorEastAsia"/>
                <w:szCs w:val="21"/>
              </w:rPr>
            </w:pPr>
          </w:p>
        </w:tc>
        <w:tc>
          <w:tcPr>
            <w:tcW w:w="903" w:type="dxa"/>
            <w:vAlign w:val="center"/>
          </w:tcPr>
          <w:p w14:paraId="06364391">
            <w:pPr>
              <w:jc w:val="center"/>
              <w:rPr>
                <w:rFonts w:hint="eastAsia" w:cs="宋体" w:asciiTheme="minorEastAsia" w:hAnsiTheme="minorEastAsia" w:eastAsiaTheme="minorEastAsia"/>
                <w:szCs w:val="21"/>
              </w:rPr>
            </w:pPr>
          </w:p>
        </w:tc>
      </w:tr>
      <w:tr w14:paraId="4CCA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2FF16356">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2</w:t>
            </w:r>
          </w:p>
        </w:tc>
        <w:tc>
          <w:tcPr>
            <w:tcW w:w="1664" w:type="dxa"/>
            <w:vAlign w:val="center"/>
          </w:tcPr>
          <w:p w14:paraId="5A7C94C3">
            <w:pPr>
              <w:widowControl/>
              <w:jc w:val="center"/>
              <w:textAlignment w:val="center"/>
              <w:rPr>
                <w:rFonts w:hint="eastAsia" w:asciiTheme="minorEastAsia" w:hAnsiTheme="minorEastAsia" w:eastAsiaTheme="minorEastAsia"/>
                <w:szCs w:val="21"/>
              </w:rPr>
            </w:pPr>
            <w:r>
              <w:rPr>
                <w:rFonts w:hint="eastAsia" w:asciiTheme="minorEastAsia" w:hAnsiTheme="minorEastAsia" w:eastAsiaTheme="minorEastAsia"/>
                <w:szCs w:val="21"/>
              </w:rPr>
              <w:t>无线接入点（吸顶型）</w:t>
            </w:r>
          </w:p>
        </w:tc>
        <w:tc>
          <w:tcPr>
            <w:tcW w:w="1184" w:type="dxa"/>
            <w:gridSpan w:val="2"/>
            <w:vAlign w:val="center"/>
          </w:tcPr>
          <w:p w14:paraId="7863D15B">
            <w:pPr>
              <w:jc w:val="center"/>
              <w:rPr>
                <w:rFonts w:hint="eastAsia" w:cs="宋体" w:asciiTheme="minorEastAsia" w:hAnsiTheme="minorEastAsia" w:eastAsiaTheme="minorEastAsia"/>
                <w:szCs w:val="21"/>
              </w:rPr>
            </w:pPr>
          </w:p>
        </w:tc>
        <w:tc>
          <w:tcPr>
            <w:tcW w:w="999" w:type="dxa"/>
            <w:vAlign w:val="center"/>
          </w:tcPr>
          <w:p w14:paraId="28638C11">
            <w:pPr>
              <w:jc w:val="center"/>
              <w:rPr>
                <w:rFonts w:hint="eastAsia" w:cs="宋体" w:asciiTheme="minorEastAsia" w:hAnsiTheme="minorEastAsia" w:eastAsiaTheme="minorEastAsia"/>
                <w:szCs w:val="21"/>
              </w:rPr>
            </w:pPr>
          </w:p>
        </w:tc>
        <w:tc>
          <w:tcPr>
            <w:tcW w:w="1108" w:type="dxa"/>
            <w:vAlign w:val="center"/>
          </w:tcPr>
          <w:p w14:paraId="0E013355">
            <w:pPr>
              <w:jc w:val="center"/>
              <w:rPr>
                <w:rFonts w:hint="eastAsia" w:cs="宋体" w:asciiTheme="minorEastAsia" w:hAnsiTheme="minorEastAsia" w:eastAsiaTheme="minorEastAsia"/>
                <w:szCs w:val="21"/>
              </w:rPr>
            </w:pPr>
          </w:p>
        </w:tc>
        <w:tc>
          <w:tcPr>
            <w:tcW w:w="975" w:type="dxa"/>
            <w:gridSpan w:val="2"/>
            <w:vAlign w:val="center"/>
          </w:tcPr>
          <w:p w14:paraId="5F1AFE79">
            <w:pPr>
              <w:tabs>
                <w:tab w:val="left" w:pos="390"/>
                <w:tab w:val="center" w:pos="484"/>
              </w:tabs>
              <w:jc w:val="center"/>
              <w:rPr>
                <w:rFonts w:hint="eastAsia" w:asciiTheme="minorEastAsia" w:hAnsiTheme="minorEastAsia" w:eastAsiaTheme="minorEastAsia"/>
                <w:szCs w:val="21"/>
              </w:rPr>
            </w:pPr>
            <w:r>
              <w:rPr>
                <w:rFonts w:asciiTheme="minorEastAsia" w:hAnsiTheme="minorEastAsia" w:eastAsiaTheme="minorEastAsia"/>
                <w:szCs w:val="21"/>
              </w:rPr>
              <w:t>120</w:t>
            </w:r>
          </w:p>
        </w:tc>
        <w:tc>
          <w:tcPr>
            <w:tcW w:w="940" w:type="dxa"/>
            <w:vAlign w:val="center"/>
          </w:tcPr>
          <w:p w14:paraId="29A14372">
            <w:pPr>
              <w:jc w:val="center"/>
              <w:rPr>
                <w:rFonts w:hint="eastAsia" w:cs="宋体" w:asciiTheme="minorEastAsia" w:hAnsiTheme="minorEastAsia" w:eastAsiaTheme="minorEastAsia"/>
                <w:szCs w:val="21"/>
              </w:rPr>
            </w:pPr>
          </w:p>
        </w:tc>
        <w:tc>
          <w:tcPr>
            <w:tcW w:w="998" w:type="dxa"/>
            <w:vAlign w:val="center"/>
          </w:tcPr>
          <w:p w14:paraId="2AA53DF0">
            <w:pPr>
              <w:jc w:val="center"/>
              <w:rPr>
                <w:rFonts w:hint="eastAsia" w:cs="宋体" w:asciiTheme="minorEastAsia" w:hAnsiTheme="minorEastAsia" w:eastAsiaTheme="minorEastAsia"/>
                <w:szCs w:val="21"/>
              </w:rPr>
            </w:pPr>
          </w:p>
        </w:tc>
        <w:tc>
          <w:tcPr>
            <w:tcW w:w="903" w:type="dxa"/>
            <w:vAlign w:val="center"/>
          </w:tcPr>
          <w:p w14:paraId="0C426199">
            <w:pPr>
              <w:jc w:val="center"/>
              <w:rPr>
                <w:rFonts w:hint="eastAsia" w:cs="宋体" w:asciiTheme="minorEastAsia" w:hAnsiTheme="minorEastAsia" w:eastAsiaTheme="minorEastAsia"/>
                <w:szCs w:val="21"/>
              </w:rPr>
            </w:pPr>
          </w:p>
        </w:tc>
      </w:tr>
      <w:tr w14:paraId="39DE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356DC90C">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3</w:t>
            </w:r>
          </w:p>
        </w:tc>
        <w:tc>
          <w:tcPr>
            <w:tcW w:w="1664" w:type="dxa"/>
            <w:vAlign w:val="center"/>
          </w:tcPr>
          <w:p w14:paraId="4FC69C5D">
            <w:pPr>
              <w:widowControl/>
              <w:jc w:val="center"/>
              <w:textAlignment w:val="center"/>
              <w:rPr>
                <w:rFonts w:hint="eastAsia" w:asciiTheme="minorEastAsia" w:hAnsiTheme="minorEastAsia" w:eastAsiaTheme="minorEastAsia"/>
                <w:szCs w:val="21"/>
              </w:rPr>
            </w:pPr>
            <w:r>
              <w:rPr>
                <w:rFonts w:asciiTheme="minorEastAsia" w:hAnsiTheme="minorEastAsia" w:eastAsiaTheme="minorEastAsia"/>
                <w:szCs w:val="21"/>
              </w:rPr>
              <w:t>POE</w:t>
            </w:r>
            <w:r>
              <w:rPr>
                <w:rFonts w:hint="eastAsia" w:asciiTheme="minorEastAsia" w:hAnsiTheme="minorEastAsia" w:eastAsiaTheme="minorEastAsia"/>
                <w:szCs w:val="21"/>
              </w:rPr>
              <w:t>交换机（</w:t>
            </w:r>
            <w:r>
              <w:rPr>
                <w:rFonts w:asciiTheme="minorEastAsia" w:hAnsiTheme="minorEastAsia" w:eastAsiaTheme="minorEastAsia"/>
                <w:szCs w:val="21"/>
              </w:rPr>
              <w:t>24</w:t>
            </w:r>
            <w:r>
              <w:rPr>
                <w:rFonts w:hint="eastAsia" w:asciiTheme="minorEastAsia" w:hAnsiTheme="minorEastAsia" w:eastAsiaTheme="minorEastAsia"/>
                <w:szCs w:val="21"/>
              </w:rPr>
              <w:t>口）</w:t>
            </w:r>
          </w:p>
        </w:tc>
        <w:tc>
          <w:tcPr>
            <w:tcW w:w="1184" w:type="dxa"/>
            <w:gridSpan w:val="2"/>
            <w:vAlign w:val="center"/>
          </w:tcPr>
          <w:p w14:paraId="11696ECF">
            <w:pPr>
              <w:jc w:val="center"/>
              <w:rPr>
                <w:rFonts w:hint="eastAsia" w:cs="宋体" w:asciiTheme="minorEastAsia" w:hAnsiTheme="minorEastAsia" w:eastAsiaTheme="minorEastAsia"/>
                <w:szCs w:val="21"/>
              </w:rPr>
            </w:pPr>
          </w:p>
        </w:tc>
        <w:tc>
          <w:tcPr>
            <w:tcW w:w="999" w:type="dxa"/>
            <w:vAlign w:val="center"/>
          </w:tcPr>
          <w:p w14:paraId="14CCB892">
            <w:pPr>
              <w:jc w:val="center"/>
              <w:rPr>
                <w:rFonts w:hint="eastAsia" w:cs="宋体" w:asciiTheme="minorEastAsia" w:hAnsiTheme="minorEastAsia" w:eastAsiaTheme="minorEastAsia"/>
                <w:szCs w:val="21"/>
              </w:rPr>
            </w:pPr>
          </w:p>
        </w:tc>
        <w:tc>
          <w:tcPr>
            <w:tcW w:w="1108" w:type="dxa"/>
            <w:vAlign w:val="center"/>
          </w:tcPr>
          <w:p w14:paraId="0CD16374">
            <w:pPr>
              <w:jc w:val="center"/>
              <w:rPr>
                <w:rFonts w:hint="eastAsia" w:cs="宋体" w:asciiTheme="minorEastAsia" w:hAnsiTheme="minorEastAsia" w:eastAsiaTheme="minorEastAsia"/>
                <w:szCs w:val="21"/>
              </w:rPr>
            </w:pPr>
          </w:p>
        </w:tc>
        <w:tc>
          <w:tcPr>
            <w:tcW w:w="975" w:type="dxa"/>
            <w:gridSpan w:val="2"/>
            <w:vAlign w:val="center"/>
          </w:tcPr>
          <w:p w14:paraId="57E10546">
            <w:pPr>
              <w:tabs>
                <w:tab w:val="left" w:pos="390"/>
                <w:tab w:val="center" w:pos="484"/>
              </w:tabs>
              <w:jc w:val="center"/>
              <w:rPr>
                <w:rFonts w:hint="eastAsia" w:asciiTheme="minorEastAsia" w:hAnsiTheme="minorEastAsia" w:eastAsiaTheme="minorEastAsia"/>
                <w:szCs w:val="21"/>
              </w:rPr>
            </w:pPr>
            <w:r>
              <w:rPr>
                <w:rFonts w:asciiTheme="minorEastAsia" w:hAnsiTheme="minorEastAsia" w:eastAsiaTheme="minorEastAsia"/>
                <w:szCs w:val="21"/>
              </w:rPr>
              <w:t>26</w:t>
            </w:r>
          </w:p>
        </w:tc>
        <w:tc>
          <w:tcPr>
            <w:tcW w:w="940" w:type="dxa"/>
            <w:vAlign w:val="center"/>
          </w:tcPr>
          <w:p w14:paraId="6E9427BE">
            <w:pPr>
              <w:jc w:val="center"/>
              <w:rPr>
                <w:rFonts w:hint="eastAsia" w:cs="宋体" w:asciiTheme="minorEastAsia" w:hAnsiTheme="minorEastAsia" w:eastAsiaTheme="minorEastAsia"/>
                <w:szCs w:val="21"/>
              </w:rPr>
            </w:pPr>
          </w:p>
        </w:tc>
        <w:tc>
          <w:tcPr>
            <w:tcW w:w="998" w:type="dxa"/>
            <w:vAlign w:val="center"/>
          </w:tcPr>
          <w:p w14:paraId="44C591A5">
            <w:pPr>
              <w:jc w:val="center"/>
              <w:rPr>
                <w:rFonts w:hint="eastAsia" w:cs="宋体" w:asciiTheme="minorEastAsia" w:hAnsiTheme="minorEastAsia" w:eastAsiaTheme="minorEastAsia"/>
                <w:szCs w:val="21"/>
              </w:rPr>
            </w:pPr>
          </w:p>
        </w:tc>
        <w:tc>
          <w:tcPr>
            <w:tcW w:w="903" w:type="dxa"/>
            <w:vAlign w:val="center"/>
          </w:tcPr>
          <w:p w14:paraId="538B87F8">
            <w:pPr>
              <w:jc w:val="center"/>
              <w:rPr>
                <w:rFonts w:hint="eastAsia" w:cs="宋体" w:asciiTheme="minorEastAsia" w:hAnsiTheme="minorEastAsia" w:eastAsiaTheme="minorEastAsia"/>
                <w:szCs w:val="21"/>
              </w:rPr>
            </w:pPr>
          </w:p>
        </w:tc>
      </w:tr>
      <w:tr w14:paraId="7194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14539B67">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4</w:t>
            </w:r>
          </w:p>
        </w:tc>
        <w:tc>
          <w:tcPr>
            <w:tcW w:w="1664" w:type="dxa"/>
            <w:vAlign w:val="center"/>
          </w:tcPr>
          <w:p w14:paraId="667D7856">
            <w:pPr>
              <w:widowControl/>
              <w:jc w:val="center"/>
              <w:textAlignment w:val="center"/>
              <w:rPr>
                <w:rFonts w:hint="eastAsia" w:asciiTheme="minorEastAsia" w:hAnsiTheme="minorEastAsia" w:eastAsiaTheme="minorEastAsia"/>
                <w:szCs w:val="21"/>
              </w:rPr>
            </w:pPr>
            <w:r>
              <w:rPr>
                <w:rFonts w:hint="eastAsia" w:asciiTheme="minorEastAsia" w:hAnsiTheme="minorEastAsia" w:eastAsiaTheme="minorEastAsia"/>
                <w:szCs w:val="21"/>
              </w:rPr>
              <w:t>汇聚交换机</w:t>
            </w:r>
          </w:p>
        </w:tc>
        <w:tc>
          <w:tcPr>
            <w:tcW w:w="1184" w:type="dxa"/>
            <w:gridSpan w:val="2"/>
            <w:vAlign w:val="center"/>
          </w:tcPr>
          <w:p w14:paraId="767E64BD">
            <w:pPr>
              <w:jc w:val="center"/>
              <w:rPr>
                <w:rFonts w:hint="eastAsia" w:cs="宋体" w:asciiTheme="minorEastAsia" w:hAnsiTheme="minorEastAsia" w:eastAsiaTheme="minorEastAsia"/>
                <w:szCs w:val="21"/>
              </w:rPr>
            </w:pPr>
          </w:p>
        </w:tc>
        <w:tc>
          <w:tcPr>
            <w:tcW w:w="999" w:type="dxa"/>
            <w:vAlign w:val="center"/>
          </w:tcPr>
          <w:p w14:paraId="69EB9D45">
            <w:pPr>
              <w:jc w:val="center"/>
              <w:rPr>
                <w:rFonts w:hint="eastAsia" w:cs="宋体" w:asciiTheme="minorEastAsia" w:hAnsiTheme="minorEastAsia" w:eastAsiaTheme="minorEastAsia"/>
                <w:szCs w:val="21"/>
              </w:rPr>
            </w:pPr>
          </w:p>
        </w:tc>
        <w:tc>
          <w:tcPr>
            <w:tcW w:w="1108" w:type="dxa"/>
            <w:vAlign w:val="center"/>
          </w:tcPr>
          <w:p w14:paraId="0EFD4E97">
            <w:pPr>
              <w:jc w:val="center"/>
              <w:rPr>
                <w:rFonts w:hint="eastAsia" w:cs="宋体" w:asciiTheme="minorEastAsia" w:hAnsiTheme="minorEastAsia" w:eastAsiaTheme="minorEastAsia"/>
                <w:szCs w:val="21"/>
              </w:rPr>
            </w:pPr>
          </w:p>
        </w:tc>
        <w:tc>
          <w:tcPr>
            <w:tcW w:w="975" w:type="dxa"/>
            <w:gridSpan w:val="2"/>
            <w:vAlign w:val="center"/>
          </w:tcPr>
          <w:p w14:paraId="26BCA743">
            <w:pPr>
              <w:tabs>
                <w:tab w:val="left" w:pos="390"/>
                <w:tab w:val="center" w:pos="484"/>
              </w:tabs>
              <w:jc w:val="center"/>
              <w:rPr>
                <w:rFonts w:hint="eastAsia" w:asciiTheme="minorEastAsia" w:hAnsiTheme="minorEastAsia" w:eastAsiaTheme="minorEastAsia"/>
                <w:szCs w:val="21"/>
              </w:rPr>
            </w:pPr>
            <w:r>
              <w:rPr>
                <w:rFonts w:asciiTheme="minorEastAsia" w:hAnsiTheme="minorEastAsia" w:eastAsiaTheme="minorEastAsia"/>
                <w:szCs w:val="21"/>
              </w:rPr>
              <w:t>2</w:t>
            </w:r>
          </w:p>
        </w:tc>
        <w:tc>
          <w:tcPr>
            <w:tcW w:w="940" w:type="dxa"/>
            <w:vAlign w:val="center"/>
          </w:tcPr>
          <w:p w14:paraId="2E6975DB">
            <w:pPr>
              <w:jc w:val="center"/>
              <w:rPr>
                <w:rFonts w:hint="eastAsia" w:cs="宋体" w:asciiTheme="minorEastAsia" w:hAnsiTheme="minorEastAsia" w:eastAsiaTheme="minorEastAsia"/>
                <w:szCs w:val="21"/>
              </w:rPr>
            </w:pPr>
          </w:p>
        </w:tc>
        <w:tc>
          <w:tcPr>
            <w:tcW w:w="998" w:type="dxa"/>
            <w:vAlign w:val="center"/>
          </w:tcPr>
          <w:p w14:paraId="1EDB1519">
            <w:pPr>
              <w:jc w:val="center"/>
              <w:rPr>
                <w:rFonts w:hint="eastAsia" w:cs="宋体" w:asciiTheme="minorEastAsia" w:hAnsiTheme="minorEastAsia" w:eastAsiaTheme="minorEastAsia"/>
                <w:szCs w:val="21"/>
              </w:rPr>
            </w:pPr>
          </w:p>
        </w:tc>
        <w:tc>
          <w:tcPr>
            <w:tcW w:w="903" w:type="dxa"/>
            <w:vAlign w:val="center"/>
          </w:tcPr>
          <w:p w14:paraId="796106FB">
            <w:pPr>
              <w:jc w:val="center"/>
              <w:rPr>
                <w:rFonts w:hint="eastAsia" w:cs="宋体" w:asciiTheme="minorEastAsia" w:hAnsiTheme="minorEastAsia" w:eastAsiaTheme="minorEastAsia"/>
                <w:szCs w:val="21"/>
              </w:rPr>
            </w:pPr>
          </w:p>
        </w:tc>
      </w:tr>
      <w:tr w14:paraId="101E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4C7BF2F1">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5</w:t>
            </w:r>
          </w:p>
        </w:tc>
        <w:tc>
          <w:tcPr>
            <w:tcW w:w="1664" w:type="dxa"/>
            <w:vAlign w:val="center"/>
          </w:tcPr>
          <w:p w14:paraId="4A23EB35">
            <w:pPr>
              <w:widowControl/>
              <w:jc w:val="center"/>
              <w:textAlignment w:val="center"/>
              <w:rPr>
                <w:rFonts w:asciiTheme="minorEastAsia" w:hAnsiTheme="minorEastAsia" w:eastAsiaTheme="minorEastAsia"/>
                <w:szCs w:val="21"/>
              </w:rPr>
            </w:pPr>
            <w:r>
              <w:rPr>
                <w:rFonts w:hint="eastAsia" w:asciiTheme="minorEastAsia" w:hAnsiTheme="minorEastAsia" w:eastAsiaTheme="minorEastAsia"/>
                <w:szCs w:val="21"/>
              </w:rPr>
              <w:t>内网安全隔离防火墙</w:t>
            </w:r>
          </w:p>
        </w:tc>
        <w:tc>
          <w:tcPr>
            <w:tcW w:w="1184" w:type="dxa"/>
            <w:gridSpan w:val="2"/>
            <w:vAlign w:val="center"/>
          </w:tcPr>
          <w:p w14:paraId="5F031A0F">
            <w:pPr>
              <w:jc w:val="center"/>
              <w:rPr>
                <w:rFonts w:hint="eastAsia" w:cs="宋体" w:asciiTheme="minorEastAsia" w:hAnsiTheme="minorEastAsia" w:eastAsiaTheme="minorEastAsia"/>
                <w:szCs w:val="21"/>
              </w:rPr>
            </w:pPr>
          </w:p>
        </w:tc>
        <w:tc>
          <w:tcPr>
            <w:tcW w:w="999" w:type="dxa"/>
            <w:vAlign w:val="center"/>
          </w:tcPr>
          <w:p w14:paraId="150B8812">
            <w:pPr>
              <w:jc w:val="center"/>
              <w:rPr>
                <w:rFonts w:hint="eastAsia" w:cs="宋体" w:asciiTheme="minorEastAsia" w:hAnsiTheme="minorEastAsia" w:eastAsiaTheme="minorEastAsia"/>
                <w:szCs w:val="21"/>
              </w:rPr>
            </w:pPr>
          </w:p>
        </w:tc>
        <w:tc>
          <w:tcPr>
            <w:tcW w:w="1108" w:type="dxa"/>
            <w:vAlign w:val="center"/>
          </w:tcPr>
          <w:p w14:paraId="766FCD1D">
            <w:pPr>
              <w:jc w:val="center"/>
              <w:rPr>
                <w:rFonts w:hint="eastAsia" w:cs="宋体" w:asciiTheme="minorEastAsia" w:hAnsiTheme="minorEastAsia" w:eastAsiaTheme="minorEastAsia"/>
                <w:szCs w:val="21"/>
              </w:rPr>
            </w:pPr>
          </w:p>
        </w:tc>
        <w:tc>
          <w:tcPr>
            <w:tcW w:w="975" w:type="dxa"/>
            <w:gridSpan w:val="2"/>
            <w:vAlign w:val="center"/>
          </w:tcPr>
          <w:p w14:paraId="3A1CC2AD">
            <w:pPr>
              <w:tabs>
                <w:tab w:val="left" w:pos="390"/>
                <w:tab w:val="center" w:pos="484"/>
              </w:tabs>
              <w:jc w:val="center"/>
              <w:rPr>
                <w:rFonts w:hint="eastAsia" w:cs="宋体" w:asciiTheme="minorEastAsia" w:hAnsiTheme="minorEastAsia" w:eastAsiaTheme="minorEastAsia"/>
                <w:szCs w:val="21"/>
              </w:rPr>
            </w:pPr>
            <w:r>
              <w:rPr>
                <w:rFonts w:asciiTheme="minorEastAsia" w:hAnsiTheme="minorEastAsia" w:eastAsiaTheme="minorEastAsia"/>
                <w:szCs w:val="21"/>
              </w:rPr>
              <w:t>2</w:t>
            </w:r>
          </w:p>
        </w:tc>
        <w:tc>
          <w:tcPr>
            <w:tcW w:w="940" w:type="dxa"/>
            <w:vAlign w:val="center"/>
          </w:tcPr>
          <w:p w14:paraId="7C654B79">
            <w:pPr>
              <w:jc w:val="center"/>
              <w:rPr>
                <w:rFonts w:hint="eastAsia" w:cs="宋体" w:asciiTheme="minorEastAsia" w:hAnsiTheme="minorEastAsia" w:eastAsiaTheme="minorEastAsia"/>
                <w:szCs w:val="21"/>
              </w:rPr>
            </w:pPr>
          </w:p>
        </w:tc>
        <w:tc>
          <w:tcPr>
            <w:tcW w:w="998" w:type="dxa"/>
            <w:vAlign w:val="center"/>
          </w:tcPr>
          <w:p w14:paraId="550D5EFC">
            <w:pPr>
              <w:jc w:val="center"/>
              <w:rPr>
                <w:rFonts w:hint="eastAsia" w:cs="宋体" w:asciiTheme="minorEastAsia" w:hAnsiTheme="minorEastAsia" w:eastAsiaTheme="minorEastAsia"/>
                <w:szCs w:val="21"/>
              </w:rPr>
            </w:pPr>
          </w:p>
        </w:tc>
        <w:tc>
          <w:tcPr>
            <w:tcW w:w="903" w:type="dxa"/>
            <w:vAlign w:val="center"/>
          </w:tcPr>
          <w:p w14:paraId="01068B07">
            <w:pPr>
              <w:jc w:val="center"/>
              <w:rPr>
                <w:rFonts w:hint="eastAsia" w:cs="宋体" w:asciiTheme="minorEastAsia" w:hAnsiTheme="minorEastAsia" w:eastAsiaTheme="minorEastAsia"/>
                <w:szCs w:val="21"/>
              </w:rPr>
            </w:pPr>
          </w:p>
        </w:tc>
      </w:tr>
      <w:tr w14:paraId="5413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7E9D5DB7">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6</w:t>
            </w:r>
          </w:p>
        </w:tc>
        <w:tc>
          <w:tcPr>
            <w:tcW w:w="1664" w:type="dxa"/>
            <w:vAlign w:val="center"/>
          </w:tcPr>
          <w:p w14:paraId="76213A07">
            <w:pPr>
              <w:widowControl/>
              <w:jc w:val="center"/>
              <w:textAlignment w:val="center"/>
              <w:rPr>
                <w:rFonts w:hint="eastAsia" w:cs="宋体" w:asciiTheme="minorEastAsia" w:hAnsiTheme="minorEastAsia" w:eastAsiaTheme="minorEastAsia"/>
                <w:szCs w:val="21"/>
              </w:rPr>
            </w:pPr>
            <w:r>
              <w:rPr>
                <w:rFonts w:hint="eastAsia" w:asciiTheme="minorEastAsia" w:hAnsiTheme="minorEastAsia" w:eastAsiaTheme="minorEastAsia"/>
                <w:szCs w:val="21"/>
              </w:rPr>
              <w:t>无线控制器许可</w:t>
            </w:r>
          </w:p>
        </w:tc>
        <w:tc>
          <w:tcPr>
            <w:tcW w:w="1184" w:type="dxa"/>
            <w:gridSpan w:val="2"/>
            <w:vAlign w:val="center"/>
          </w:tcPr>
          <w:p w14:paraId="73BC04D1">
            <w:pPr>
              <w:jc w:val="center"/>
              <w:rPr>
                <w:rFonts w:hint="eastAsia" w:cs="宋体" w:asciiTheme="minorEastAsia" w:hAnsiTheme="minorEastAsia" w:eastAsiaTheme="minorEastAsia"/>
                <w:szCs w:val="21"/>
              </w:rPr>
            </w:pPr>
          </w:p>
        </w:tc>
        <w:tc>
          <w:tcPr>
            <w:tcW w:w="999" w:type="dxa"/>
            <w:vAlign w:val="center"/>
          </w:tcPr>
          <w:p w14:paraId="0F11C3E2">
            <w:pPr>
              <w:jc w:val="center"/>
              <w:rPr>
                <w:rFonts w:hint="eastAsia" w:cs="宋体" w:asciiTheme="minorEastAsia" w:hAnsiTheme="minorEastAsia" w:eastAsiaTheme="minorEastAsia"/>
                <w:szCs w:val="21"/>
              </w:rPr>
            </w:pPr>
          </w:p>
        </w:tc>
        <w:tc>
          <w:tcPr>
            <w:tcW w:w="1108" w:type="dxa"/>
            <w:vAlign w:val="center"/>
          </w:tcPr>
          <w:p w14:paraId="3794759E">
            <w:pPr>
              <w:jc w:val="center"/>
              <w:rPr>
                <w:rFonts w:hint="eastAsia" w:cs="宋体" w:asciiTheme="minorEastAsia" w:hAnsiTheme="minorEastAsia" w:eastAsiaTheme="minorEastAsia"/>
                <w:szCs w:val="21"/>
              </w:rPr>
            </w:pPr>
          </w:p>
        </w:tc>
        <w:tc>
          <w:tcPr>
            <w:tcW w:w="975" w:type="dxa"/>
            <w:gridSpan w:val="2"/>
            <w:vAlign w:val="center"/>
          </w:tcPr>
          <w:p w14:paraId="5570F0EF">
            <w:pPr>
              <w:jc w:val="center"/>
              <w:rPr>
                <w:rFonts w:hint="eastAsia" w:cs="宋体" w:asciiTheme="minorEastAsia" w:hAnsiTheme="minorEastAsia" w:eastAsiaTheme="minorEastAsia"/>
                <w:szCs w:val="21"/>
              </w:rPr>
            </w:pPr>
            <w:r>
              <w:rPr>
                <w:rFonts w:asciiTheme="minorEastAsia" w:hAnsiTheme="minorEastAsia" w:eastAsiaTheme="minorEastAsia"/>
                <w:szCs w:val="21"/>
              </w:rPr>
              <w:t>1</w:t>
            </w:r>
          </w:p>
        </w:tc>
        <w:tc>
          <w:tcPr>
            <w:tcW w:w="940" w:type="dxa"/>
            <w:vAlign w:val="center"/>
          </w:tcPr>
          <w:p w14:paraId="68D7E60D">
            <w:pPr>
              <w:jc w:val="center"/>
              <w:rPr>
                <w:rFonts w:hint="eastAsia" w:cs="宋体" w:asciiTheme="minorEastAsia" w:hAnsiTheme="minorEastAsia" w:eastAsiaTheme="minorEastAsia"/>
                <w:szCs w:val="21"/>
              </w:rPr>
            </w:pPr>
          </w:p>
        </w:tc>
        <w:tc>
          <w:tcPr>
            <w:tcW w:w="998" w:type="dxa"/>
            <w:vAlign w:val="center"/>
          </w:tcPr>
          <w:p w14:paraId="3DA169C6">
            <w:pPr>
              <w:jc w:val="center"/>
              <w:rPr>
                <w:rFonts w:hint="eastAsia" w:cs="宋体" w:asciiTheme="minorEastAsia" w:hAnsiTheme="minorEastAsia" w:eastAsiaTheme="minorEastAsia"/>
                <w:szCs w:val="21"/>
              </w:rPr>
            </w:pPr>
          </w:p>
        </w:tc>
        <w:tc>
          <w:tcPr>
            <w:tcW w:w="903" w:type="dxa"/>
            <w:vAlign w:val="center"/>
          </w:tcPr>
          <w:p w14:paraId="0D32D1F1">
            <w:pPr>
              <w:jc w:val="center"/>
              <w:rPr>
                <w:rFonts w:hint="eastAsia" w:cs="宋体" w:asciiTheme="minorEastAsia" w:hAnsiTheme="minorEastAsia" w:eastAsiaTheme="minorEastAsia"/>
                <w:szCs w:val="21"/>
              </w:rPr>
            </w:pPr>
          </w:p>
        </w:tc>
      </w:tr>
      <w:tr w14:paraId="6E17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4" w:type="dxa"/>
            <w:vAlign w:val="center"/>
          </w:tcPr>
          <w:p w14:paraId="2CA6EFBE">
            <w:pPr>
              <w:jc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7</w:t>
            </w:r>
          </w:p>
        </w:tc>
        <w:tc>
          <w:tcPr>
            <w:tcW w:w="1664" w:type="dxa"/>
            <w:vAlign w:val="center"/>
          </w:tcPr>
          <w:p w14:paraId="1B481994">
            <w:pPr>
              <w:widowControl/>
              <w:jc w:val="center"/>
              <w:textAlignment w:val="center"/>
              <w:rPr>
                <w:rFonts w:hint="eastAsia" w:cs="宋体" w:asciiTheme="minorEastAsia" w:hAnsiTheme="minorEastAsia" w:eastAsiaTheme="minorEastAsia"/>
                <w:szCs w:val="21"/>
              </w:rPr>
            </w:pPr>
            <w:r>
              <w:rPr>
                <w:rFonts w:hint="eastAsia" w:cs="宋体" w:asciiTheme="minorEastAsia" w:hAnsiTheme="minorEastAsia" w:eastAsiaTheme="minorEastAsia"/>
                <w:color w:val="000000"/>
                <w:kern w:val="0"/>
                <w:szCs w:val="21"/>
              </w:rPr>
              <w:t>集成服务</w:t>
            </w:r>
          </w:p>
        </w:tc>
        <w:tc>
          <w:tcPr>
            <w:tcW w:w="1184" w:type="dxa"/>
            <w:gridSpan w:val="2"/>
            <w:vAlign w:val="center"/>
          </w:tcPr>
          <w:p w14:paraId="3809F62B">
            <w:pPr>
              <w:jc w:val="center"/>
              <w:rPr>
                <w:rFonts w:hint="eastAsia" w:cs="宋体" w:asciiTheme="minorEastAsia" w:hAnsiTheme="minorEastAsia" w:eastAsiaTheme="minorEastAsia"/>
                <w:szCs w:val="21"/>
              </w:rPr>
            </w:pPr>
          </w:p>
        </w:tc>
        <w:tc>
          <w:tcPr>
            <w:tcW w:w="999" w:type="dxa"/>
            <w:vAlign w:val="center"/>
          </w:tcPr>
          <w:p w14:paraId="71359A52">
            <w:pPr>
              <w:jc w:val="center"/>
              <w:rPr>
                <w:rFonts w:hint="eastAsia" w:cs="宋体" w:asciiTheme="minorEastAsia" w:hAnsiTheme="minorEastAsia" w:eastAsiaTheme="minorEastAsia"/>
                <w:szCs w:val="21"/>
              </w:rPr>
            </w:pPr>
          </w:p>
        </w:tc>
        <w:tc>
          <w:tcPr>
            <w:tcW w:w="1108" w:type="dxa"/>
            <w:vAlign w:val="center"/>
          </w:tcPr>
          <w:p w14:paraId="306E3FAA">
            <w:pPr>
              <w:jc w:val="center"/>
              <w:rPr>
                <w:rFonts w:hint="eastAsia" w:cs="宋体" w:asciiTheme="minorEastAsia" w:hAnsiTheme="minorEastAsia" w:eastAsiaTheme="minorEastAsia"/>
                <w:szCs w:val="21"/>
              </w:rPr>
            </w:pPr>
          </w:p>
        </w:tc>
        <w:tc>
          <w:tcPr>
            <w:tcW w:w="975" w:type="dxa"/>
            <w:gridSpan w:val="2"/>
            <w:vAlign w:val="center"/>
          </w:tcPr>
          <w:p w14:paraId="108D2A9D">
            <w:pPr>
              <w:jc w:val="center"/>
              <w:rPr>
                <w:rFonts w:hint="eastAsia"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940" w:type="dxa"/>
            <w:vAlign w:val="center"/>
          </w:tcPr>
          <w:p w14:paraId="12A871F3">
            <w:pPr>
              <w:jc w:val="center"/>
              <w:rPr>
                <w:rFonts w:hint="eastAsia" w:cs="宋体" w:asciiTheme="minorEastAsia" w:hAnsiTheme="minorEastAsia" w:eastAsiaTheme="minorEastAsia"/>
                <w:szCs w:val="21"/>
              </w:rPr>
            </w:pPr>
          </w:p>
        </w:tc>
        <w:tc>
          <w:tcPr>
            <w:tcW w:w="998" w:type="dxa"/>
            <w:vAlign w:val="center"/>
          </w:tcPr>
          <w:p w14:paraId="6328317F">
            <w:pPr>
              <w:jc w:val="center"/>
              <w:rPr>
                <w:rFonts w:hint="eastAsia" w:cs="宋体" w:asciiTheme="minorEastAsia" w:hAnsiTheme="minorEastAsia" w:eastAsiaTheme="minorEastAsia"/>
                <w:szCs w:val="21"/>
              </w:rPr>
            </w:pPr>
          </w:p>
        </w:tc>
        <w:tc>
          <w:tcPr>
            <w:tcW w:w="903" w:type="dxa"/>
            <w:vAlign w:val="center"/>
          </w:tcPr>
          <w:p w14:paraId="22225BC4">
            <w:pPr>
              <w:jc w:val="center"/>
              <w:rPr>
                <w:rFonts w:hint="eastAsia" w:cs="宋体" w:asciiTheme="minorEastAsia" w:hAnsiTheme="minorEastAsia" w:eastAsiaTheme="minorEastAsia"/>
                <w:szCs w:val="21"/>
              </w:rPr>
            </w:pPr>
          </w:p>
        </w:tc>
      </w:tr>
      <w:tr w14:paraId="2DAC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158" w:type="dxa"/>
            <w:gridSpan w:val="3"/>
            <w:vAlign w:val="center"/>
          </w:tcPr>
          <w:p w14:paraId="20BAC474">
            <w:pPr>
              <w:jc w:val="center"/>
            </w:pPr>
            <w:r>
              <w:rPr>
                <w:rFonts w:hint="eastAsia"/>
              </w:rPr>
              <w:t>总计</w:t>
            </w:r>
          </w:p>
        </w:tc>
        <w:tc>
          <w:tcPr>
            <w:tcW w:w="3158" w:type="dxa"/>
            <w:gridSpan w:val="4"/>
            <w:vAlign w:val="center"/>
          </w:tcPr>
          <w:p w14:paraId="380F5468">
            <w:pPr>
              <w:jc w:val="center"/>
              <w:rPr>
                <w:rFonts w:hint="eastAsia" w:ascii="宋体" w:hAnsi="宋体" w:cs="宋体"/>
                <w:szCs w:val="21"/>
              </w:rPr>
            </w:pPr>
            <w:r>
              <w:rPr>
                <w:rFonts w:hint="eastAsia"/>
              </w:rPr>
              <w:t xml:space="preserve">（小写）            </w:t>
            </w:r>
            <w:r>
              <w:t>元</w:t>
            </w:r>
          </w:p>
        </w:tc>
        <w:tc>
          <w:tcPr>
            <w:tcW w:w="3159" w:type="dxa"/>
            <w:gridSpan w:val="4"/>
            <w:vAlign w:val="center"/>
          </w:tcPr>
          <w:p w14:paraId="3F25F173">
            <w:pPr>
              <w:rPr>
                <w:rFonts w:hint="eastAsia" w:ascii="宋体" w:hAnsi="宋体" w:cs="宋体"/>
                <w:szCs w:val="21"/>
              </w:rPr>
            </w:pPr>
            <w:r>
              <w:rPr>
                <w:rFonts w:hint="eastAsia"/>
              </w:rPr>
              <w:t>（</w:t>
            </w:r>
            <w:r>
              <w:rPr>
                <w:rFonts w:hint="eastAsia"/>
                <w:lang w:val="en-US" w:eastAsia="zh-CN"/>
              </w:rPr>
              <w:t>大</w:t>
            </w:r>
            <w:r>
              <w:rPr>
                <w:rFonts w:hint="eastAsia"/>
              </w:rPr>
              <w:t xml:space="preserve">写）            </w:t>
            </w:r>
            <w:r>
              <w:t>元</w:t>
            </w:r>
          </w:p>
        </w:tc>
      </w:tr>
      <w:tr w14:paraId="03F4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75" w:type="dxa"/>
            <w:gridSpan w:val="11"/>
            <w:vAlign w:val="center"/>
          </w:tcPr>
          <w:p w14:paraId="502438E2">
            <w:pPr>
              <w:jc w:val="center"/>
            </w:pPr>
            <w:r>
              <w:rPr>
                <w:rFonts w:hint="eastAsia"/>
              </w:rPr>
              <w:t xml:space="preserve"> </w:t>
            </w:r>
            <w:r>
              <w:t xml:space="preserve">    </w:t>
            </w:r>
            <w:r>
              <w:rPr>
                <w:rFonts w:hint="eastAsia"/>
              </w:rPr>
              <w:t xml:space="preserve">        </w:t>
            </w:r>
          </w:p>
          <w:p w14:paraId="18A71FD4">
            <w:pPr>
              <w:pStyle w:val="2"/>
              <w:rPr>
                <w:rFonts w:ascii="Calibri" w:hAnsi="Calibri"/>
                <w:b w:val="0"/>
                <w:sz w:val="21"/>
              </w:rPr>
            </w:pPr>
          </w:p>
          <w:p w14:paraId="5E7CC6CE">
            <w:pPr>
              <w:pStyle w:val="2"/>
              <w:rPr>
                <w:rFonts w:ascii="Calibri" w:hAnsi="Calibri"/>
                <w:b w:val="0"/>
                <w:sz w:val="21"/>
              </w:rPr>
            </w:pPr>
            <w:r>
              <w:rPr>
                <w:rFonts w:hint="eastAsia" w:ascii="Calibri" w:hAnsi="Calibri"/>
                <w:b w:val="0"/>
                <w:sz w:val="21"/>
              </w:rPr>
              <w:t>供应商名称（盖章）：</w:t>
            </w:r>
          </w:p>
          <w:p w14:paraId="73E3AEEA"/>
          <w:p w14:paraId="00BA3E4C">
            <w:pPr>
              <w:pStyle w:val="2"/>
            </w:pPr>
          </w:p>
        </w:tc>
      </w:tr>
    </w:tbl>
    <w:p w14:paraId="49D1FE1E">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填报说明：</w:t>
      </w:r>
    </w:p>
    <w:p w14:paraId="0C104DD9">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所有单元格均需按要求填报，无内容填 “/”，不得空项；</w:t>
      </w:r>
    </w:p>
    <w:p w14:paraId="588DD8BA">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规格型号需严格匹配本项目技术要求，偏离的需在 “备注” 栏说明；</w:t>
      </w:r>
    </w:p>
    <w:p w14:paraId="366C9A27">
      <w:pPr>
        <w:pStyle w:val="32"/>
        <w:ind w:firstLine="0" w:firstLineChars="0"/>
        <w:jc w:val="left"/>
        <w:rPr>
          <w:rFonts w:hint="eastAsia"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单价和合计均为含税落地价，保留 2 位小数；</w:t>
      </w:r>
    </w:p>
    <w:p w14:paraId="67C23453">
      <w:pPr>
        <w:pStyle w:val="32"/>
        <w:ind w:firstLine="0" w:firstLineChars="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本表需加盖供应商公章，否则视为无效报价。</w:t>
      </w:r>
    </w:p>
    <w:p w14:paraId="44146AED">
      <w:pPr>
        <w:pStyle w:val="32"/>
        <w:ind w:firstLine="0" w:firstLineChars="0"/>
        <w:jc w:val="left"/>
        <w:rPr>
          <w:rFonts w:ascii="Times New Roman Regular" w:hAnsi="Times New Roman Regular" w:eastAsia="宋体" w:cs="Times New Roman Regular"/>
          <w:szCs w:val="28"/>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10" w:usb3="00000000" w:csb0="0004009F" w:csb1="00000000"/>
  </w:font>
  <w:font w:name="Times New Roman Regular">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360A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26317614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m48QdEAAAADAQAADwAAAAAAAAABACAAAAAi&#10;AAAAZHJzL2Rvd25yZXYueG1sUEsBAhQAFAAAAAgAh07iQBfa0JsRAgAACgQAAA4AAAAAAAAAAQAg&#10;AAAAIAEAAGRycy9lMm9Eb2MueG1sUEsFBgAAAAAGAAYAWQEAAKMFAAAAAA==&#10;">
              <v:fill on="f" focussize="0,0"/>
              <v:stroke on="f"/>
              <v:imagedata o:title=""/>
              <o:lock v:ext="edit" aspectratio="f"/>
              <v:textbox inset="0mm,0mm,0mm,0mm" style="mso-fit-shape-to-text:t;">
                <w:txbxContent>
                  <w:p w14:paraId="3B956D9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37B021"/>
    <w:multiLevelType w:val="singleLevel"/>
    <w:tmpl w:val="E337B021"/>
    <w:lvl w:ilvl="0" w:tentative="0">
      <w:start w:val="3"/>
      <w:numFmt w:val="chineseCounting"/>
      <w:suff w:val="nothing"/>
      <w:lvlText w:val="%1、"/>
      <w:lvlJc w:val="left"/>
      <w:rPr>
        <w:rFonts w:hint="eastAsia"/>
      </w:rPr>
    </w:lvl>
  </w:abstractNum>
  <w:abstractNum w:abstractNumId="1">
    <w:nsid w:val="54133610"/>
    <w:multiLevelType w:val="multilevel"/>
    <w:tmpl w:val="5413361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YzI3NzFjYjhiOTlkNDNmNTQwNzM5ZmQ3MGQifQ=="/>
  </w:docVars>
  <w:rsids>
    <w:rsidRoot w:val="43DC0D6D"/>
    <w:rsid w:val="00002211"/>
    <w:rsid w:val="00012174"/>
    <w:rsid w:val="000123CC"/>
    <w:rsid w:val="0001538F"/>
    <w:rsid w:val="00020CE1"/>
    <w:rsid w:val="00026A18"/>
    <w:rsid w:val="00035545"/>
    <w:rsid w:val="00050915"/>
    <w:rsid w:val="00064571"/>
    <w:rsid w:val="00064722"/>
    <w:rsid w:val="00096C3C"/>
    <w:rsid w:val="000A7106"/>
    <w:rsid w:val="000C4864"/>
    <w:rsid w:val="000E515E"/>
    <w:rsid w:val="000F01CF"/>
    <w:rsid w:val="000F44AB"/>
    <w:rsid w:val="0011795C"/>
    <w:rsid w:val="001257AA"/>
    <w:rsid w:val="00132D91"/>
    <w:rsid w:val="00154D7E"/>
    <w:rsid w:val="00154E9A"/>
    <w:rsid w:val="00160438"/>
    <w:rsid w:val="00163EB7"/>
    <w:rsid w:val="00165D83"/>
    <w:rsid w:val="0017030E"/>
    <w:rsid w:val="00183C8E"/>
    <w:rsid w:val="001912EF"/>
    <w:rsid w:val="00193F44"/>
    <w:rsid w:val="0019549C"/>
    <w:rsid w:val="001A1DA9"/>
    <w:rsid w:val="001A465C"/>
    <w:rsid w:val="001A5A00"/>
    <w:rsid w:val="001B161E"/>
    <w:rsid w:val="001C4EBC"/>
    <w:rsid w:val="001E3057"/>
    <w:rsid w:val="001E548A"/>
    <w:rsid w:val="00211CF3"/>
    <w:rsid w:val="00213086"/>
    <w:rsid w:val="002139CB"/>
    <w:rsid w:val="00255F90"/>
    <w:rsid w:val="00263909"/>
    <w:rsid w:val="00274575"/>
    <w:rsid w:val="002A252C"/>
    <w:rsid w:val="002D5BF9"/>
    <w:rsid w:val="002E2D45"/>
    <w:rsid w:val="002E60DD"/>
    <w:rsid w:val="002F27B3"/>
    <w:rsid w:val="002F768D"/>
    <w:rsid w:val="00383F10"/>
    <w:rsid w:val="00390EF1"/>
    <w:rsid w:val="003A06CD"/>
    <w:rsid w:val="003B02DD"/>
    <w:rsid w:val="003D16AD"/>
    <w:rsid w:val="003D3DD7"/>
    <w:rsid w:val="003D52B2"/>
    <w:rsid w:val="003E1DD4"/>
    <w:rsid w:val="003E5F5D"/>
    <w:rsid w:val="0041206F"/>
    <w:rsid w:val="0044370B"/>
    <w:rsid w:val="00455DC0"/>
    <w:rsid w:val="00481DEB"/>
    <w:rsid w:val="00497D61"/>
    <w:rsid w:val="004A061D"/>
    <w:rsid w:val="004A6CCE"/>
    <w:rsid w:val="004C13B9"/>
    <w:rsid w:val="004C1EF3"/>
    <w:rsid w:val="00522A90"/>
    <w:rsid w:val="00525F09"/>
    <w:rsid w:val="00530964"/>
    <w:rsid w:val="0053123F"/>
    <w:rsid w:val="0053495A"/>
    <w:rsid w:val="00547072"/>
    <w:rsid w:val="005B4B0D"/>
    <w:rsid w:val="00600147"/>
    <w:rsid w:val="00606086"/>
    <w:rsid w:val="006140F6"/>
    <w:rsid w:val="0061490C"/>
    <w:rsid w:val="0063690D"/>
    <w:rsid w:val="00642909"/>
    <w:rsid w:val="00645574"/>
    <w:rsid w:val="0065128B"/>
    <w:rsid w:val="00652F80"/>
    <w:rsid w:val="00667555"/>
    <w:rsid w:val="00685183"/>
    <w:rsid w:val="006878DA"/>
    <w:rsid w:val="006B5D08"/>
    <w:rsid w:val="006B6059"/>
    <w:rsid w:val="006B773D"/>
    <w:rsid w:val="006C0BB6"/>
    <w:rsid w:val="006C3CA1"/>
    <w:rsid w:val="006D3C81"/>
    <w:rsid w:val="006D6029"/>
    <w:rsid w:val="007039C9"/>
    <w:rsid w:val="00752AE3"/>
    <w:rsid w:val="007A3EA3"/>
    <w:rsid w:val="007A5AA0"/>
    <w:rsid w:val="007B1BE3"/>
    <w:rsid w:val="007B3CDD"/>
    <w:rsid w:val="007C39BE"/>
    <w:rsid w:val="007D652C"/>
    <w:rsid w:val="007E387E"/>
    <w:rsid w:val="00801BDC"/>
    <w:rsid w:val="0080359A"/>
    <w:rsid w:val="00824CBF"/>
    <w:rsid w:val="00837314"/>
    <w:rsid w:val="00837838"/>
    <w:rsid w:val="008861BE"/>
    <w:rsid w:val="00886B9B"/>
    <w:rsid w:val="00890E2E"/>
    <w:rsid w:val="0089360E"/>
    <w:rsid w:val="008A2906"/>
    <w:rsid w:val="008A302F"/>
    <w:rsid w:val="008C1838"/>
    <w:rsid w:val="008C68F0"/>
    <w:rsid w:val="008D0FEC"/>
    <w:rsid w:val="008E3885"/>
    <w:rsid w:val="008F4BA9"/>
    <w:rsid w:val="00912F41"/>
    <w:rsid w:val="009440F4"/>
    <w:rsid w:val="00953972"/>
    <w:rsid w:val="00955273"/>
    <w:rsid w:val="00A02038"/>
    <w:rsid w:val="00A339DB"/>
    <w:rsid w:val="00A353FB"/>
    <w:rsid w:val="00A428AC"/>
    <w:rsid w:val="00A4515B"/>
    <w:rsid w:val="00A5330E"/>
    <w:rsid w:val="00A54F92"/>
    <w:rsid w:val="00A93DBB"/>
    <w:rsid w:val="00AA166A"/>
    <w:rsid w:val="00AB1165"/>
    <w:rsid w:val="00AB7FD0"/>
    <w:rsid w:val="00AE108E"/>
    <w:rsid w:val="00AE695C"/>
    <w:rsid w:val="00B0615C"/>
    <w:rsid w:val="00B07CE0"/>
    <w:rsid w:val="00B3577F"/>
    <w:rsid w:val="00B40D85"/>
    <w:rsid w:val="00B654A0"/>
    <w:rsid w:val="00B672BD"/>
    <w:rsid w:val="00B859F8"/>
    <w:rsid w:val="00BD60FB"/>
    <w:rsid w:val="00BD6750"/>
    <w:rsid w:val="00BE0457"/>
    <w:rsid w:val="00C123A1"/>
    <w:rsid w:val="00C16514"/>
    <w:rsid w:val="00C200B3"/>
    <w:rsid w:val="00C23A56"/>
    <w:rsid w:val="00C301F1"/>
    <w:rsid w:val="00C458E1"/>
    <w:rsid w:val="00C53854"/>
    <w:rsid w:val="00C74A66"/>
    <w:rsid w:val="00C81D02"/>
    <w:rsid w:val="00C92AF7"/>
    <w:rsid w:val="00CA60D4"/>
    <w:rsid w:val="00CB1812"/>
    <w:rsid w:val="00CC5D1E"/>
    <w:rsid w:val="00CF2B69"/>
    <w:rsid w:val="00D07172"/>
    <w:rsid w:val="00D13989"/>
    <w:rsid w:val="00D45A00"/>
    <w:rsid w:val="00D507CD"/>
    <w:rsid w:val="00D6617D"/>
    <w:rsid w:val="00D8531F"/>
    <w:rsid w:val="00D86C5B"/>
    <w:rsid w:val="00D976F6"/>
    <w:rsid w:val="00DB4763"/>
    <w:rsid w:val="00DD54A0"/>
    <w:rsid w:val="00DD5FE7"/>
    <w:rsid w:val="00DF2190"/>
    <w:rsid w:val="00DF5D8A"/>
    <w:rsid w:val="00E01BF3"/>
    <w:rsid w:val="00E0670E"/>
    <w:rsid w:val="00E11434"/>
    <w:rsid w:val="00E3644B"/>
    <w:rsid w:val="00E4085D"/>
    <w:rsid w:val="00E5494D"/>
    <w:rsid w:val="00E63A83"/>
    <w:rsid w:val="00E66F08"/>
    <w:rsid w:val="00E778F0"/>
    <w:rsid w:val="00E85218"/>
    <w:rsid w:val="00E8671F"/>
    <w:rsid w:val="00E95C01"/>
    <w:rsid w:val="00EA1EC6"/>
    <w:rsid w:val="00EB6F93"/>
    <w:rsid w:val="00EB7514"/>
    <w:rsid w:val="00EE1CE5"/>
    <w:rsid w:val="00EF416E"/>
    <w:rsid w:val="00F26AC6"/>
    <w:rsid w:val="00F27541"/>
    <w:rsid w:val="00F50FC1"/>
    <w:rsid w:val="00F60930"/>
    <w:rsid w:val="00F62C3A"/>
    <w:rsid w:val="00F756E7"/>
    <w:rsid w:val="00F82384"/>
    <w:rsid w:val="00FA65E6"/>
    <w:rsid w:val="00FC0C32"/>
    <w:rsid w:val="00FC5ADA"/>
    <w:rsid w:val="00FD30FB"/>
    <w:rsid w:val="00FE0358"/>
    <w:rsid w:val="00FE7EA2"/>
    <w:rsid w:val="017B11E4"/>
    <w:rsid w:val="03447570"/>
    <w:rsid w:val="045F3E60"/>
    <w:rsid w:val="065435E7"/>
    <w:rsid w:val="07F55F19"/>
    <w:rsid w:val="095A4725"/>
    <w:rsid w:val="0A7271F2"/>
    <w:rsid w:val="0B4765DB"/>
    <w:rsid w:val="0B5E5DFE"/>
    <w:rsid w:val="0C9475FE"/>
    <w:rsid w:val="0ED54FA7"/>
    <w:rsid w:val="113B33C9"/>
    <w:rsid w:val="130B3B0A"/>
    <w:rsid w:val="16DC6904"/>
    <w:rsid w:val="19AC1208"/>
    <w:rsid w:val="19D42B6C"/>
    <w:rsid w:val="1BD85C34"/>
    <w:rsid w:val="1C62724B"/>
    <w:rsid w:val="1EAF6B6E"/>
    <w:rsid w:val="26494805"/>
    <w:rsid w:val="26D12CCB"/>
    <w:rsid w:val="26F7280B"/>
    <w:rsid w:val="284C1CBC"/>
    <w:rsid w:val="29D53810"/>
    <w:rsid w:val="2E4A5C2F"/>
    <w:rsid w:val="2F631386"/>
    <w:rsid w:val="2F6C4C67"/>
    <w:rsid w:val="2F9B4539"/>
    <w:rsid w:val="2FD057C3"/>
    <w:rsid w:val="33497B0A"/>
    <w:rsid w:val="342E2B27"/>
    <w:rsid w:val="38282A1A"/>
    <w:rsid w:val="39E70D2F"/>
    <w:rsid w:val="3A8375C7"/>
    <w:rsid w:val="3DB73C99"/>
    <w:rsid w:val="3DF81348"/>
    <w:rsid w:val="3EEA2C8B"/>
    <w:rsid w:val="40E542E9"/>
    <w:rsid w:val="40F03B15"/>
    <w:rsid w:val="413C5593"/>
    <w:rsid w:val="42E2225C"/>
    <w:rsid w:val="43DC0D6D"/>
    <w:rsid w:val="4463591F"/>
    <w:rsid w:val="464A5A08"/>
    <w:rsid w:val="48F30C2D"/>
    <w:rsid w:val="4AA14B96"/>
    <w:rsid w:val="4B9761E7"/>
    <w:rsid w:val="4E2A6D4B"/>
    <w:rsid w:val="4F5C3751"/>
    <w:rsid w:val="4FE5257F"/>
    <w:rsid w:val="4FFFE914"/>
    <w:rsid w:val="51B340C2"/>
    <w:rsid w:val="543B5182"/>
    <w:rsid w:val="560E5731"/>
    <w:rsid w:val="57D97E62"/>
    <w:rsid w:val="5B99325A"/>
    <w:rsid w:val="5BD844BF"/>
    <w:rsid w:val="5C3563ED"/>
    <w:rsid w:val="5C56150A"/>
    <w:rsid w:val="5C8E394E"/>
    <w:rsid w:val="5C9B41FC"/>
    <w:rsid w:val="5DA930B5"/>
    <w:rsid w:val="5E002D9B"/>
    <w:rsid w:val="5FE85534"/>
    <w:rsid w:val="61972682"/>
    <w:rsid w:val="61D50F91"/>
    <w:rsid w:val="62610A33"/>
    <w:rsid w:val="630F64C2"/>
    <w:rsid w:val="68F6059A"/>
    <w:rsid w:val="6934552F"/>
    <w:rsid w:val="694C7404"/>
    <w:rsid w:val="6EDF562C"/>
    <w:rsid w:val="6EFC1923"/>
    <w:rsid w:val="6F156B86"/>
    <w:rsid w:val="712D6B22"/>
    <w:rsid w:val="71A30B93"/>
    <w:rsid w:val="734975EC"/>
    <w:rsid w:val="75BE243F"/>
    <w:rsid w:val="778801D2"/>
    <w:rsid w:val="7A5F0C6A"/>
    <w:rsid w:val="7AA55C1E"/>
    <w:rsid w:val="7AFB1F49"/>
    <w:rsid w:val="7C2E6E1D"/>
    <w:rsid w:val="7E5F07E0"/>
    <w:rsid w:val="ABFBD8B6"/>
    <w:rsid w:val="B5EFEC93"/>
    <w:rsid w:val="DDDC3FAD"/>
    <w:rsid w:val="DDE90FAF"/>
    <w:rsid w:val="FFBF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link w:val="23"/>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1260"/>
        <w:tab w:val="left" w:pos="1685"/>
        <w:tab w:val="right" w:leader="dot" w:pos="8400"/>
      </w:tabs>
      <w:spacing w:line="360" w:lineRule="auto"/>
    </w:pPr>
    <w:rPr>
      <w:rFonts w:ascii="Times New Roman" w:hAnsi="Times New Roman"/>
      <w:b/>
      <w:sz w:val="24"/>
    </w:rPr>
  </w:style>
  <w:style w:type="paragraph" w:styleId="7">
    <w:name w:val="Normal Indent"/>
    <w:basedOn w:val="1"/>
    <w:qFormat/>
    <w:uiPriority w:val="0"/>
    <w:pPr>
      <w:autoSpaceDE w:val="0"/>
      <w:autoSpaceDN w:val="0"/>
      <w:adjustRightInd w:val="0"/>
      <w:spacing w:line="360" w:lineRule="auto"/>
      <w:ind w:firstLine="200" w:firstLineChars="200"/>
      <w:jc w:val="left"/>
    </w:pPr>
  </w:style>
  <w:style w:type="paragraph" w:styleId="8">
    <w:name w:val="annotation text"/>
    <w:basedOn w:val="1"/>
    <w:link w:val="36"/>
    <w:qFormat/>
    <w:uiPriority w:val="0"/>
    <w:pPr>
      <w:jc w:val="left"/>
    </w:pPr>
  </w:style>
  <w:style w:type="paragraph" w:styleId="9">
    <w:name w:val="Body Text Indent"/>
    <w:basedOn w:val="1"/>
    <w:link w:val="24"/>
    <w:qFormat/>
    <w:uiPriority w:val="0"/>
    <w:pPr>
      <w:adjustRightInd w:val="0"/>
      <w:snapToGrid w:val="0"/>
      <w:spacing w:before="25" w:beforeLines="25" w:after="25" w:afterLines="25" w:line="360" w:lineRule="auto"/>
      <w:ind w:left="420" w:firstLine="420" w:firstLineChars="200"/>
    </w:pPr>
    <w:rPr>
      <w:rFonts w:ascii="宋体" w:hAnsi="宋体" w:eastAsia="等线"/>
      <w:sz w:val="24"/>
      <w:szCs w:val="22"/>
      <w:shd w:val="pct10" w:color="auto" w:fill="FFFFFF"/>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Subtitle"/>
    <w:basedOn w:val="1"/>
    <w:next w:val="1"/>
    <w:link w:val="25"/>
    <w:qFormat/>
    <w:uiPriority w:val="0"/>
    <w:pPr>
      <w:spacing w:before="240" w:after="60" w:line="312" w:lineRule="auto"/>
      <w:jc w:val="center"/>
      <w:outlineLvl w:val="1"/>
    </w:pPr>
    <w:rPr>
      <w:rFonts w:ascii="等线 Light" w:hAnsi="等线 Light"/>
      <w:b/>
      <w:bCs/>
      <w:kern w:val="28"/>
      <w:sz w:val="32"/>
      <w:szCs w:val="32"/>
    </w:rPr>
  </w:style>
  <w:style w:type="paragraph" w:styleId="13">
    <w:name w:val="Title"/>
    <w:basedOn w:val="1"/>
    <w:next w:val="1"/>
    <w:link w:val="26"/>
    <w:qFormat/>
    <w:uiPriority w:val="0"/>
    <w:pPr>
      <w:spacing w:before="240" w:after="60"/>
      <w:jc w:val="center"/>
      <w:outlineLvl w:val="0"/>
    </w:pPr>
    <w:rPr>
      <w:rFonts w:ascii="等线 Light" w:hAnsi="等线 Light"/>
      <w:b/>
      <w:bCs/>
      <w:sz w:val="32"/>
      <w:szCs w:val="32"/>
    </w:rPr>
  </w:style>
  <w:style w:type="paragraph" w:styleId="14">
    <w:name w:val="annotation subject"/>
    <w:basedOn w:val="8"/>
    <w:next w:val="8"/>
    <w:link w:val="37"/>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Emphasis"/>
    <w:qFormat/>
    <w:uiPriority w:val="0"/>
    <w:rPr>
      <w:i/>
      <w:iCs/>
    </w:rPr>
  </w:style>
  <w:style w:type="character" w:styleId="20">
    <w:name w:val="annotation reference"/>
    <w:basedOn w:val="17"/>
    <w:qFormat/>
    <w:uiPriority w:val="0"/>
    <w:rPr>
      <w:sz w:val="21"/>
      <w:szCs w:val="21"/>
    </w:rPr>
  </w:style>
  <w:style w:type="character" w:customStyle="1" w:styleId="21">
    <w:name w:val="标题 1 字符"/>
    <w:link w:val="3"/>
    <w:qFormat/>
    <w:uiPriority w:val="0"/>
    <w:rPr>
      <w:rFonts w:ascii="Calibri" w:hAnsi="Calibri"/>
      <w:b/>
      <w:bCs/>
      <w:kern w:val="44"/>
      <w:sz w:val="44"/>
      <w:szCs w:val="44"/>
    </w:rPr>
  </w:style>
  <w:style w:type="character" w:customStyle="1" w:styleId="22">
    <w:name w:val="标题 2 字符"/>
    <w:link w:val="4"/>
    <w:qFormat/>
    <w:uiPriority w:val="9"/>
    <w:rPr>
      <w:rFonts w:ascii="等线 Light" w:hAnsi="等线 Light" w:eastAsia="等线 Light"/>
      <w:b/>
      <w:bCs/>
      <w:kern w:val="2"/>
      <w:sz w:val="32"/>
      <w:szCs w:val="32"/>
    </w:rPr>
  </w:style>
  <w:style w:type="character" w:customStyle="1" w:styleId="23">
    <w:name w:val="标题 4 字符"/>
    <w:link w:val="6"/>
    <w:qFormat/>
    <w:uiPriority w:val="9"/>
    <w:rPr>
      <w:rFonts w:ascii="等线 Light" w:hAnsi="等线 Light" w:eastAsia="等线 Light"/>
      <w:b/>
      <w:bCs/>
      <w:kern w:val="2"/>
      <w:sz w:val="28"/>
      <w:szCs w:val="28"/>
    </w:rPr>
  </w:style>
  <w:style w:type="character" w:customStyle="1" w:styleId="24">
    <w:name w:val="正文文本缩进 字符"/>
    <w:link w:val="9"/>
    <w:qFormat/>
    <w:uiPriority w:val="0"/>
    <w:rPr>
      <w:rFonts w:ascii="宋体" w:hAnsi="宋体" w:eastAsia="等线"/>
      <w:kern w:val="2"/>
      <w:sz w:val="24"/>
      <w:szCs w:val="22"/>
    </w:rPr>
  </w:style>
  <w:style w:type="character" w:customStyle="1" w:styleId="25">
    <w:name w:val="副标题 字符"/>
    <w:link w:val="12"/>
    <w:qFormat/>
    <w:uiPriority w:val="0"/>
    <w:rPr>
      <w:rFonts w:ascii="等线 Light" w:hAnsi="等线 Light" w:cs="Times New Roman"/>
      <w:b/>
      <w:bCs/>
      <w:kern w:val="28"/>
      <w:sz w:val="32"/>
      <w:szCs w:val="32"/>
    </w:rPr>
  </w:style>
  <w:style w:type="character" w:customStyle="1" w:styleId="26">
    <w:name w:val="标题 字符"/>
    <w:link w:val="13"/>
    <w:qFormat/>
    <w:uiPriority w:val="0"/>
    <w:rPr>
      <w:rFonts w:ascii="等线 Light" w:hAnsi="等线 Light" w:cs="Times New Roman"/>
      <w:b/>
      <w:bCs/>
      <w:kern w:val="2"/>
      <w:sz w:val="32"/>
      <w:szCs w:val="32"/>
    </w:rPr>
  </w:style>
  <w:style w:type="paragraph" w:customStyle="1" w:styleId="27">
    <w:name w:val="Char1"/>
    <w:basedOn w:val="1"/>
    <w:qFormat/>
    <w:uiPriority w:val="0"/>
    <w:rPr>
      <w:rFonts w:ascii="Times New Roman" w:hAnsi="Times New Roman"/>
      <w:sz w:val="24"/>
    </w:rPr>
  </w:style>
  <w:style w:type="paragraph" w:customStyle="1" w:styleId="28">
    <w:name w:val="www正文"/>
    <w:basedOn w:val="1"/>
    <w:qFormat/>
    <w:uiPriority w:val="0"/>
    <w:pPr>
      <w:ind w:firstLine="480" w:firstLineChars="200"/>
    </w:pPr>
    <w:rPr>
      <w:rFonts w:ascii="Times New Roman" w:hAnsi="Times New Roman"/>
    </w:rPr>
  </w:style>
  <w:style w:type="paragraph" w:styleId="29">
    <w:name w:val="List Paragraph"/>
    <w:basedOn w:val="1"/>
    <w:link w:val="30"/>
    <w:qFormat/>
    <w:uiPriority w:val="34"/>
    <w:pPr>
      <w:spacing w:line="360" w:lineRule="auto"/>
      <w:ind w:firstLine="480" w:firstLineChars="200"/>
    </w:pPr>
    <w:rPr>
      <w:sz w:val="24"/>
    </w:rPr>
  </w:style>
  <w:style w:type="character" w:customStyle="1" w:styleId="30">
    <w:name w:val="列表段落 字符"/>
    <w:link w:val="29"/>
    <w:qFormat/>
    <w:locked/>
    <w:uiPriority w:val="34"/>
    <w:rPr>
      <w:rFonts w:ascii="Calibri" w:hAnsi="Calibri"/>
      <w:kern w:val="2"/>
      <w:sz w:val="24"/>
      <w:szCs w:val="24"/>
    </w:rPr>
  </w:style>
  <w:style w:type="character" w:customStyle="1" w:styleId="31">
    <w:name w:val="方案正文 Char"/>
    <w:link w:val="32"/>
    <w:qFormat/>
    <w:uiPriority w:val="0"/>
    <w:rPr>
      <w:rFonts w:ascii="华文细黑" w:hAnsi="华文细黑" w:eastAsia="华文细黑"/>
      <w:sz w:val="24"/>
      <w:szCs w:val="24"/>
    </w:rPr>
  </w:style>
  <w:style w:type="paragraph" w:customStyle="1" w:styleId="32">
    <w:name w:val="方案正文"/>
    <w:basedOn w:val="1"/>
    <w:link w:val="31"/>
    <w:qFormat/>
    <w:uiPriority w:val="0"/>
    <w:pPr>
      <w:spacing w:before="120" w:line="360" w:lineRule="auto"/>
      <w:ind w:firstLine="425" w:firstLineChars="177"/>
    </w:pPr>
    <w:rPr>
      <w:rFonts w:ascii="华文细黑" w:hAnsi="华文细黑" w:eastAsia="华文细黑"/>
      <w:kern w:val="0"/>
      <w:sz w:val="24"/>
    </w:rPr>
  </w:style>
  <w:style w:type="character" w:customStyle="1" w:styleId="33">
    <w:name w:val="样式1 Char Char"/>
    <w:link w:val="34"/>
    <w:qFormat/>
    <w:locked/>
    <w:uiPriority w:val="0"/>
    <w:rPr>
      <w:rFonts w:ascii="Arial" w:hAnsi="Arial"/>
      <w:kern w:val="2"/>
      <w:sz w:val="21"/>
      <w:szCs w:val="24"/>
    </w:rPr>
  </w:style>
  <w:style w:type="paragraph" w:customStyle="1" w:styleId="34">
    <w:name w:val="样式1"/>
    <w:basedOn w:val="1"/>
    <w:link w:val="33"/>
    <w:qFormat/>
    <w:uiPriority w:val="0"/>
    <w:pPr>
      <w:adjustRightInd w:val="0"/>
      <w:snapToGrid w:val="0"/>
      <w:spacing w:line="360" w:lineRule="exact"/>
      <w:ind w:firstLine="200" w:firstLineChars="200"/>
      <w:jc w:val="left"/>
    </w:pPr>
    <w:rPr>
      <w:rFonts w:ascii="Arial" w:hAnsi="Arial"/>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批注文字 字符"/>
    <w:basedOn w:val="17"/>
    <w:link w:val="8"/>
    <w:qFormat/>
    <w:uiPriority w:val="0"/>
    <w:rPr>
      <w:rFonts w:ascii="Calibri" w:hAnsi="Calibri"/>
      <w:kern w:val="2"/>
      <w:sz w:val="21"/>
      <w:szCs w:val="24"/>
    </w:rPr>
  </w:style>
  <w:style w:type="character" w:customStyle="1" w:styleId="37">
    <w:name w:val="批注主题 字符"/>
    <w:basedOn w:val="36"/>
    <w:link w:val="14"/>
    <w:qFormat/>
    <w:uiPriority w:val="0"/>
    <w:rPr>
      <w:rFonts w:ascii="Calibri" w:hAnsi="Calibri"/>
      <w:b/>
      <w:bCs/>
      <w:kern w:val="2"/>
      <w:sz w:val="21"/>
      <w:szCs w:val="24"/>
    </w:rPr>
  </w:style>
  <w:style w:type="paragraph" w:customStyle="1" w:styleId="38">
    <w:name w:val="修订1"/>
    <w:hidden/>
    <w:unhideWhenUsed/>
    <w:uiPriority w:val="99"/>
    <w:rPr>
      <w:rFonts w:ascii="Calibri" w:hAnsi="Calibri" w:eastAsia="宋体" w:cs="Times New Roman"/>
      <w:kern w:val="2"/>
      <w:sz w:val="21"/>
      <w:szCs w:val="24"/>
      <w:lang w:val="en-US" w:eastAsia="zh-CN" w:bidi="ar-SA"/>
    </w:rPr>
  </w:style>
  <w:style w:type="paragraph" w:customStyle="1" w:styleId="39">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1360</Words>
  <Characters>1715</Characters>
  <Lines>61</Lines>
  <Paragraphs>64</Paragraphs>
  <TotalTime>4</TotalTime>
  <ScaleCrop>false</ScaleCrop>
  <LinksUpToDate>false</LinksUpToDate>
  <CharactersWithSpaces>3011</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2026-03-06T08:27:00Z</dcterms:created>
  <dc:creator>Administrator</dc:creator>
  <cp:lastModifiedBy>Administrator</cp:lastModifiedBy>
  <dcterms:modified xsi:type="dcterms:W3CDTF">2026-03-10T07:39:14Z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90005E0338534CDDA1A68F1D6E329E8F_13</vt:lpwstr>
  </property>
</Properties>
</file>