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一、基本工作条件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工作环境温度：18～25℃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工作环境湿度：30%～60%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运行持久性：支持连续使用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安装条件：具备有效接地保护</w:t>
      </w:r>
    </w:p>
    <w:p>
      <w:pPr>
        <w:rPr>
          <w:rFonts w:hint="eastAsia"/>
        </w:rPr>
      </w:pPr>
      <w:r>
        <w:rPr>
          <w:rFonts w:hint="eastAsia"/>
        </w:rPr>
        <w:t>二、核心性能要求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分辨率：≤0.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nm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加速电压：20～120 kV，步进可调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观察模式：支持高分辨模式与高反差模式</w:t>
      </w:r>
      <w:bookmarkStart w:id="0" w:name="_GoBack"/>
      <w:bookmarkEnd w:id="0"/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放大倍数范围：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低倍模式：×50～×1,000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高反差模式：×200～×200,000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高分辨模式：×4,000～×600,000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图像旋转：支持图像旋转功能，角度可调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电子枪类型：支持钨灯丝，可选配LaB6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样品杆类型：高稳定性样品杆，防漂移设计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样品台：优中心侧插式测角台，倾斜角度≥±60°，支持位置记忆与回溯功能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成像系统：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多级透镜系统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支持像散自动校正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具备可动物镜光阑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相机系统：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标配荧光屏相机与主相机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主相机分辨率不低于1600万像素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支持一体化控制，无需外接电脑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自动功能：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自动聚焦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自动消像散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支持自动图像导航与拼图功能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真空系统：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采用分子泵+旋转泵组合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无扩散泵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</w:rPr>
        <w:t>真空交换仓预抽时间≤30秒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三、配置清单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不限于以下配置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透射电镜主机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高速荧光屏相机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不低于1600万像素的主相机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样品杆（至少3根）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自动倾斜图像捕捉系统及3D重构软件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备用灯丝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UPS不间断电源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设备控制器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四、质保期：不低于三年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A5334"/>
    <w:multiLevelType w:val="singleLevel"/>
    <w:tmpl w:val="9E6A533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73C4C92"/>
    <w:multiLevelType w:val="singleLevel"/>
    <w:tmpl w:val="F73C4C9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5BBDB04"/>
    <w:multiLevelType w:val="singleLevel"/>
    <w:tmpl w:val="15BBDB0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43B96"/>
    <w:rsid w:val="529B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2025-10-15T03:06:00Z</dcterms:created>
  <dc:creator>Admin</dc:creator>
  <cp:lastModifiedBy>邓思建</cp:lastModifiedBy>
  <dcterms:modified xsi:type="dcterms:W3CDTF">2025-10-15T03:13:57Z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0BF59C1AFF67411B9C4E5BF8A76911E6</vt:lpwstr>
  </property>
</Properties>
</file>