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骨科及骨髓穿刺活检</w:t>
      </w:r>
      <w:r>
        <w:rPr>
          <w:rFonts w:hint="eastAsia"/>
          <w:b/>
          <w:bCs/>
          <w:lang w:val="en-US" w:eastAsia="zh-CN"/>
        </w:rPr>
        <w:t>针</w:t>
      </w:r>
      <w:bookmarkStart w:id="0" w:name="_GoBack"/>
      <w:bookmarkEnd w:id="0"/>
      <w:r>
        <w:rPr>
          <w:rFonts w:hint="eastAsia"/>
          <w:b/>
          <w:bCs/>
        </w:rPr>
        <w:t>参数</w:t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用于骨或骨髓穿刺活检；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由穿刺针管、针芯、手柄等组成。</w:t>
      </w:r>
      <w:r>
        <w:rPr>
          <w:rFonts w:hint="eastAsia"/>
        </w:rPr>
        <w:t>穿刺针管和针芯需采用高强度医用级不锈钢制造，具备优异的抗弯折性能和硬度，确保穿刺高密度骨皮质时不变形、不断裂。手柄需采用医用级高分子材料，无生物毒性及致敏性。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b/>
          <w:bCs/>
        </w:rPr>
        <w:t>针尖设计：</w:t>
      </w:r>
      <w:r>
        <w:rPr>
          <w:rFonts w:hint="eastAsia"/>
        </w:rPr>
        <w:t>针芯与外管的针尖需呈锐角多切面（如三棱形结构），极其锋利，穿透阻力小，骨质切削平滑，减少患者创伤。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b/>
          <w:bCs/>
        </w:rPr>
        <w:t>手柄设计：</w:t>
      </w:r>
      <w:r>
        <w:rPr>
          <w:rFonts w:hint="eastAsia"/>
        </w:rPr>
        <w:t>符合人体工程学（如宽大的T型或球型设计），防滑防脱，便于术者在穿刺时稳定施加旋转力和轴向推进力。</w:t>
      </w:r>
    </w:p>
    <w:p>
      <w:pPr>
        <w:rPr>
          <w:rFonts w:hint="eastAsia"/>
        </w:rPr>
      </w:pPr>
      <w:r>
        <w:rPr>
          <w:rFonts w:hint="eastAsia"/>
          <w:b/>
          <w:bCs/>
        </w:rPr>
        <w:t>配合度：</w:t>
      </w:r>
      <w:r>
        <w:rPr>
          <w:rFonts w:hint="eastAsia"/>
        </w:rPr>
        <w:t>外管与内芯必须配合紧密，锁定牢靠，穿刺过程中内芯不得出现相对滑动或退让；穿刺到位后，拔插需顺畅无卡顿。</w:t>
      </w:r>
    </w:p>
    <w:p>
      <w:pPr>
        <w:rPr>
          <w:rFonts w:hint="eastAsia"/>
        </w:rPr>
      </w:pPr>
      <w:r>
        <w:rPr>
          <w:rFonts w:hint="eastAsia"/>
          <w:b/>
          <w:bCs/>
        </w:rPr>
        <w:t>样本获取（活检必须）</w:t>
      </w:r>
      <w:r>
        <w:rPr>
          <w:rFonts w:hint="eastAsia"/>
        </w:rPr>
        <w:t>：必须具备可靠的活检标本离断/捕获机制（如配套专用的组织脱离器或前端特殊截面设计），确保能完整取出圆柱状骨髓组织样本，不破坏细胞结构。</w:t>
      </w:r>
    </w:p>
    <w:p>
      <w:pPr>
        <w:rPr>
          <w:rFonts w:hint="eastAsia"/>
        </w:rPr>
      </w:pPr>
      <w:r>
        <w:rPr>
          <w:rFonts w:hint="eastAsia"/>
          <w:b/>
          <w:bCs/>
        </w:rPr>
        <w:t>刻度标识：</w:t>
      </w:r>
      <w:r>
        <w:rPr>
          <w:rFonts w:hint="eastAsia"/>
        </w:rPr>
        <w:t>针体表面建议带有清晰的厘米/毫米深度刻度线，方便精准控制进针深度（视具体需求可列为加分项或必备项）。</w:t>
      </w:r>
    </w:p>
    <w:p>
      <w:pPr>
        <w:rPr>
          <w:rFonts w:hint="eastAsia"/>
        </w:rPr>
      </w:pPr>
      <w:r>
        <w:rPr>
          <w:rFonts w:hint="eastAsia"/>
          <w:b/>
          <w:bCs/>
          <w:lang w:val="en-US" w:eastAsia="zh-CN"/>
        </w:rPr>
        <w:t>4.</w:t>
      </w:r>
      <w:r>
        <w:rPr>
          <w:rFonts w:hint="eastAsia"/>
          <w:b/>
          <w:bCs/>
        </w:rPr>
        <w:t>规格型号：</w:t>
      </w:r>
    </w:p>
    <w:p>
      <w:pPr>
        <w:rPr>
          <w:rFonts w:hint="eastAsia"/>
        </w:rPr>
      </w:pPr>
      <w:r>
        <w:rPr>
          <w:rFonts w:hint="eastAsia"/>
        </w:rPr>
        <w:t>外径尺寸：必须包含11G规格（建议同时要求供应商能提供8G、13G等多规格备选，以满足不同体型及年龄段患者的临床需求）。针管长度：必须包含70mm（7cm）至100mm（10cm）区间的主流长度规格。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5.一次性使用，灭菌包装。</w:t>
      </w:r>
    </w:p>
    <w:p>
      <w:pPr>
        <w:numPr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6A759E"/>
    <w:multiLevelType w:val="singleLevel"/>
    <w:tmpl w:val="5F6A759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1C689D"/>
    <w:rsid w:val="57E91E4C"/>
    <w:rsid w:val="5F1C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2026-04-17T03:52:00Z</dcterms:created>
  <dc:creator>侯志琴</dc:creator>
  <cp:lastModifiedBy>天王盖地虎。</cp:lastModifiedBy>
  <dcterms:modified xsi:type="dcterms:W3CDTF">2026-04-20T01:27:01Z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03819C8B71DF46D38D116977F369E2F2</vt:lpwstr>
  </property>
</Properties>
</file>