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一、基本工作条件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工作环境温度：18～25℃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工作环境湿度：30%～60%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运行持久性：支持连续使用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安装条件：具备有效接地保护</w:t>
      </w:r>
    </w:p>
    <w:p>
      <w:pPr>
        <w:rPr>
          <w:rFonts w:hint="eastAsia"/>
        </w:rPr>
      </w:pPr>
      <w:r>
        <w:rPr>
          <w:rFonts w:hint="eastAsia"/>
        </w:rPr>
        <w:t>二、核心性能要求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分辨率：≤0.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nm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加速电压：20～120 kV，步进可调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观察模式：支持高分辨模式与高反差模式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放大倍数范围：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低倍模式：×50～×1,000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高反差模式：×200～×200,000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高分辨模式：×4,000～×600,000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图像旋转：支持图像旋转功能，角度可调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电子枪类型：支持钨灯丝，可选配LaB6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样品杆类型：高稳定性样品杆，防漂移设计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样品台：优中心侧插式测角台，倾斜角度≥±60°，支持位置记忆与回溯功能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成像系统：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多级透镜系统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支持像散自动校正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具备可动物镜光阑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相机系统：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标配荧光屏相机与主相机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主相机分辨率不低于1600万像素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支持一体化控制，无需外接电脑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自动功能：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自动聚焦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自动消像散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支持自动图像导航与拼图功能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真空系统：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采用分子泵+旋转泵组合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无扩散泵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0" w:firstLineChars="300"/>
        <w:textAlignment w:val="auto"/>
        <w:rPr>
          <w:rFonts w:hint="eastAsia"/>
        </w:rPr>
      </w:pPr>
      <w:r>
        <w:rPr>
          <w:rFonts w:hint="eastAsia"/>
        </w:rPr>
        <w:t>真空交换仓预抽时间≤30秒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三、配置清单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不限于以下配置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透射电镜主机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高速荧光屏相机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不低于1600万像素的主相机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样品杆（至少3根）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自动倾斜图像捕捉系统及3D重构软件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备用灯丝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UPS不间断电源</w:t>
      </w:r>
    </w:p>
    <w:p>
      <w:pPr>
        <w:numPr>
          <w:ilvl w:val="0"/>
          <w:numId w:val="3"/>
        </w:numPr>
        <w:ind w:left="425" w:leftChars="0" w:hanging="425" w:firstLineChars="0"/>
      </w:pPr>
      <w:r>
        <w:rPr>
          <w:rFonts w:hint="eastAsia"/>
        </w:rPr>
        <w:t>设备控制器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切片系统：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9.1</w:t>
      </w:r>
      <w:r>
        <w:rPr>
          <w:rFonts w:hint="eastAsia"/>
          <w:lang w:eastAsia="zh-CN"/>
        </w:rPr>
        <w:t>样品总进给量：0.2mm(200um,200000nm)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9.2</w:t>
      </w:r>
      <w:r>
        <w:rPr>
          <w:rFonts w:hint="eastAsia"/>
          <w:lang w:eastAsia="zh-CN"/>
        </w:rPr>
        <w:t>切片厚度：5nm-10um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9.3</w:t>
      </w:r>
      <w:r>
        <w:rPr>
          <w:rFonts w:hint="eastAsia"/>
          <w:lang w:eastAsia="zh-CN"/>
        </w:rPr>
        <w:t xml:space="preserve">步进精度：1nm 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9.4</w:t>
      </w:r>
      <w:r>
        <w:rPr>
          <w:rFonts w:hint="eastAsia"/>
          <w:lang w:eastAsia="zh-CN"/>
        </w:rPr>
        <w:t>切割速度：0.1-99.9mm/sec,0.1mm/sec递增，回刀速度可在整个切割速度范围内调节</w:t>
      </w:r>
    </w:p>
    <w:p>
      <w:pPr>
        <w:numPr>
          <w:numId w:val="0"/>
        </w:numPr>
        <w:ind w:leftChars="0"/>
      </w:pPr>
      <w:r>
        <w:rPr>
          <w:rFonts w:hint="eastAsia"/>
          <w:lang w:val="en-US" w:eastAsia="zh-CN"/>
        </w:rPr>
        <w:t>9.5</w:t>
      </w:r>
      <w:r>
        <w:rPr>
          <w:rFonts w:hint="eastAsia"/>
          <w:lang w:eastAsia="zh-CN"/>
        </w:rPr>
        <w:t>机械式刀台：50mm，推进总量，25mmE-W横向移动总量，12mmN-S纵向推进总量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四、质保期：不低于5年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6A5334"/>
    <w:multiLevelType w:val="singleLevel"/>
    <w:tmpl w:val="9E6A533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73C4C92"/>
    <w:multiLevelType w:val="singleLevel"/>
    <w:tmpl w:val="F73C4C9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5BBDB04"/>
    <w:multiLevelType w:val="singleLevel"/>
    <w:tmpl w:val="15BBDB0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43B96"/>
    <w:rsid w:val="3CC17BEB"/>
    <w:rsid w:val="529B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2025-10-15T03:06:00Z</dcterms:created>
  <dc:creator>Admin</dc:creator>
  <cp:lastModifiedBy>邓思建</cp:lastModifiedBy>
  <dcterms:modified xsi:type="dcterms:W3CDTF">2026-01-22T08:22:55Z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0BF59C1AFF67411B9C4E5BF8A76911E6</vt:lpwstr>
  </property>
</Properties>
</file>