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0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超高分辨率激光共聚焦显微镜</w:t>
      </w:r>
    </w:p>
    <w:p>
      <w:pPr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1、激光器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1.1 配置不少于4根独立的长寿命固态激光器：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波长405nm：功率≥50mW；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波长488nm：功率≥20mW；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波长561nm：功率≥20mW；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波长638nm：功率≥30mW；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1.2 所有激光谱线均由AOTF控制，可实现连续调节激光强度、高速激光谱线切换；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1.3 激光强度调节范围：0.01%-100%；</w:t>
      </w:r>
    </w:p>
    <w:p>
      <w:pPr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2、扫描检测系统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2.1</w:t>
      </w:r>
      <w:r>
        <w:rPr>
          <w:rFonts w:ascii="Times New Roman" w:hAnsi="Times New Roman" w:eastAsia="宋体" w:cs="Times New Roman"/>
          <w:sz w:val="24"/>
          <w:szCs w:val="24"/>
        </w:rPr>
        <w:t>共聚焦全光路采用复消色差校正，确保荧光成像无色差干扰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2.2配置不少于4个独立的荧光检测器，和一个透射光检测器，所有通道可实时扫描、同时叠加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2.3荧光检测器全部为光谱型检测器，且具有光子计数成像模式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2.4超高灵敏度荧光检测器≥4个，且检测器光子检测效率≥58%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2.5荧光检测器光谱检测范围：410-850nm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2.6独立的三镜扫描，视场数FOV≥22mm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2.7扫描分辨率≥8192×8192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2.8在常规共聚焦及超高分辨扫描模式下，均可同时满足扫描速度≥10幅/秒（512×512像素）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2.9光谱成像：全部荧光检测器均可用于光谱成像，检测范围调节精度≤1nm</w:t>
      </w:r>
    </w:p>
    <w:p>
      <w:pPr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3、超高分辨率成像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3.1 超高分辨成像分辨率：XY轴≤120nm，且Z轴≤200nm，超高分辨率成像模式可使用所有激光器与物镜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3.2同时超高分辨率成像通道≥4个，检测增益独立可调，且光子检测效率不低于58%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3.3超高分辨率成像速度：不低于10幅/秒（512×512像素），且成像分辨率不损失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3.4荧光样品制备：无需选择特定的荧光标记物，常规的激光共聚焦样品都可以进行超高分辨率成像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3.5超高分辨率多通道成像：可以灵活选择荧光收集波段，调节精度1nm</w:t>
      </w:r>
    </w:p>
    <w:p>
      <w:pPr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4、显微镜主机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4.1研究型全自动倒置荧光显微镜；电动LED透射光照明，带触发光闸，速度≤8ms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4.2显微镜内置电动调焦驱动马达，最小步进≤4 nm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4.3荧光附件：复消色差荧光光路，长寿命荧光光源，寿命≥2000小时，六位电动滤色镜转盘，电动光闸，含UV、B、G三通道激发滤块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4.4多功能七孔位聚光镜，NA≥0.55，工作距离≥28mm（需提供实物照片证明）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4.5共聚焦系统专用物镜：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10×平场复消色差共聚焦专用物镜，NA≥0.40；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20×平场复消色差共聚焦专用物镜，NA≥0.75；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40×平场复消色差共聚焦专用物镜，NA≥0.95；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63×平场复消色差共聚焦专用物镜，油镜，NA≥1.40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4.6配置全电动扫描台，扫描行程≥127 mm x 83 mm，扫描分辨率≤20nm</w:t>
      </w:r>
    </w:p>
    <w:p>
      <w:pPr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5、软件部分及图像工作站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5.1智能化光路设置：通过选择样品的染料标记，提供≥3种光路配置模式，一键自动设置所有的光路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5.2自动预扫描功能，可以自动、快速设定扫描参数，减少荧光淬灭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5.3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Z轴深度补偿功能，自动补偿由于样品深度增加造成的信号衰减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5.4多维获取图像获取：包括多通道荧光、Z轴序列扫描、时间序列扫描、区域扫描、旋转扫描、变倍扫描、光谱扫描、多点扫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描和大视野拼图扫描等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5.5交互式漂白，在进行图像采集的同时（包括连续扫描和时间序列实验），通过鼠标点击对指定任意区域进行漂白。适用于主动光活化实验、光转化实验或者快速光漂白实验等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5.6自适应功能：根据实际图像提供最优化方式用于图像处理，提高图像的信噪比、对比度和分辨率</w:t>
      </w:r>
    </w:p>
    <w:p>
      <w:pP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6、质保期≥5年</w:t>
      </w:r>
    </w:p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C67"/>
    <w:rsid w:val="00272093"/>
    <w:rsid w:val="002E371E"/>
    <w:rsid w:val="00301B23"/>
    <w:rsid w:val="006202F0"/>
    <w:rsid w:val="00807E21"/>
    <w:rsid w:val="00833D1F"/>
    <w:rsid w:val="00897D51"/>
    <w:rsid w:val="00A92C67"/>
    <w:rsid w:val="00BD0BD3"/>
    <w:rsid w:val="00C37A16"/>
    <w:rsid w:val="00D33A33"/>
    <w:rsid w:val="00F7354F"/>
    <w:rsid w:val="33036C2D"/>
    <w:rsid w:val="78D8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paragraph" w:styleId="13">
    <w:name w:val="Subtitle"/>
    <w:basedOn w:val="1"/>
    <w:next w:val="1"/>
    <w:link w:val="30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customStyle="1" w:styleId="17">
    <w:name w:val="样式1"/>
    <w:basedOn w:val="15"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14:ligatures w14:val="none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8">
    <w:name w:val="三线表2"/>
    <w:basedOn w:val="15"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14:ligatures w14:val="none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9">
    <w:name w:val="三线表"/>
    <w:basedOn w:val="15"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14:ligatures w14:val="none"/>
    </w:rPr>
    <w:tblPr>
      <w:tblBorders>
        <w:top w:val="single" w:color="auto" w:sz="12" w:space="0"/>
        <w:bottom w:val="single" w:color="auto" w:sz="12" w:space="0"/>
      </w:tblBorders>
    </w:tblPr>
    <w:tblStylePr w:type="firstRow">
      <w:pPr>
        <w:jc w:val="both"/>
      </w:pPr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7 字符"/>
    <w:basedOn w:val="16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6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6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6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6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6"/>
    <w:link w:val="12"/>
    <w:qFormat/>
    <w:uiPriority w:val="99"/>
  </w:style>
  <w:style w:type="character" w:customStyle="1" w:styleId="39">
    <w:name w:val="页脚 字符"/>
    <w:basedOn w:val="16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763</Characters>
  <Lines>29</Lines>
  <Paragraphs>28</Paragraphs>
  <TotalTime>7</TotalTime>
  <ScaleCrop>false</ScaleCrop>
  <LinksUpToDate>false</LinksUpToDate>
  <CharactersWithSpaces>1350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2025-03-20T01:45:00Z</dcterms:created>
  <dc:creator>帅 赵</dc:creator>
  <cp:lastModifiedBy>谯淞源</cp:lastModifiedBy>
  <dcterms:modified xsi:type="dcterms:W3CDTF">2025-03-20T07:24:21Z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