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BA5A2">
      <w:pPr>
        <w:keepNext w:val="0"/>
        <w:keepLines w:val="0"/>
        <w:pageBreakBefore w:val="0"/>
        <w:widowControl/>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b/>
          <w:bCs/>
          <w:kern w:val="0"/>
          <w:sz w:val="44"/>
          <w:szCs w:val="44"/>
          <w:lang w:eastAsia="zh-CN"/>
        </w:rPr>
      </w:pPr>
      <w:bookmarkStart w:id="0" w:name="_GoBack"/>
      <w:r>
        <w:rPr>
          <w:rFonts w:hint="eastAsia" w:ascii="宋体" w:hAnsi="宋体" w:eastAsia="宋体"/>
          <w:b/>
          <w:bCs/>
          <w:kern w:val="0"/>
          <w:sz w:val="44"/>
          <w:szCs w:val="44"/>
          <w:lang w:eastAsia="zh-CN"/>
        </w:rPr>
        <w:t>儿童重症感染及其不良预后预测与早期预警体系构建概况及要求</w:t>
      </w:r>
    </w:p>
    <w:p w14:paraId="7B0A097D">
      <w:pPr>
        <w:keepNext w:val="0"/>
        <w:keepLines w:val="0"/>
        <w:pageBreakBefore w:val="0"/>
        <w:kinsoku/>
        <w:wordWrap/>
        <w:overflowPunct/>
        <w:topLinePunct w:val="0"/>
        <w:autoSpaceDE/>
        <w:autoSpaceDN/>
        <w:bidi w:val="0"/>
        <w:adjustRightInd/>
        <w:snapToGrid/>
        <w:spacing w:line="360" w:lineRule="auto"/>
        <w:textAlignment w:val="auto"/>
        <w:rPr>
          <w:rFonts w:hint="eastAsia"/>
        </w:rPr>
      </w:pPr>
    </w:p>
    <w:p w14:paraId="3ED07556">
      <w:pPr>
        <w:keepNext w:val="0"/>
        <w:keepLines w:val="0"/>
        <w:pageBreakBefore w:val="0"/>
        <w:widowControl/>
        <w:kinsoku/>
        <w:wordWrap/>
        <w:overflowPunct/>
        <w:topLinePunct w:val="0"/>
        <w:autoSpaceDE/>
        <w:autoSpaceDN/>
        <w:bidi w:val="0"/>
        <w:adjustRightInd/>
        <w:snapToGrid/>
        <w:spacing w:after="200" w:line="360" w:lineRule="auto"/>
        <w:ind w:firstLine="0" w:firstLineChars="0"/>
        <w:jc w:val="both"/>
        <w:textAlignment w:val="auto"/>
        <w:rPr>
          <w:rFonts w:hint="eastAsia"/>
        </w:rPr>
      </w:pPr>
      <w:r>
        <w:rPr>
          <w:rFonts w:hint="eastAsia" w:ascii="Cambria" w:hAnsi="Cambria" w:eastAsia="宋体"/>
          <w:b/>
          <w:bCs/>
          <w:kern w:val="0"/>
          <w:sz w:val="30"/>
          <w:szCs w:val="30"/>
          <w:lang w:eastAsia="zh-CN"/>
        </w:rPr>
        <w:t>一、项目概况</w:t>
      </w:r>
    </w:p>
    <w:p w14:paraId="79A186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Cambria" w:hAnsi="Cambria" w:eastAsia="宋体" w:cstheme="minorBidi"/>
          <w:spacing w:val="-1"/>
          <w:kern w:val="0"/>
          <w:sz w:val="24"/>
          <w:szCs w:val="24"/>
          <w:lang w:val="en-US" w:eastAsia="zh-CN" w:bidi="ar-SA"/>
        </w:rPr>
      </w:pPr>
      <w:r>
        <w:rPr>
          <w:rFonts w:hint="eastAsia" w:ascii="Cambria" w:hAnsi="Cambria" w:eastAsia="宋体" w:cstheme="minorBidi"/>
          <w:spacing w:val="-1"/>
          <w:kern w:val="0"/>
          <w:sz w:val="24"/>
          <w:szCs w:val="24"/>
          <w:lang w:val="en-US" w:eastAsia="zh-CN" w:bidi="ar-SA"/>
        </w:rPr>
        <w:t>本项目旨在利用大数据、自然语言处理、深度学习等多项技术，构建一套完整的儿童重症感染及其不良预后的预测模型和早期预警体系。该体系将涵盖病历文本解读、结构化数据整合、多模态数据融合、风险预测、风险解释、预警规则设定、系统集成与交互等多个方面，旨在提高儿童重症感染的早期识别和干预能力，改善患儿预后。</w:t>
      </w:r>
    </w:p>
    <w:p w14:paraId="0C2AA852">
      <w:pPr>
        <w:keepNext w:val="0"/>
        <w:keepLines w:val="0"/>
        <w:pageBreakBefore w:val="0"/>
        <w:kinsoku/>
        <w:wordWrap/>
        <w:overflowPunct/>
        <w:topLinePunct w:val="0"/>
        <w:autoSpaceDE/>
        <w:autoSpaceDN/>
        <w:bidi w:val="0"/>
        <w:adjustRightInd/>
        <w:snapToGrid/>
        <w:spacing w:line="360" w:lineRule="auto"/>
        <w:textAlignment w:val="auto"/>
        <w:rPr>
          <w:rFonts w:hint="eastAsia"/>
        </w:rPr>
      </w:pPr>
    </w:p>
    <w:p w14:paraId="170EE0DF">
      <w:pPr>
        <w:keepNext w:val="0"/>
        <w:keepLines w:val="0"/>
        <w:pageBreakBefore w:val="0"/>
        <w:widowControl/>
        <w:kinsoku/>
        <w:wordWrap/>
        <w:overflowPunct/>
        <w:topLinePunct w:val="0"/>
        <w:autoSpaceDE/>
        <w:autoSpaceDN/>
        <w:bidi w:val="0"/>
        <w:adjustRightInd/>
        <w:snapToGrid/>
        <w:spacing w:after="200" w:line="360" w:lineRule="auto"/>
        <w:ind w:firstLine="0" w:firstLineChars="0"/>
        <w:jc w:val="both"/>
        <w:textAlignment w:val="auto"/>
        <w:rPr>
          <w:rFonts w:hint="eastAsia" w:ascii="Cambria" w:hAnsi="Cambria" w:eastAsia="宋体"/>
          <w:b/>
          <w:bCs/>
          <w:kern w:val="0"/>
          <w:sz w:val="30"/>
          <w:szCs w:val="30"/>
          <w:lang w:eastAsia="zh-CN"/>
        </w:rPr>
      </w:pPr>
      <w:r>
        <w:rPr>
          <w:rFonts w:hint="eastAsia" w:ascii="Cambria" w:hAnsi="Cambria" w:eastAsia="宋体"/>
          <w:b/>
          <w:bCs/>
          <w:kern w:val="0"/>
          <w:sz w:val="30"/>
          <w:szCs w:val="30"/>
          <w:lang w:eastAsia="zh-CN"/>
        </w:rPr>
        <w:t>二、服务内容及要求</w:t>
      </w:r>
    </w:p>
    <w:p w14:paraId="0D5044A7">
      <w:pPr>
        <w:keepNext w:val="0"/>
        <w:keepLines w:val="0"/>
        <w:pageBreakBefore w:val="0"/>
        <w:tabs>
          <w:tab w:val="left" w:pos="312"/>
        </w:tabs>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color w:val="000000" w:themeColor="text1"/>
          <w:sz w:val="24"/>
          <w14:textFill>
            <w14:solidFill>
              <w14:schemeClr w14:val="tx1"/>
            </w14:solidFill>
          </w14:textFill>
        </w:rPr>
      </w:pPr>
      <w:r>
        <w:rPr>
          <w:rFonts w:hint="eastAsia" w:asciiTheme="minorEastAsia" w:hAnsiTheme="minorEastAsia" w:cstheme="minorEastAsia"/>
          <w:b/>
          <w:color w:val="000000" w:themeColor="text1"/>
          <w:sz w:val="24"/>
          <w:lang w:eastAsia="zh-CN"/>
          <w14:textFill>
            <w14:solidFill>
              <w14:schemeClr w14:val="tx1"/>
            </w14:solidFill>
          </w14:textFill>
        </w:rPr>
        <w:t>（</w:t>
      </w:r>
      <w:r>
        <w:rPr>
          <w:rFonts w:hint="eastAsia" w:asciiTheme="minorEastAsia" w:hAnsiTheme="minorEastAsia" w:cstheme="minorEastAsia"/>
          <w:b/>
          <w:color w:val="000000" w:themeColor="text1"/>
          <w:sz w:val="24"/>
          <w:lang w:val="en-US" w:eastAsia="zh-CN"/>
          <w14:textFill>
            <w14:solidFill>
              <w14:schemeClr w14:val="tx1"/>
            </w14:solidFill>
          </w14:textFill>
        </w:rPr>
        <w:t>一</w:t>
      </w:r>
      <w:r>
        <w:rPr>
          <w:rFonts w:hint="eastAsia" w:asciiTheme="minorEastAsia" w:hAnsiTheme="minorEastAsia" w:cstheme="minorEastAsia"/>
          <w:b/>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4"/>
          <w14:textFill>
            <w14:solidFill>
              <w14:schemeClr w14:val="tx1"/>
            </w14:solidFill>
          </w14:textFill>
        </w:rPr>
        <w:t>构建儿童重症感染及其不良预后的预测模型</w:t>
      </w:r>
    </w:p>
    <w:p w14:paraId="31697BC4">
      <w:pPr>
        <w:keepNext w:val="0"/>
        <w:keepLines w:val="0"/>
        <w:pageBreakBefore w:val="0"/>
        <w:tabs>
          <w:tab w:val="left" w:pos="312"/>
        </w:tabs>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cstheme="minorEastAsia"/>
          <w:b/>
          <w:bCs w:val="0"/>
          <w:color w:val="000000" w:themeColor="text1"/>
          <w:sz w:val="24"/>
          <w14:textFill>
            <w14:solidFill>
              <w14:schemeClr w14:val="tx1"/>
            </w14:solidFill>
          </w14:textFill>
        </w:rPr>
      </w:pPr>
      <w:r>
        <w:rPr>
          <w:rFonts w:hint="eastAsia" w:asciiTheme="minorEastAsia" w:hAnsiTheme="minorEastAsia" w:eastAsiaTheme="minorEastAsia" w:cstheme="minorEastAsia"/>
          <w:b/>
          <w:bCs w:val="0"/>
          <w:color w:val="000000" w:themeColor="text1"/>
          <w:sz w:val="24"/>
          <w14:textFill>
            <w14:solidFill>
              <w14:schemeClr w14:val="tx1"/>
            </w14:solidFill>
          </w14:textFill>
        </w:rPr>
        <w:t>1. 构建</w:t>
      </w:r>
      <w:r>
        <w:rPr>
          <w:rFonts w:asciiTheme="minorEastAsia" w:hAnsiTheme="minorEastAsia" w:eastAsiaTheme="minorEastAsia" w:cstheme="minorEastAsia"/>
          <w:b/>
          <w:bCs w:val="0"/>
          <w:color w:val="000000" w:themeColor="text1"/>
          <w:sz w:val="24"/>
          <w14:textFill>
            <w14:solidFill>
              <w14:schemeClr w14:val="tx1"/>
            </w14:solidFill>
          </w14:textFill>
        </w:rPr>
        <w:t>自然语言病历解读模型</w:t>
      </w:r>
    </w:p>
    <w:p w14:paraId="51A46CA9">
      <w:pPr>
        <w:keepNext w:val="0"/>
        <w:keepLines w:val="0"/>
        <w:pageBreakBefore w:val="0"/>
        <w:tabs>
          <w:tab w:val="left" w:pos="312"/>
        </w:tabs>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cstheme="minorEastAsia"/>
          <w:b/>
          <w:bCs w:val="0"/>
          <w:color w:val="000000" w:themeColor="text1"/>
          <w:sz w:val="24"/>
          <w14:textFill>
            <w14:solidFill>
              <w14:schemeClr w14:val="tx1"/>
            </w14:solidFill>
          </w14:textFill>
        </w:rPr>
      </w:pPr>
      <w:r>
        <w:rPr>
          <w:rFonts w:hint="eastAsia" w:asciiTheme="minorEastAsia" w:hAnsiTheme="minorEastAsia" w:eastAsiaTheme="minorEastAsia" w:cstheme="minorEastAsia"/>
          <w:b/>
          <w:bCs w:val="0"/>
          <w:color w:val="000000" w:themeColor="text1"/>
          <w:sz w:val="24"/>
          <w14:textFill>
            <w14:solidFill>
              <w14:schemeClr w14:val="tx1"/>
            </w14:solidFill>
          </w14:textFill>
        </w:rPr>
        <w:t>1.1 模型功能要求：</w:t>
      </w:r>
    </w:p>
    <w:p w14:paraId="18651B24">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（1）</w:t>
      </w:r>
      <w:r>
        <w:rPr>
          <w:rFonts w:hint="eastAsia" w:asciiTheme="minorEastAsia" w:hAnsiTheme="minorEastAsia" w:eastAsiaTheme="minorEastAsia" w:cstheme="minorEastAsia"/>
          <w:bCs/>
          <w:color w:val="000000" w:themeColor="text1"/>
          <w:sz w:val="24"/>
          <w14:textFill>
            <w14:solidFill>
              <w14:schemeClr w14:val="tx1"/>
            </w14:solidFill>
          </w14:textFill>
        </w:rPr>
        <w:t>自动解读能力：模型应能对新增和历史病历（包括但不限于门急诊病历、住院病历、既往病历等）</w:t>
      </w: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的文本内容</w:t>
      </w:r>
      <w:r>
        <w:rPr>
          <w:rFonts w:hint="eastAsia" w:asciiTheme="minorEastAsia" w:hAnsiTheme="minorEastAsia" w:eastAsiaTheme="minorEastAsia" w:cstheme="minorEastAsia"/>
          <w:bCs/>
          <w:color w:val="000000" w:themeColor="text1"/>
          <w:sz w:val="24"/>
          <w14:textFill>
            <w14:solidFill>
              <w14:schemeClr w14:val="tx1"/>
            </w14:solidFill>
          </w14:textFill>
        </w:rPr>
        <w:t>进行自动解读，从中提取关键信息并将其填入预定义的结构化字段中</w:t>
      </w:r>
      <w:r>
        <w:rPr>
          <w:rFonts w:hint="eastAsia" w:asciiTheme="minorEastAsia" w:hAnsiTheme="minorEastAsia" w:eastAsiaTheme="minorEastAsia" w:cstheme="minorEastAsia"/>
          <w:bCs/>
          <w:color w:val="000000" w:themeColor="text1"/>
          <w:sz w:val="24"/>
          <w:lang w:eastAsia="zh-CN"/>
          <w14:textFill>
            <w14:solidFill>
              <w14:schemeClr w14:val="tx1"/>
            </w14:solidFill>
          </w14:textFill>
        </w:rPr>
        <w:t>。</w:t>
      </w:r>
    </w:p>
    <w:p w14:paraId="32893B3C">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（2）解读错误更正渠道：系统应提供直观、易用的界面，允许用户（如临床医生、数据录入员）对模型解读结果进行核对、纠正和补充。应记录每次的更正行为，并能用于模型迭代优化。</w:t>
      </w:r>
    </w:p>
    <w:p w14:paraId="2E792D9C">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3）数据支持与集成：模型应支持基于儿童重症感染专病数据库提取的病历文本信息以及其他结构化数据（包括病历文本、实验室检验结果、病原体检测数据、电子健康记录等数据），应能够与儿童重症感染专病数据库进行无缝集成对接，实现数据的自动同步和共享。允许医院科室和数据库建设方协同根据实际需求，新增、修改和删除对应的结构化字段。</w:t>
      </w:r>
    </w:p>
    <w:p w14:paraId="0B96811F">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t>1.2 考核指标：</w:t>
      </w:r>
    </w:p>
    <w:p w14:paraId="2AD20F1E">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（1）结构化数据准确率：整</w:t>
      </w:r>
      <w:r>
        <w:rPr>
          <w:rFonts w:hint="eastAsia" w:asciiTheme="minorEastAsia" w:hAnsiTheme="minorEastAsia" w:eastAsiaTheme="minorEastAsia" w:cstheme="minorEastAsia"/>
          <w:bCs/>
          <w:color w:val="000000" w:themeColor="text1"/>
          <w:sz w:val="24"/>
          <w:highlight w:val="none"/>
          <w:lang w:val="en-US" w:eastAsia="zh-CN"/>
          <w14:textFill>
            <w14:solidFill>
              <w14:schemeClr w14:val="tx1"/>
            </w14:solidFill>
          </w14:textFill>
        </w:rPr>
        <w:t>体≥90%。</w:t>
      </w:r>
    </w:p>
    <w:p w14:paraId="2DD25412">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highlight w:val="none"/>
          <w:lang w:val="en-US" w:eastAsia="zh-CN"/>
          <w14:textFill>
            <w14:solidFill>
              <w14:schemeClr w14:val="tx1"/>
            </w14:solidFill>
          </w14:textFill>
        </w:rPr>
        <w:t>定义：正确提取并填入结构化字段的信息条数/总的信息条数。</w:t>
      </w:r>
    </w:p>
    <w:p w14:paraId="294751EE">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highlight w:val="none"/>
          <w:lang w:val="en-US" w:eastAsia="zh-CN"/>
          <w14:textFill>
            <w14:solidFill>
              <w14:schemeClr w14:val="tx1"/>
            </w14:solidFill>
          </w14:textFill>
        </w:rPr>
        <w:t>考核方式：抽取一定数量的病历，人工核对模型提取的结构化数据，计算准确率。</w:t>
      </w:r>
    </w:p>
    <w:p w14:paraId="2F31B6C5">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highlight w:val="none"/>
          <w:lang w:val="en-US" w:eastAsia="zh-CN"/>
          <w14:textFill>
            <w14:solidFill>
              <w14:schemeClr w14:val="tx1"/>
            </w14:solidFill>
          </w14:textFill>
        </w:rPr>
        <w:t>（2）平均处理时间：≤ 60秒/份病历</w:t>
      </w: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w:t>
      </w:r>
    </w:p>
    <w:p w14:paraId="10AE72F4">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定义： 模型处理一份病历所需的平均时间。</w:t>
      </w:r>
    </w:p>
    <w:p w14:paraId="5159BAD9">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考核方式：记录模型处理一定数量病历的总时间，然后除以病历数量。</w:t>
      </w:r>
    </w:p>
    <w:p w14:paraId="729BB1A8">
      <w:pPr>
        <w:keepNext w:val="0"/>
        <w:keepLines w:val="0"/>
        <w:pageBreakBefore w:val="0"/>
        <w:numPr>
          <w:ilvl w:val="0"/>
          <w:numId w:val="1"/>
        </w:numPr>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错误更正效率：</w:t>
      </w:r>
    </w:p>
    <w:p w14:paraId="7EC26382">
      <w:pPr>
        <w:keepNext w:val="0"/>
        <w:keepLines w:val="0"/>
        <w:pageBreakBefore w:val="0"/>
        <w:numPr>
          <w:ilvl w:val="-1"/>
          <w:numId w:val="0"/>
        </w:numPr>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定义：提供便捷的错误更正界面，减少人工干预时间。</w:t>
      </w:r>
    </w:p>
    <w:p w14:paraId="15E507ED">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考核方式：统计人工更正一份病历所需的时间，并与现有系统进行比较。</w:t>
      </w:r>
    </w:p>
    <w:p w14:paraId="7811CA9E">
      <w:pPr>
        <w:keepNext w:val="0"/>
        <w:keepLines w:val="0"/>
        <w:pageBreakBefore w:val="0"/>
        <w:tabs>
          <w:tab w:val="left" w:pos="312"/>
        </w:tabs>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color w:val="000000" w:themeColor="text1"/>
          <w:sz w:val="24"/>
          <w14:textFill>
            <w14:solidFill>
              <w14:schemeClr w14:val="tx1"/>
            </w14:solidFill>
          </w14:textFill>
        </w:rPr>
      </w:pPr>
      <w:r>
        <w:rPr>
          <w:rFonts w:hint="eastAsia" w:asciiTheme="minorEastAsia" w:hAnsiTheme="minorEastAsia" w:eastAsiaTheme="minorEastAsia" w:cstheme="minorEastAsia"/>
          <w:b/>
          <w:bCs w:val="0"/>
          <w:color w:val="000000" w:themeColor="text1"/>
          <w:sz w:val="24"/>
          <w14:textFill>
            <w14:solidFill>
              <w14:schemeClr w14:val="tx1"/>
            </w14:solidFill>
          </w14:textFill>
        </w:rPr>
        <w:t>2. 构建儿童重症感染及其不良预后的预测模型</w:t>
      </w:r>
    </w:p>
    <w:p w14:paraId="632E21F5">
      <w:pPr>
        <w:keepNext w:val="0"/>
        <w:keepLines w:val="0"/>
        <w:pageBreakBefore w:val="0"/>
        <w:tabs>
          <w:tab w:val="left" w:pos="312"/>
        </w:tabs>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cstheme="minorEastAsia"/>
          <w:b/>
          <w:bCs w:val="0"/>
          <w:color w:val="000000" w:themeColor="text1"/>
          <w:sz w:val="24"/>
          <w14:textFill>
            <w14:solidFill>
              <w14:schemeClr w14:val="tx1"/>
            </w14:solidFill>
          </w14:textFill>
        </w:rPr>
      </w:pPr>
      <w:r>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t>2</w:t>
      </w:r>
      <w:r>
        <w:rPr>
          <w:rFonts w:hint="eastAsia" w:asciiTheme="minorEastAsia" w:hAnsiTheme="minorEastAsia" w:eastAsiaTheme="minorEastAsia" w:cstheme="minorEastAsia"/>
          <w:b/>
          <w:bCs w:val="0"/>
          <w:color w:val="000000" w:themeColor="text1"/>
          <w:sz w:val="24"/>
          <w14:textFill>
            <w14:solidFill>
              <w14:schemeClr w14:val="tx1"/>
            </w14:solidFill>
          </w14:textFill>
        </w:rPr>
        <w:t>.1 模型</w:t>
      </w:r>
      <w:r>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t>构建要求</w:t>
      </w:r>
      <w:r>
        <w:rPr>
          <w:rFonts w:hint="eastAsia" w:asciiTheme="minorEastAsia" w:hAnsiTheme="minorEastAsia" w:eastAsiaTheme="minorEastAsia" w:cstheme="minorEastAsia"/>
          <w:b/>
          <w:bCs w:val="0"/>
          <w:color w:val="000000" w:themeColor="text1"/>
          <w:sz w:val="24"/>
          <w14:textFill>
            <w14:solidFill>
              <w14:schemeClr w14:val="tx1"/>
            </w14:solidFill>
          </w14:textFill>
        </w:rPr>
        <w:t>：</w:t>
      </w:r>
    </w:p>
    <w:p w14:paraId="630B66FA">
      <w:pPr>
        <w:keepNext w:val="0"/>
        <w:keepLines w:val="0"/>
        <w:pageBreakBefore w:val="0"/>
        <w:tabs>
          <w:tab w:val="left" w:pos="312"/>
        </w:tabs>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（1）</w:t>
      </w:r>
      <w:r>
        <w:rPr>
          <w:rFonts w:hint="eastAsia" w:asciiTheme="minorEastAsia" w:hAnsiTheme="minorEastAsia" w:eastAsiaTheme="minorEastAsia" w:cstheme="minorEastAsia"/>
          <w:bCs/>
          <w:color w:val="000000" w:themeColor="text1"/>
          <w:sz w:val="24"/>
          <w14:textFill>
            <w14:solidFill>
              <w14:schemeClr w14:val="tx1"/>
            </w14:solidFill>
          </w14:textFill>
        </w:rPr>
        <w:t>基于TensorFlow多模态深度学习技术，整合结构化和非结构化数据。</w:t>
      </w:r>
    </w:p>
    <w:p w14:paraId="4BFD4740">
      <w:pPr>
        <w:keepNext w:val="0"/>
        <w:keepLines w:val="0"/>
        <w:pageBreakBefore w:val="0"/>
        <w:tabs>
          <w:tab w:val="left" w:pos="312"/>
        </w:tabs>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（2</w:t>
      </w:r>
      <w:r>
        <w:rPr>
          <w:rFonts w:hint="eastAsia" w:asciiTheme="minorEastAsia" w:hAnsiTheme="minorEastAsia" w:eastAsiaTheme="minorEastAsia" w:cstheme="minorEastAsia"/>
          <w:bCs/>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4"/>
          <w14:textFill>
            <w14:solidFill>
              <w14:schemeClr w14:val="tx1"/>
            </w14:solidFill>
          </w14:textFill>
        </w:rPr>
        <w:t>模型应能够处理多种数据类型，包括：病历文本（NLP）、生物标志物数据（包括实验室检验结果、病原体检测数据等）、影像学数据（包括胸部X摄影、胸部CT等）。</w:t>
      </w:r>
    </w:p>
    <w:p w14:paraId="1054A37E">
      <w:pPr>
        <w:keepNext w:val="0"/>
        <w:keepLines w:val="0"/>
        <w:pageBreakBefore w:val="0"/>
        <w:tabs>
          <w:tab w:val="left" w:pos="312"/>
        </w:tabs>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Cs/>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3</w:t>
      </w:r>
      <w:r>
        <w:rPr>
          <w:rFonts w:hint="eastAsia" w:asciiTheme="minorEastAsia" w:hAnsiTheme="minorEastAsia" w:eastAsiaTheme="minorEastAsia" w:cstheme="minorEastAsia"/>
          <w:bCs/>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4"/>
          <w14:textFill>
            <w14:solidFill>
              <w14:schemeClr w14:val="tx1"/>
            </w14:solidFill>
          </w14:textFill>
        </w:rPr>
        <w:t>模型应利用融合模型生成更全面的风险预测，预测儿童重症感染的风险及不良预后（如重症肺炎、脓毒症、脓毒性休克、甚至死亡风险）。</w:t>
      </w:r>
    </w:p>
    <w:p w14:paraId="0CA3E04A">
      <w:pPr>
        <w:keepNext w:val="0"/>
        <w:keepLines w:val="0"/>
        <w:pageBreakBefore w:val="0"/>
        <w:tabs>
          <w:tab w:val="left" w:pos="312"/>
        </w:tabs>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Cs/>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4</w:t>
      </w:r>
      <w:r>
        <w:rPr>
          <w:rFonts w:hint="eastAsia" w:asciiTheme="minorEastAsia" w:hAnsiTheme="minorEastAsia" w:eastAsiaTheme="minorEastAsia" w:cstheme="minorEastAsia"/>
          <w:bCs/>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4"/>
          <w14:textFill>
            <w14:solidFill>
              <w14:schemeClr w14:val="tx1"/>
            </w14:solidFill>
          </w14:textFill>
        </w:rPr>
        <w:t>模型应能够输出风险评分，并提供风险解释，帮助医生理解预测结果。</w:t>
      </w:r>
    </w:p>
    <w:p w14:paraId="17A16C57">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t>2.2 考核指标：</w:t>
      </w:r>
    </w:p>
    <w:p w14:paraId="38B5BB01">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（1）模型AUC (Area Under the ROC Curve)：≥ 0.85（针对每种不良预后）。</w:t>
      </w:r>
    </w:p>
    <w:p w14:paraId="3597CC93">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定义： ROC曲线下的面积，用于衡量模型的预测能力。</w:t>
      </w:r>
    </w:p>
    <w:p w14:paraId="4C6F1109">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考核方式： 使用历史数据对模型进行验证，计算AUC值。</w:t>
      </w:r>
    </w:p>
    <w:p w14:paraId="5DD7C2EB">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（2）灵敏度 (Sensitivity)：≥ 80%（针对每种不良预后）。</w:t>
      </w:r>
    </w:p>
    <w:p w14:paraId="42E1E8CC">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定义： 模型正确预测为阳性的样本数 / 实际为阳性的样本总数。</w:t>
      </w:r>
    </w:p>
    <w:p w14:paraId="5908F045">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考核方式： 使用外部数据对模型进行验证，计算灵敏度。</w:t>
      </w:r>
    </w:p>
    <w:p w14:paraId="30F7D314">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（3）特异性 (Specificity)：≥ 80%（针对每种不良预后）。</w:t>
      </w:r>
    </w:p>
    <w:p w14:paraId="2B45F6D9">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定义： 模型正确预测为阴性的样本数 / 实际为阴性的样本总数。</w:t>
      </w:r>
    </w:p>
    <w:p w14:paraId="400EB90E">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考核方式： 使用外部数据对模型进行验证，计算特异性。</w:t>
      </w:r>
    </w:p>
    <w:p w14:paraId="5D1F9775">
      <w:pPr>
        <w:keepNext w:val="0"/>
        <w:keepLines w:val="0"/>
        <w:pageBreakBefore w:val="0"/>
        <w:tabs>
          <w:tab w:val="left" w:pos="312"/>
        </w:tabs>
        <w:kinsoku/>
        <w:wordWrap/>
        <w:overflowPunct/>
        <w:topLinePunct w:val="0"/>
        <w:autoSpaceDE/>
        <w:autoSpaceDN/>
        <w:bidi w:val="0"/>
        <w:adjustRightInd/>
        <w:snapToGrid/>
        <w:spacing w:line="360" w:lineRule="auto"/>
        <w:ind w:firstLine="0"/>
        <w:jc w:val="left"/>
        <w:textAlignment w:val="auto"/>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（4）校准度 (Calibration)： 模型预测的概率与实际发生的概率的误差范围控制在10%-15%。</w:t>
      </w:r>
    </w:p>
    <w:p w14:paraId="665BEA68">
      <w:pPr>
        <w:keepNext w:val="0"/>
        <w:keepLines w:val="0"/>
        <w:pageBreakBefore w:val="0"/>
        <w:tabs>
          <w:tab w:val="left" w:pos="312"/>
        </w:tabs>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p>
    <w:p w14:paraId="6E1F494B">
      <w:pPr>
        <w:keepNext w:val="0"/>
        <w:keepLines w:val="0"/>
        <w:pageBreakBefore w:val="0"/>
        <w:tabs>
          <w:tab w:val="left" w:pos="312"/>
        </w:tabs>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color w:val="000000" w:themeColor="text1"/>
          <w:sz w:val="24"/>
          <w14:textFill>
            <w14:solidFill>
              <w14:schemeClr w14:val="tx1"/>
            </w14:solidFill>
          </w14:textFill>
        </w:rPr>
      </w:pPr>
      <w:r>
        <w:rPr>
          <w:rFonts w:hint="eastAsia" w:asciiTheme="minorEastAsia" w:hAnsiTheme="minorEastAsia" w:cstheme="minorEastAsia"/>
          <w:b/>
          <w:color w:val="000000" w:themeColor="text1"/>
          <w:sz w:val="24"/>
          <w:lang w:eastAsia="zh-CN"/>
          <w14:textFill>
            <w14:solidFill>
              <w14:schemeClr w14:val="tx1"/>
            </w14:solidFill>
          </w14:textFill>
        </w:rPr>
        <w:t>（</w:t>
      </w:r>
      <w:r>
        <w:rPr>
          <w:rFonts w:hint="eastAsia" w:asciiTheme="minorEastAsia" w:hAnsiTheme="minorEastAsia" w:cstheme="minorEastAsia"/>
          <w:b/>
          <w:color w:val="000000" w:themeColor="text1"/>
          <w:sz w:val="24"/>
          <w:lang w:val="en-US" w:eastAsia="zh-CN"/>
          <w14:textFill>
            <w14:solidFill>
              <w14:schemeClr w14:val="tx1"/>
            </w14:solidFill>
          </w14:textFill>
        </w:rPr>
        <w:t>二</w:t>
      </w:r>
      <w:r>
        <w:rPr>
          <w:rFonts w:hint="eastAsia" w:asciiTheme="minorEastAsia" w:hAnsiTheme="minorEastAsia" w:cstheme="minorEastAsia"/>
          <w:b/>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4"/>
          <w14:textFill>
            <w14:solidFill>
              <w14:schemeClr w14:val="tx1"/>
            </w14:solidFill>
          </w14:textFill>
        </w:rPr>
        <w:t>构建儿童重症感染及其不良预后早期预警体系</w:t>
      </w:r>
    </w:p>
    <w:p w14:paraId="30038492">
      <w:pPr>
        <w:keepNext w:val="0"/>
        <w:keepLines w:val="0"/>
        <w:pageBreakBefore w:val="0"/>
        <w:tabs>
          <w:tab w:val="left" w:pos="312"/>
        </w:tabs>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t>1.</w:t>
      </w:r>
      <w:r>
        <w:rPr>
          <w:rFonts w:hint="eastAsia" w:asciiTheme="minorEastAsia" w:hAnsiTheme="minorEastAsia" w:eastAsiaTheme="minorEastAsia" w:cstheme="minorEastAsia"/>
          <w:b/>
          <w:bCs w:val="0"/>
          <w:color w:val="000000" w:themeColor="text1"/>
          <w:sz w:val="24"/>
          <w14:textFill>
            <w14:solidFill>
              <w14:schemeClr w14:val="tx1"/>
            </w14:solidFill>
          </w14:textFill>
        </w:rPr>
        <w:t>数据采集、模型构建与预警规则：</w:t>
      </w:r>
      <w:r>
        <w:rPr>
          <w:rFonts w:hint="eastAsia" w:asciiTheme="minorEastAsia" w:hAnsiTheme="minorEastAsia" w:eastAsiaTheme="minorEastAsia" w:cstheme="minorEastAsia"/>
          <w:bCs/>
          <w:color w:val="000000" w:themeColor="text1"/>
          <w:sz w:val="24"/>
          <w14:textFill>
            <w14:solidFill>
              <w14:schemeClr w14:val="tx1"/>
            </w14:solidFill>
          </w14:textFill>
        </w:rPr>
        <w:t>系统需支持多次采集生命体征、实验室检验、影像学检查、用药等临床数据，并有效利用患者不同治疗阶段的数据（数商数据），进行数据清洗和预处理，保证数据质量。采用LSTM、GRU、Transformer等时序模型，捕捉病情时间依赖性，利用历史数据训练和优化模型，提高预警准确性。设定合理的预警规则，包括预警指标、阈值和触发条件，将预警风险划分为不同等级（低、中、高），并提供相应的干预建议。</w:t>
      </w:r>
    </w:p>
    <w:p w14:paraId="04F0788D">
      <w:pPr>
        <w:keepNext w:val="0"/>
        <w:keepLines w:val="0"/>
        <w:pageBreakBefore w:val="0"/>
        <w:tabs>
          <w:tab w:val="left" w:pos="312"/>
        </w:tabs>
        <w:kinsoku/>
        <w:wordWrap/>
        <w:overflowPunct/>
        <w:topLinePunct w:val="0"/>
        <w:autoSpaceDE/>
        <w:autoSpaceDN/>
        <w:bidi w:val="0"/>
        <w:adjustRightInd/>
        <w:snapToGrid/>
        <w:spacing w:line="360" w:lineRule="auto"/>
        <w:ind w:firstLine="0" w:firstLineChars="0"/>
        <w:jc w:val="left"/>
        <w:textAlignment w:val="auto"/>
        <w:rPr>
          <w:rFonts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t>2.</w:t>
      </w:r>
      <w:r>
        <w:rPr>
          <w:rFonts w:hint="eastAsia" w:asciiTheme="minorEastAsia" w:hAnsiTheme="minorEastAsia" w:eastAsiaTheme="minorEastAsia" w:cstheme="minorEastAsia"/>
          <w:b/>
          <w:bCs w:val="0"/>
          <w:color w:val="000000" w:themeColor="text1"/>
          <w:sz w:val="24"/>
          <w14:textFill>
            <w14:solidFill>
              <w14:schemeClr w14:val="tx1"/>
            </w14:solidFill>
          </w14:textFill>
        </w:rPr>
        <w:t>系统集成与交互：</w:t>
      </w:r>
      <w:r>
        <w:rPr>
          <w:rFonts w:hint="eastAsia" w:asciiTheme="minorEastAsia" w:hAnsiTheme="minorEastAsia" w:eastAsiaTheme="minorEastAsia" w:cstheme="minorEastAsia"/>
          <w:bCs/>
          <w:color w:val="000000" w:themeColor="text1"/>
          <w:sz w:val="24"/>
          <w14:textFill>
            <w14:solidFill>
              <w14:schemeClr w14:val="tx1"/>
            </w14:solidFill>
          </w14:textFill>
        </w:rPr>
        <w:t>系统需与医院已有的互联网医院、疾病全病程管理系统无缝集成，实现数据共享，并将预警信息及时推送给医生，便于早期干预。支持将患者纳入随访队列，进行持续管理，并建立医生反馈机制，优化预警模型。</w:t>
      </w:r>
    </w:p>
    <w:p w14:paraId="757A344D">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asciiTheme="minorEastAsia" w:hAnsiTheme="minorEastAsia" w:eastAsiaTheme="minorEastAsia" w:cstheme="minorEastAsia"/>
          <w:b/>
          <w:bCs w:val="0"/>
          <w:color w:val="000000" w:themeColor="text1"/>
          <w:sz w:val="24"/>
          <w:lang w:val="en-US" w:eastAsia="zh-CN"/>
          <w14:textFill>
            <w14:solidFill>
              <w14:schemeClr w14:val="tx1"/>
            </w14:solidFill>
          </w14:textFill>
        </w:rPr>
        <w:t>3.</w:t>
      </w:r>
      <w:r>
        <w:rPr>
          <w:rFonts w:hint="eastAsia" w:asciiTheme="minorEastAsia" w:hAnsiTheme="minorEastAsia" w:eastAsiaTheme="minorEastAsia" w:cstheme="minorEastAsia"/>
          <w:b/>
          <w:bCs w:val="0"/>
          <w:color w:val="000000" w:themeColor="text1"/>
          <w:sz w:val="24"/>
          <w14:textFill>
            <w14:solidFill>
              <w14:schemeClr w14:val="tx1"/>
            </w14:solidFill>
          </w14:textFill>
        </w:rPr>
        <w:t>考核指标：</w:t>
      </w:r>
      <w:r>
        <w:rPr>
          <w:rFonts w:hint="eastAsia" w:asciiTheme="minorEastAsia" w:hAnsiTheme="minorEastAsia" w:eastAsiaTheme="minorEastAsia" w:cstheme="minorEastAsia"/>
          <w:bCs/>
          <w:color w:val="000000" w:themeColor="text1"/>
          <w:sz w:val="24"/>
          <w14:textFill>
            <w14:solidFill>
              <w14:schemeClr w14:val="tx1"/>
            </w14:solidFill>
          </w14:textFill>
        </w:rPr>
        <w:t>平均预警提前时间≥24小时，阳性预测值(PPV)≥70%，阴性预测值(NPV)≥90%，误报率≤10%，医生采纳率≥80%。同时，需严格遵守数据安全和隐私保护相关法律法规，采取技术措施，保护患者个人信息，提供数据脱敏方案。</w:t>
      </w:r>
    </w:p>
    <w:p w14:paraId="3A745E71">
      <w:pPr>
        <w:keepNext w:val="0"/>
        <w:keepLines w:val="0"/>
        <w:pageBreakBefore w:val="0"/>
        <w:kinsoku/>
        <w:wordWrap/>
        <w:overflowPunct/>
        <w:topLinePunct w:val="0"/>
        <w:autoSpaceDE/>
        <w:autoSpaceDN/>
        <w:bidi w:val="0"/>
        <w:adjustRightInd/>
        <w:snapToGrid/>
        <w:spacing w:line="360" w:lineRule="auto"/>
        <w:textAlignment w:val="auto"/>
        <w:rPr>
          <w:rFonts w:hint="eastAsia"/>
        </w:rPr>
      </w:pPr>
    </w:p>
    <w:p w14:paraId="2076ACFC">
      <w:pPr>
        <w:keepNext w:val="0"/>
        <w:keepLines w:val="0"/>
        <w:pageBreakBefore w:val="0"/>
        <w:widowControl/>
        <w:numPr>
          <w:ilvl w:val="0"/>
          <w:numId w:val="2"/>
        </w:numPr>
        <w:kinsoku/>
        <w:wordWrap/>
        <w:overflowPunct/>
        <w:topLinePunct w:val="0"/>
        <w:autoSpaceDE/>
        <w:autoSpaceDN/>
        <w:bidi w:val="0"/>
        <w:adjustRightInd/>
        <w:snapToGrid/>
        <w:spacing w:after="200" w:line="360" w:lineRule="auto"/>
        <w:ind w:firstLine="0" w:firstLineChars="0"/>
        <w:jc w:val="both"/>
        <w:textAlignment w:val="auto"/>
        <w:rPr>
          <w:rFonts w:hint="eastAsia" w:ascii="Cambria" w:hAnsi="Cambria" w:eastAsia="宋体"/>
          <w:b/>
          <w:bCs/>
          <w:kern w:val="0"/>
          <w:sz w:val="30"/>
          <w:szCs w:val="30"/>
          <w:lang w:eastAsia="zh-CN"/>
        </w:rPr>
      </w:pPr>
      <w:r>
        <w:rPr>
          <w:rFonts w:hint="eastAsia" w:ascii="Cambria" w:hAnsi="Cambria" w:eastAsia="宋体"/>
          <w:b/>
          <w:bCs/>
          <w:kern w:val="0"/>
          <w:sz w:val="30"/>
          <w:szCs w:val="30"/>
          <w:lang w:eastAsia="zh-CN"/>
        </w:rPr>
        <w:t>质保及报价要求</w:t>
      </w:r>
    </w:p>
    <w:p w14:paraId="281FEE9F">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lang w:val="en-US" w:eastAsia="zh-CN"/>
          <w14:textFill>
            <w14:solidFill>
              <w14:schemeClr w14:val="tx1"/>
            </w14:solidFill>
          </w14:textFill>
        </w:rPr>
        <w:t>1.</w:t>
      </w:r>
      <w:r>
        <w:rPr>
          <w:rFonts w:hint="eastAsia" w:asciiTheme="minorEastAsia" w:hAnsiTheme="minorEastAsia" w:eastAsiaTheme="minorEastAsia" w:cstheme="minorEastAsia"/>
          <w:b w:val="0"/>
          <w:bCs/>
          <w:color w:val="000000" w:themeColor="text1"/>
          <w:sz w:val="24"/>
          <w14:textFill>
            <w14:solidFill>
              <w14:schemeClr w14:val="tx1"/>
            </w14:solidFill>
          </w14:textFill>
        </w:rPr>
        <w:t>服务期限：合</w:t>
      </w:r>
      <w:r>
        <w:rPr>
          <w:rFonts w:hint="eastAsia" w:asciiTheme="minorEastAsia" w:hAnsiTheme="minorEastAsia" w:eastAsiaTheme="minorEastAsia" w:cstheme="minorEastAsia"/>
          <w:bCs/>
          <w:color w:val="000000" w:themeColor="text1"/>
          <w:sz w:val="24"/>
          <w14:textFill>
            <w14:solidFill>
              <w14:schemeClr w14:val="tx1"/>
            </w14:solidFill>
          </w14:textFill>
        </w:rPr>
        <w:t>同签署后</w:t>
      </w:r>
      <w:r>
        <w:rPr>
          <w:rFonts w:hint="eastAsia" w:asciiTheme="minorEastAsia" w:hAnsiTheme="minorEastAsia" w:eastAsiaTheme="minorEastAsia" w:cstheme="minorEastAsia"/>
          <w:bCs/>
          <w:color w:val="000000" w:themeColor="text1"/>
          <w:sz w:val="24"/>
          <w:lang w:val="en-US" w:eastAsia="zh-CN"/>
          <w14:textFill>
            <w14:solidFill>
              <w14:schemeClr w14:val="tx1"/>
            </w14:solidFill>
          </w14:textFill>
        </w:rPr>
        <w:t>12</w:t>
      </w:r>
      <w:r>
        <w:rPr>
          <w:rFonts w:hint="eastAsia" w:asciiTheme="minorEastAsia" w:hAnsiTheme="minorEastAsia" w:eastAsiaTheme="minorEastAsia" w:cstheme="minorEastAsia"/>
          <w:bCs/>
          <w:color w:val="000000" w:themeColor="text1"/>
          <w:sz w:val="24"/>
          <w14:textFill>
            <w14:solidFill>
              <w14:schemeClr w14:val="tx1"/>
            </w14:solidFill>
          </w14:textFill>
        </w:rPr>
        <w:t>个月内；</w:t>
      </w:r>
    </w:p>
    <w:p w14:paraId="459E1332">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color w:val="000000" w:themeColor="text1"/>
          <w:sz w:val="24"/>
          <w14:textFill>
            <w14:solidFill>
              <w14:schemeClr w14:val="tx1"/>
            </w14:solidFill>
          </w14:textFill>
        </w:rPr>
      </w:pPr>
      <w:r>
        <w:rPr>
          <w:rFonts w:hint="eastAsia" w:asciiTheme="minorEastAsia" w:hAnsiTheme="minorEastAsia" w:eastAsiaTheme="minorEastAsia" w:cstheme="minorEastAsia"/>
          <w:bCs/>
          <w:color w:val="000000" w:themeColor="text1"/>
          <w:sz w:val="24"/>
          <w14:textFill>
            <w14:solidFill>
              <w14:schemeClr w14:val="tx1"/>
            </w14:solidFill>
          </w14:textFill>
        </w:rPr>
        <w:t>2.报价格式自拟，并加盖公章；</w:t>
      </w:r>
    </w:p>
    <w:p w14:paraId="51D161D0">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color w:val="000000" w:themeColor="text1"/>
          <w:sz w:val="24"/>
          <w:lang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14:textFill>
            <w14:solidFill>
              <w14:schemeClr w14:val="tx1"/>
            </w14:solidFill>
          </w14:textFill>
        </w:rPr>
        <w:t>3.报价须为人民币报价，包含</w:t>
      </w:r>
      <w:r>
        <w:rPr>
          <w:rFonts w:hint="eastAsia" w:asciiTheme="minorEastAsia" w:hAnsiTheme="minorEastAsia" w:cstheme="minorEastAsia"/>
          <w:bCs/>
          <w:color w:val="000000" w:themeColor="text1"/>
          <w:sz w:val="24"/>
          <w:lang w:val="en-US" w:eastAsia="zh-CN"/>
          <w14:textFill>
            <w14:solidFill>
              <w14:schemeClr w14:val="tx1"/>
            </w14:solidFill>
          </w14:textFill>
        </w:rPr>
        <w:t>但不限于</w:t>
      </w:r>
      <w:r>
        <w:rPr>
          <w:rFonts w:hint="eastAsia" w:asciiTheme="minorEastAsia" w:hAnsiTheme="minorEastAsia" w:eastAsiaTheme="minorEastAsia" w:cstheme="minorEastAsia"/>
          <w:bCs/>
          <w:color w:val="000000" w:themeColor="text1"/>
          <w:sz w:val="24"/>
          <w14:textFill>
            <w14:solidFill>
              <w14:schemeClr w14:val="tx1"/>
            </w14:solidFill>
          </w14:textFill>
        </w:rPr>
        <w:t>：软件系统、</w:t>
      </w:r>
      <w:r>
        <w:rPr>
          <w:rFonts w:hint="eastAsia" w:asciiTheme="minorEastAsia" w:hAnsiTheme="minorEastAsia" w:cstheme="minorEastAsia"/>
          <w:bCs/>
          <w:color w:val="000000" w:themeColor="text1"/>
          <w:sz w:val="24"/>
          <w:lang w:eastAsia="zh-CN"/>
          <w14:textFill>
            <w14:solidFill>
              <w14:schemeClr w14:val="tx1"/>
            </w14:solidFill>
          </w14:textFill>
        </w:rPr>
        <w:t>内网部署</w:t>
      </w:r>
      <w:r>
        <w:rPr>
          <w:rFonts w:hint="eastAsia" w:asciiTheme="minorEastAsia" w:hAnsiTheme="minorEastAsia" w:cstheme="minorEastAsia"/>
          <w:bCs/>
          <w:color w:val="000000" w:themeColor="text1"/>
          <w:sz w:val="24"/>
          <w:lang w:val="en-US" w:eastAsia="zh-CN"/>
          <w14:textFill>
            <w14:solidFill>
              <w14:schemeClr w14:val="tx1"/>
            </w14:solidFill>
          </w14:textFill>
        </w:rPr>
        <w:t>及对接接口改造</w:t>
      </w:r>
      <w:r>
        <w:rPr>
          <w:rFonts w:hint="eastAsia" w:asciiTheme="minorEastAsia" w:hAnsiTheme="minorEastAsia" w:eastAsiaTheme="minorEastAsia" w:cstheme="minorEastAsia"/>
          <w:bCs/>
          <w:color w:val="000000" w:themeColor="text1"/>
          <w:sz w:val="24"/>
          <w14:textFill>
            <w14:solidFill>
              <w14:schemeClr w14:val="tx1"/>
            </w14:solidFill>
          </w14:textFill>
        </w:rPr>
        <w:t>费用</w:t>
      </w:r>
      <w:r>
        <w:rPr>
          <w:rFonts w:hint="eastAsia" w:asciiTheme="minorEastAsia" w:hAnsiTheme="minorEastAsia" w:cstheme="minorEastAsia"/>
          <w:bCs/>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4"/>
          <w14:textFill>
            <w14:solidFill>
              <w14:schemeClr w14:val="tx1"/>
            </w14:solidFill>
          </w14:textFill>
        </w:rPr>
        <w:t>服务费、车旅费、运输费（含装卸费）、保险费、安装调试费、税费、培训费、专用维修设备的使用费等所有费用</w:t>
      </w:r>
      <w:r>
        <w:rPr>
          <w:rFonts w:hint="eastAsia" w:asciiTheme="minorEastAsia" w:hAnsiTheme="minorEastAsia" w:cstheme="minorEastAsia"/>
          <w:bCs/>
          <w:color w:val="000000" w:themeColor="text1"/>
          <w:sz w:val="24"/>
          <w:lang w:eastAsia="zh-CN"/>
          <w14:textFill>
            <w14:solidFill>
              <w14:schemeClr w14:val="tx1"/>
            </w14:solidFill>
          </w14:textFill>
        </w:rPr>
        <w:t>；</w:t>
      </w:r>
    </w:p>
    <w:p w14:paraId="49F632C0">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Cs/>
          <w:color w:val="000000" w:themeColor="text1"/>
          <w:sz w:val="24"/>
          <w:lang w:val="en-US" w:eastAsia="zh-CN"/>
          <w14:textFill>
            <w14:solidFill>
              <w14:schemeClr w14:val="tx1"/>
            </w14:solidFill>
          </w14:textFill>
        </w:rPr>
      </w:pPr>
      <w:r>
        <w:rPr>
          <w:rFonts w:hint="eastAsia" w:asciiTheme="minorEastAsia" w:hAnsiTheme="minorEastAsia" w:cstheme="minorEastAsia"/>
          <w:bCs/>
          <w:color w:val="000000" w:themeColor="text1"/>
          <w:sz w:val="24"/>
          <w:lang w:val="en-US" w:eastAsia="zh-CN"/>
          <w14:textFill>
            <w14:solidFill>
              <w14:schemeClr w14:val="tx1"/>
            </w14:solidFill>
          </w14:textFill>
        </w:rPr>
        <w:t>4.质保期：3年。</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4F9831"/>
    <w:multiLevelType w:val="singleLevel"/>
    <w:tmpl w:val="8E4F9831"/>
    <w:lvl w:ilvl="0" w:tentative="0">
      <w:start w:val="3"/>
      <w:numFmt w:val="chineseCounting"/>
      <w:suff w:val="nothing"/>
      <w:lvlText w:val="%1、"/>
      <w:lvlJc w:val="left"/>
      <w:rPr>
        <w:rFonts w:hint="eastAsia"/>
      </w:rPr>
    </w:lvl>
  </w:abstractNum>
  <w:abstractNum w:abstractNumId="1">
    <w:nsid w:val="C5092BCB"/>
    <w:multiLevelType w:val="singleLevel"/>
    <w:tmpl w:val="C5092BCB"/>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320B3"/>
    <w:rsid w:val="1C8F563F"/>
    <w:rsid w:val="218E623B"/>
    <w:rsid w:val="3188686A"/>
    <w:rsid w:val="3ECF6099"/>
    <w:rsid w:val="444320B3"/>
    <w:rsid w:val="70A47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unhideWhenUsed/>
    <w:qFormat/>
    <w:uiPriority w:val="99"/>
    <w:pPr>
      <w:spacing w:after="12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目录样式"/>
    <w:basedOn w:val="1"/>
    <w:qFormat/>
    <w:uiPriority w:val="0"/>
    <w:pPr>
      <w:tabs>
        <w:tab w:val="right" w:leader="dot" w:pos="8504"/>
      </w:tabs>
      <w:ind w:firstLine="0" w:firstLineChars="0"/>
    </w:pPr>
    <w:rPr>
      <w:rFonts w:hint="eastAsia" w:ascii="黑体" w:hAnsi="黑体" w:eastAsia="黑体" w:cs="黑体"/>
      <w:b/>
      <w:snapToGrid w:val="0"/>
      <w:kern w:val="0"/>
      <w:sz w:val="24"/>
    </w:rPr>
  </w:style>
  <w:style w:type="paragraph" w:customStyle="1" w:styleId="9">
    <w:name w:val="方案正文"/>
    <w:basedOn w:val="1"/>
    <w:qFormat/>
    <w:uiPriority w:val="0"/>
    <w:pPr>
      <w:widowControl w:val="0"/>
      <w:spacing w:before="120" w:after="0"/>
      <w:ind w:firstLine="425" w:firstLineChars="177"/>
      <w:jc w:val="both"/>
    </w:pPr>
    <w:rPr>
      <w:rFonts w:ascii="华文细黑" w:hAnsi="华文细黑" w:eastAsia="华文细黑" w:cs="Times New Roman"/>
      <w:szCs w:val="24"/>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1823</Words>
  <Characters>1959</Characters>
  <Lines>0</Lines>
  <Paragraphs>0</Paragraphs>
  <TotalTime>250</TotalTime>
  <ScaleCrop>false</ScaleCrop>
  <LinksUpToDate>false</LinksUpToDate>
  <CharactersWithSpaces>1989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2025-10-22T01:36:00Z</dcterms:created>
  <dc:creator>Qinyuan Li</dc:creator>
  <cp:lastModifiedBy>Qinyuan Li</cp:lastModifiedBy>
  <dcterms:modified xsi:type="dcterms:W3CDTF">2025-10-22T15:48:54Z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ECE6E735DC504B6B998BE72BDF2E01FE_13</vt:lpwstr>
  </property>
  <property fmtid="{D5CDD505-2E9C-101B-9397-08002B2CF9AE}" pid="4" name="KSOTemplateDocerSaveRecord">
    <vt:lpwstr>eyJoZGlkIjoiYTc2ZGZiNzZiNDVlOGViOWVmM2JhOTY0NGJkNjUyYzgiLCJ1c2VySWQiOiIyNTk0MjM0MjUifQ==</vt:lpwstr>
  </property>
</Properties>
</file>