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39EB407">
      <w:pPr>
        <w:jc w:val="center"/>
        <w:rPr>
          <w:rFonts w:hint="eastAsia" w:ascii="黑体" w:hAnsi="黑体" w:eastAsia="黑体" w:cs="Times New Roman Regular"/>
          <w:b/>
          <w:bCs/>
          <w:sz w:val="44"/>
          <w:szCs w:val="44"/>
        </w:rPr>
      </w:pPr>
      <w:r>
        <w:rPr>
          <w:rFonts w:ascii="黑体" w:hAnsi="黑体" w:eastAsia="黑体" w:cs="Times New Roman Regular"/>
          <w:b/>
          <w:bCs/>
          <w:sz w:val="44"/>
          <w:szCs w:val="44"/>
        </w:rPr>
        <w:t>重庆医科大学附属儿童医院</w:t>
      </w:r>
    </w:p>
    <w:p w14:paraId="0A6D53FA">
      <w:pPr>
        <w:jc w:val="center"/>
        <w:rPr>
          <w:rFonts w:hint="default" w:ascii="黑体" w:hAnsi="黑体" w:eastAsia="黑体" w:cs="Times New Roman Regular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Times New Roman Regular"/>
          <w:b/>
          <w:bCs/>
          <w:sz w:val="44"/>
          <w:szCs w:val="44"/>
          <w:lang w:val="en-US" w:eastAsia="zh-CN"/>
        </w:rPr>
        <w:t>计算机网络布线及维修市场调查文件</w:t>
      </w:r>
    </w:p>
    <w:p w14:paraId="1F3B52B9">
      <w:pPr>
        <w:pStyle w:val="4"/>
        <w:rPr>
          <w:rStyle w:val="18"/>
          <w:rFonts w:ascii="Times New Roman Regular" w:hAnsi="Times New Roman Regular" w:cs="Times New Roman Regular"/>
          <w:b/>
          <w:bCs/>
          <w:sz w:val="30"/>
          <w:szCs w:val="30"/>
        </w:rPr>
      </w:pPr>
      <w:r>
        <w:rPr>
          <w:rStyle w:val="18"/>
          <w:rFonts w:ascii="Times New Roman Regular" w:hAnsi="Times New Roman Regular" w:cs="Times New Roman Regular"/>
          <w:b/>
          <w:bCs/>
          <w:sz w:val="30"/>
          <w:szCs w:val="30"/>
        </w:rPr>
        <w:t>一、项目概况</w:t>
      </w:r>
    </w:p>
    <w:p w14:paraId="09A185D8">
      <w:pPr>
        <w:pStyle w:val="31"/>
        <w:ind w:firstLine="480" w:firstLineChars="200"/>
        <w:jc w:val="left"/>
        <w:rPr>
          <w:rFonts w:hint="eastAsia" w:ascii="Calibri" w:hAnsi="Calibri" w:eastAsia="宋体" w:cs="Times New Roman"/>
          <w:color w:val="auto"/>
          <w:sz w:val="24"/>
          <w:lang w:val="en-US" w:eastAsia="zh-CN"/>
        </w:rPr>
      </w:pPr>
      <w:r>
        <w:rPr>
          <w:rFonts w:hint="eastAsia" w:ascii="Calibri" w:hAnsi="Calibri" w:eastAsia="宋体" w:cs="Times New Roman"/>
          <w:color w:val="auto"/>
          <w:sz w:val="24"/>
          <w:lang w:val="en-US" w:eastAsia="zh-CN"/>
        </w:rPr>
        <w:t>为保障医院各科室正常使用业务信息系统，针对无网络接入点位的区域，开展零散单点网络布线作业，并根据科室需求提供网络点位临时增设、点位调整、线路故障维修等服务。本项目以单次布设 1-2 个点位的零散施工为主要场景，所有施工须严格遵照医院指定时间与院内各项管理制度开展。本次服务周期为 3 年（自合同签订之日起计算）</w:t>
      </w:r>
    </w:p>
    <w:p w14:paraId="2F6EFFD2">
      <w:pPr>
        <w:pStyle w:val="31"/>
        <w:ind w:firstLine="480" w:firstLineChars="200"/>
        <w:jc w:val="left"/>
        <w:rPr>
          <w:rFonts w:hint="eastAsia" w:ascii="Calibri" w:hAnsi="Calibri" w:eastAsia="宋体" w:cs="Times New Roman"/>
          <w:color w:val="auto"/>
          <w:sz w:val="24"/>
          <w:lang w:val="en-US" w:eastAsia="zh-CN"/>
        </w:rPr>
      </w:pPr>
      <w:r>
        <w:rPr>
          <w:rFonts w:hint="eastAsia" w:ascii="Calibri" w:hAnsi="Calibri" w:eastAsia="宋体" w:cs="Times New Roman"/>
          <w:color w:val="auto"/>
          <w:sz w:val="24"/>
          <w:lang w:val="en-US" w:eastAsia="zh-CN"/>
        </w:rPr>
        <w:t>计量与结算规则：</w:t>
      </w:r>
    </w:p>
    <w:p w14:paraId="5860BC5D">
      <w:pPr>
        <w:pStyle w:val="31"/>
        <w:ind w:firstLine="480" w:firstLineChars="200"/>
        <w:jc w:val="left"/>
        <w:rPr>
          <w:rFonts w:hint="eastAsia" w:ascii="宋体" w:hAnsi="宋体" w:eastAsia="宋体"/>
          <w:szCs w:val="28"/>
          <w:lang w:val="en-US" w:eastAsia="zh-CN"/>
        </w:rPr>
      </w:pPr>
      <w:r>
        <w:rPr>
          <w:rFonts w:hint="eastAsia" w:ascii="宋体" w:hAnsi="宋体" w:eastAsia="宋体"/>
          <w:szCs w:val="28"/>
          <w:lang w:val="en-US" w:eastAsia="zh-CN"/>
        </w:rPr>
        <w:t>1.标准网络点位：1 个标准网络点位包含 1 套 86 型信息面板 + 1 个六类非屏蔽信息模块 + 端到端六类低烟无卤网线敷设、两端端接、全链路性能测试；双口信息面板按照2 个标准网络点位统计结算。按实际完工数量统计，每年统一结算一次。</w:t>
      </w:r>
    </w:p>
    <w:p w14:paraId="7F959EBB">
      <w:pPr>
        <w:pStyle w:val="31"/>
        <w:ind w:firstLine="480" w:firstLineChars="200"/>
        <w:jc w:val="left"/>
        <w:rPr>
          <w:rFonts w:hint="eastAsia" w:ascii="宋体" w:hAnsi="宋体" w:eastAsia="宋体"/>
          <w:szCs w:val="28"/>
          <w:lang w:val="en-US" w:eastAsia="zh-CN"/>
        </w:rPr>
      </w:pPr>
      <w:r>
        <w:rPr>
          <w:rFonts w:hint="eastAsia" w:ascii="宋体" w:hAnsi="宋体" w:eastAsia="宋体"/>
          <w:szCs w:val="28"/>
          <w:lang w:val="en-US" w:eastAsia="zh-CN"/>
        </w:rPr>
        <w:t>2.24芯单模光缆系统：实行整套包干计价，包含光缆本体、光纤配线架、光模块、法兰盘、尾纤、熔接、全线测试、施工辅材、人工等全部内容，</w:t>
      </w:r>
      <w:r>
        <w:rPr>
          <w:rFonts w:ascii="宋体" w:hAnsi="宋体" w:eastAsia="宋体" w:cs="宋体"/>
          <w:sz w:val="24"/>
          <w:szCs w:val="24"/>
        </w:rPr>
        <w:t>不按光纤芯数单独计费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/>
          <w:szCs w:val="28"/>
          <w:lang w:val="en-US" w:eastAsia="zh-CN"/>
        </w:rPr>
        <w:t>按实际完工数量统计，每年统一结算一次。</w:t>
      </w:r>
    </w:p>
    <w:p w14:paraId="00D9E338">
      <w:pPr>
        <w:pStyle w:val="31"/>
        <w:ind w:firstLine="480" w:firstLineChars="200"/>
        <w:jc w:val="left"/>
        <w:rPr>
          <w:rFonts w:hint="eastAsia" w:ascii="宋体" w:hAnsi="宋体" w:eastAsia="宋体"/>
          <w:szCs w:val="28"/>
          <w:lang w:val="en-US" w:eastAsia="zh-CN"/>
        </w:rPr>
      </w:pPr>
      <w:r>
        <w:rPr>
          <w:rFonts w:hint="eastAsia" w:ascii="宋体" w:hAnsi="宋体" w:eastAsia="宋体"/>
          <w:szCs w:val="28"/>
          <w:lang w:val="en-US" w:eastAsia="zh-CN"/>
        </w:rPr>
        <w:t>3.网络点位维修：全院综合布线网络点位维修工作，统一按单次 / 单个点位作为计价单位，作业过程中不再区分线路故障、端口故障、配件损坏等各类故障类型，不拆分维修细项、不额外收取配件、人工、运输、测试等附加费用。按实际完工数量统计，每年统一结算一次。</w:t>
      </w:r>
    </w:p>
    <w:p w14:paraId="7EDDF763">
      <w:pPr>
        <w:pStyle w:val="4"/>
        <w:numPr>
          <w:ilvl w:val="0"/>
          <w:numId w:val="1"/>
        </w:numPr>
        <w:rPr>
          <w:rStyle w:val="18"/>
          <w:rFonts w:ascii="Times New Roman Regular" w:hAnsi="Times New Roman Regular" w:cs="Times New Roman Regular"/>
          <w:b/>
          <w:bCs/>
          <w:sz w:val="30"/>
          <w:szCs w:val="30"/>
        </w:rPr>
      </w:pPr>
      <w:r>
        <w:rPr>
          <w:rStyle w:val="18"/>
          <w:rFonts w:ascii="Times New Roman Regular" w:hAnsi="Times New Roman Regular" w:cs="Times New Roman Regular"/>
          <w:b/>
          <w:bCs/>
          <w:sz w:val="30"/>
          <w:szCs w:val="30"/>
        </w:rPr>
        <w:t>项目要求</w:t>
      </w:r>
    </w:p>
    <w:p w14:paraId="01850E40">
      <w:pPr>
        <w:pStyle w:val="31"/>
        <w:ind w:firstLine="480" w:firstLineChars="200"/>
        <w:jc w:val="left"/>
        <w:rPr>
          <w:rFonts w:hint="eastAsia" w:ascii="宋体" w:hAnsi="宋体" w:eastAsia="宋体"/>
          <w:szCs w:val="28"/>
          <w:lang w:val="en-US" w:eastAsia="zh-CN"/>
        </w:rPr>
      </w:pPr>
      <w:r>
        <w:rPr>
          <w:rFonts w:hint="eastAsia" w:ascii="宋体" w:hAnsi="宋体" w:eastAsia="宋体"/>
          <w:szCs w:val="28"/>
          <w:lang w:val="en-US" w:eastAsia="zh-CN"/>
        </w:rPr>
        <w:t>1.本项目所有材料、施工、验收、运维均需符合 GB/T 50311-2016《综合布线系统工程设计规范》、《建筑设计防火规范》国家相关标准。</w:t>
      </w:r>
    </w:p>
    <w:p w14:paraId="590D11B3">
      <w:pPr>
        <w:pStyle w:val="31"/>
        <w:ind w:firstLine="480" w:firstLineChars="200"/>
        <w:jc w:val="left"/>
        <w:rPr>
          <w:rFonts w:hint="eastAsia" w:ascii="宋体" w:hAnsi="宋体" w:eastAsia="宋体"/>
          <w:szCs w:val="28"/>
          <w:lang w:val="en-US" w:eastAsia="zh-CN"/>
        </w:rPr>
      </w:pPr>
      <w:r>
        <w:rPr>
          <w:rFonts w:hint="eastAsia" w:ascii="宋体" w:hAnsi="宋体" w:eastAsia="宋体"/>
          <w:szCs w:val="28"/>
          <w:lang w:val="en-US" w:eastAsia="zh-CN"/>
        </w:rPr>
        <w:t>2.6类低烟无卤网线、配线架、信息模块等综合布线配件须为同一品牌。品牌限定：康普、西蒙、TCL 罗格朗、泛达。6 类网线传输频率≥250MHz，阻燃等级≥C 级，低烟无卤性能符合 GB/T 19666 标准。</w:t>
      </w:r>
    </w:p>
    <w:p w14:paraId="6EB4C6AF">
      <w:pPr>
        <w:pStyle w:val="31"/>
        <w:ind w:firstLine="480" w:firstLineChars="200"/>
        <w:jc w:val="left"/>
        <w:rPr>
          <w:rFonts w:hint="eastAsia" w:ascii="宋体" w:hAnsi="宋体" w:eastAsia="宋体"/>
          <w:szCs w:val="28"/>
          <w:lang w:val="en-US" w:eastAsia="zh-CN"/>
        </w:rPr>
      </w:pPr>
      <w:r>
        <w:rPr>
          <w:rFonts w:hint="eastAsia" w:ascii="宋体" w:hAnsi="宋体" w:eastAsia="宋体"/>
          <w:szCs w:val="28"/>
          <w:lang w:val="en-US" w:eastAsia="zh-CN"/>
        </w:rPr>
        <w:t>3.光缆及光纤配线架：采用 24 芯单模光纤，搭配抽拉式光缆配线架，满配单模 LC 模块，含法兰盘、束状尾纤等全套施工辅材。品牌限定：长飞、烽火、亨通、中天。</w:t>
      </w:r>
    </w:p>
    <w:p w14:paraId="19833AFC">
      <w:pPr>
        <w:pStyle w:val="31"/>
        <w:ind w:firstLine="480" w:firstLineChars="200"/>
        <w:jc w:val="left"/>
        <w:rPr>
          <w:rFonts w:hint="eastAsia" w:ascii="宋体" w:hAnsi="宋体" w:eastAsia="宋体"/>
          <w:szCs w:val="28"/>
          <w:lang w:val="en-US" w:eastAsia="zh-CN"/>
        </w:rPr>
      </w:pPr>
      <w:r>
        <w:rPr>
          <w:rFonts w:hint="eastAsia" w:ascii="宋体" w:hAnsi="宋体" w:eastAsia="宋体"/>
          <w:szCs w:val="28"/>
          <w:lang w:val="en-US" w:eastAsia="zh-CN"/>
        </w:rPr>
        <w:t>4.信息面板、PVC 管、波纹管、PVC 槽板、铝合金槽板、扎带等施工辅材，选用国产优质产品，全部符合国家质量标准。</w:t>
      </w:r>
    </w:p>
    <w:p w14:paraId="40A6BC6A">
      <w:pPr>
        <w:pStyle w:val="31"/>
        <w:ind w:firstLine="480" w:firstLineChars="200"/>
        <w:jc w:val="left"/>
        <w:rPr>
          <w:rFonts w:hint="eastAsia" w:ascii="宋体" w:hAnsi="宋体" w:eastAsia="宋体"/>
          <w:szCs w:val="28"/>
          <w:lang w:val="en-US" w:eastAsia="zh-CN"/>
        </w:rPr>
      </w:pPr>
      <w:r>
        <w:rPr>
          <w:rFonts w:hint="eastAsia" w:ascii="宋体" w:hAnsi="宋体" w:eastAsia="宋体"/>
          <w:szCs w:val="28"/>
          <w:lang w:val="en-US" w:eastAsia="zh-CN"/>
        </w:rPr>
        <w:t>5.服务范围包含：现场勘查、布线施工、端接安装、链路性能测试、标签标识、网络点位维修、故障排查、验收资料交付等全流程工作。</w:t>
      </w:r>
    </w:p>
    <w:p w14:paraId="19E69F5F">
      <w:pPr>
        <w:pStyle w:val="31"/>
        <w:ind w:firstLine="480" w:firstLineChars="200"/>
        <w:jc w:val="left"/>
        <w:rPr>
          <w:rFonts w:hint="eastAsia" w:ascii="宋体" w:hAnsi="宋体" w:eastAsia="宋体"/>
          <w:szCs w:val="28"/>
          <w:lang w:val="en-US" w:eastAsia="zh-CN"/>
        </w:rPr>
      </w:pPr>
      <w:r>
        <w:rPr>
          <w:rFonts w:hint="eastAsia" w:ascii="宋体" w:hAnsi="宋体" w:eastAsia="宋体"/>
          <w:szCs w:val="28"/>
          <w:lang w:val="en-US" w:eastAsia="zh-CN"/>
        </w:rPr>
        <w:t>6.施工管理要求</w:t>
      </w:r>
    </w:p>
    <w:p w14:paraId="1EA73D9B">
      <w:pPr>
        <w:pStyle w:val="31"/>
        <w:ind w:firstLine="480" w:firstLineChars="200"/>
        <w:jc w:val="left"/>
        <w:rPr>
          <w:rFonts w:hint="eastAsia" w:ascii="宋体" w:hAnsi="宋体" w:eastAsia="宋体"/>
          <w:szCs w:val="28"/>
          <w:lang w:val="en-US" w:eastAsia="zh-CN"/>
        </w:rPr>
      </w:pPr>
      <w:r>
        <w:rPr>
          <w:rFonts w:hint="eastAsia" w:ascii="宋体" w:hAnsi="宋体" w:eastAsia="宋体"/>
          <w:szCs w:val="28"/>
          <w:lang w:val="en-US" w:eastAsia="zh-CN"/>
        </w:rPr>
        <w:t>（1）所有进场施工必须提前向医院信息中心申请，无审批不得擅自进场作业。</w:t>
      </w:r>
    </w:p>
    <w:p w14:paraId="36DBCFE0">
      <w:pPr>
        <w:pStyle w:val="31"/>
        <w:ind w:firstLine="480" w:firstLineChars="200"/>
        <w:jc w:val="left"/>
        <w:rPr>
          <w:rFonts w:hint="eastAsia" w:ascii="宋体" w:hAnsi="宋体" w:eastAsia="宋体"/>
          <w:szCs w:val="28"/>
          <w:lang w:val="en-US" w:eastAsia="zh-CN"/>
        </w:rPr>
      </w:pPr>
      <w:r>
        <w:rPr>
          <w:rFonts w:hint="eastAsia" w:ascii="宋体" w:hAnsi="宋体" w:eastAsia="宋体"/>
          <w:szCs w:val="28"/>
          <w:lang w:val="en-US" w:eastAsia="zh-CN"/>
        </w:rPr>
        <w:t>（2）手术室、无菌区域、ICU、新生儿科等重点医疗区域，仅可在院方指定的非诊疗时段施工，全程由院方人员陪同，严禁触碰医疗设备、污染无菌环境。</w:t>
      </w:r>
    </w:p>
    <w:p w14:paraId="4F95BF23">
      <w:pPr>
        <w:pStyle w:val="31"/>
        <w:ind w:firstLine="480" w:firstLineChars="200"/>
        <w:jc w:val="left"/>
        <w:rPr>
          <w:rFonts w:hint="eastAsia" w:ascii="宋体" w:hAnsi="宋体" w:eastAsia="宋体"/>
          <w:szCs w:val="28"/>
          <w:lang w:val="en-US" w:eastAsia="zh-CN"/>
        </w:rPr>
      </w:pPr>
      <w:r>
        <w:rPr>
          <w:rFonts w:hint="eastAsia" w:ascii="宋体" w:hAnsi="宋体" w:eastAsia="宋体"/>
          <w:szCs w:val="28"/>
          <w:lang w:val="en-US" w:eastAsia="zh-CN"/>
        </w:rPr>
        <w:t>（3）施工过程落实安全防护措施，禁止违规动火、违规高空作业，施工垃圾做到日产日清。</w:t>
      </w:r>
    </w:p>
    <w:p w14:paraId="377E8C0C">
      <w:pPr>
        <w:pStyle w:val="31"/>
        <w:ind w:firstLine="480" w:firstLineChars="200"/>
        <w:jc w:val="left"/>
        <w:rPr>
          <w:rFonts w:hint="eastAsia" w:ascii="宋体" w:hAnsi="宋体" w:eastAsia="宋体"/>
          <w:szCs w:val="28"/>
          <w:lang w:val="en-US" w:eastAsia="zh-CN"/>
        </w:rPr>
      </w:pPr>
      <w:r>
        <w:rPr>
          <w:rFonts w:hint="eastAsia" w:ascii="宋体" w:hAnsi="宋体" w:eastAsia="宋体"/>
          <w:szCs w:val="28"/>
          <w:lang w:val="en-US" w:eastAsia="zh-CN"/>
        </w:rPr>
        <w:t>7.质保要求：所有布线材料、施工工程整体提供3 年原厂质保；质保期内提供 7×24 小时故障响应服务，主城区故障 2 小时内安排人员到场处置。所有点位完工后，须提交链路测试报告，作为项目验收必备资料。</w:t>
      </w:r>
    </w:p>
    <w:p w14:paraId="66BE0CE1">
      <w:pPr>
        <w:pStyle w:val="31"/>
        <w:ind w:firstLine="480" w:firstLineChars="200"/>
        <w:jc w:val="left"/>
        <w:rPr>
          <w:rFonts w:hint="eastAsia" w:ascii="宋体" w:hAnsi="宋体" w:eastAsia="宋体"/>
          <w:szCs w:val="28"/>
          <w:lang w:val="en-US" w:eastAsia="zh-CN"/>
        </w:rPr>
      </w:pPr>
      <w:r>
        <w:rPr>
          <w:rFonts w:hint="eastAsia" w:ascii="宋体" w:hAnsi="宋体" w:eastAsia="宋体"/>
          <w:szCs w:val="28"/>
          <w:lang w:val="en-US" w:eastAsia="zh-CN"/>
        </w:rPr>
        <w:t>8.所有进场产品须提供原厂出厂合格证、原厂质保承诺函，严禁使用假冒、仿冒、水货产品。</w:t>
      </w:r>
    </w:p>
    <w:p w14:paraId="44F5B482">
      <w:pPr>
        <w:pStyle w:val="12"/>
      </w:pPr>
    </w:p>
    <w:p w14:paraId="30FC6229">
      <w:pPr>
        <w:pStyle w:val="4"/>
        <w:rPr>
          <w:rFonts w:hint="default" w:ascii="Times New Roman Regular" w:hAnsi="Times New Roman Regular" w:cs="Times New Roman Regular"/>
          <w:sz w:val="30"/>
          <w:szCs w:val="30"/>
          <w:lang w:val="en-US" w:eastAsia="zh-CN"/>
        </w:rPr>
      </w:pPr>
      <w:r>
        <w:rPr>
          <w:rFonts w:hint="eastAsia" w:ascii="Times New Roman Regular" w:hAnsi="Times New Roman Regular" w:cs="Times New Roman Regular"/>
          <w:sz w:val="30"/>
          <w:szCs w:val="30"/>
          <w:lang w:val="en-US" w:eastAsia="zh-CN"/>
        </w:rPr>
        <w:t>三、网络与数据安全要求：</w:t>
      </w:r>
    </w:p>
    <w:p w14:paraId="56DA6A18">
      <w:pPr>
        <w:pStyle w:val="31"/>
        <w:ind w:firstLine="480" w:firstLineChars="200"/>
        <w:jc w:val="left"/>
        <w:rPr>
          <w:rFonts w:hint="eastAsia" w:ascii="宋体" w:hAnsi="宋体" w:eastAsia="宋体"/>
          <w:szCs w:val="28"/>
        </w:rPr>
      </w:pPr>
      <w:r>
        <w:rPr>
          <w:rFonts w:hint="eastAsia" w:ascii="宋体" w:hAnsi="宋体" w:eastAsia="宋体"/>
          <w:szCs w:val="28"/>
          <w:lang w:val="en-US" w:eastAsia="zh-CN"/>
        </w:rPr>
        <w:t>1.</w:t>
      </w:r>
      <w:r>
        <w:rPr>
          <w:rFonts w:hint="eastAsia" w:ascii="宋体" w:hAnsi="宋体" w:eastAsia="宋体"/>
          <w:szCs w:val="28"/>
        </w:rPr>
        <w:t>供应商须遵守医院各项网络安全、数据安全及个人信息保护管理制度。</w:t>
      </w:r>
    </w:p>
    <w:p w14:paraId="4EB96CD3">
      <w:pPr>
        <w:pStyle w:val="31"/>
        <w:ind w:firstLine="480" w:firstLineChars="200"/>
        <w:jc w:val="left"/>
        <w:rPr>
          <w:rFonts w:hint="eastAsia" w:ascii="宋体" w:hAnsi="宋体" w:eastAsia="宋体"/>
          <w:szCs w:val="28"/>
        </w:rPr>
      </w:pPr>
      <w:r>
        <w:rPr>
          <w:rFonts w:hint="eastAsia" w:ascii="宋体" w:hAnsi="宋体" w:eastAsia="宋体"/>
          <w:szCs w:val="28"/>
          <w:lang w:val="en-US" w:eastAsia="zh-CN"/>
        </w:rPr>
        <w:t>2</w:t>
      </w:r>
      <w:r>
        <w:rPr>
          <w:rFonts w:hint="eastAsia" w:ascii="宋体" w:hAnsi="宋体" w:eastAsia="宋体"/>
          <w:szCs w:val="28"/>
        </w:rPr>
        <w:t>.</w:t>
      </w:r>
      <w:r>
        <w:rPr>
          <w:rFonts w:hint="eastAsia" w:ascii="宋体" w:hAnsi="宋体" w:eastAsia="宋体"/>
          <w:szCs w:val="28"/>
          <w:lang w:val="en-US" w:eastAsia="zh-CN"/>
        </w:rPr>
        <w:t>供应商</w:t>
      </w:r>
      <w:r>
        <w:rPr>
          <w:rFonts w:hint="eastAsia" w:ascii="宋体" w:hAnsi="宋体" w:eastAsia="宋体"/>
          <w:szCs w:val="28"/>
        </w:rPr>
        <w:t>须与医院签订《网络和信息安全责任书》，明确安全责任和义务。</w:t>
      </w:r>
    </w:p>
    <w:p w14:paraId="346FF7FD">
      <w:pPr>
        <w:pStyle w:val="31"/>
        <w:ind w:firstLine="480" w:firstLineChars="200"/>
        <w:jc w:val="left"/>
        <w:rPr>
          <w:rFonts w:hint="eastAsia" w:ascii="宋体" w:hAnsi="宋体" w:eastAsia="宋体"/>
          <w:szCs w:val="28"/>
        </w:rPr>
      </w:pPr>
      <w:r>
        <w:rPr>
          <w:rFonts w:hint="eastAsia" w:ascii="宋体" w:hAnsi="宋体" w:eastAsia="宋体"/>
          <w:szCs w:val="28"/>
          <w:lang w:val="en-US" w:eastAsia="zh-CN"/>
        </w:rPr>
        <w:t>3</w:t>
      </w:r>
      <w:r>
        <w:rPr>
          <w:rFonts w:hint="eastAsia" w:ascii="宋体" w:hAnsi="宋体" w:eastAsia="宋体"/>
          <w:szCs w:val="28"/>
        </w:rPr>
        <w:t>.</w:t>
      </w:r>
      <w:r>
        <w:rPr>
          <w:rFonts w:hint="eastAsia" w:ascii="宋体" w:hAnsi="宋体" w:eastAsia="宋体"/>
          <w:szCs w:val="28"/>
          <w:lang w:val="en-US" w:eastAsia="zh-CN"/>
        </w:rPr>
        <w:t>服务</w:t>
      </w:r>
      <w:r>
        <w:rPr>
          <w:rFonts w:hint="eastAsia" w:ascii="宋体" w:hAnsi="宋体" w:eastAsia="宋体"/>
          <w:szCs w:val="28"/>
        </w:rPr>
        <w:t>人员须签署《保密协议》，未经医院书面授权不得泄露、复制、传播任何医院数据。</w:t>
      </w:r>
    </w:p>
    <w:p w14:paraId="66E794FE">
      <w:pPr>
        <w:pStyle w:val="31"/>
        <w:ind w:firstLine="480" w:firstLineChars="200"/>
        <w:jc w:val="left"/>
        <w:rPr>
          <w:rFonts w:hint="eastAsia" w:ascii="宋体" w:hAnsi="宋体" w:eastAsia="宋体"/>
          <w:szCs w:val="28"/>
        </w:rPr>
      </w:pPr>
      <w:r>
        <w:rPr>
          <w:rFonts w:hint="eastAsia" w:ascii="宋体" w:hAnsi="宋体" w:eastAsia="宋体"/>
          <w:szCs w:val="28"/>
          <w:lang w:val="en-US" w:eastAsia="zh-CN"/>
        </w:rPr>
        <w:t>4</w:t>
      </w:r>
      <w:r>
        <w:rPr>
          <w:rFonts w:hint="eastAsia" w:ascii="宋体" w:hAnsi="宋体" w:eastAsia="宋体"/>
          <w:szCs w:val="28"/>
        </w:rPr>
        <w:t>.</w:t>
      </w:r>
      <w:r>
        <w:rPr>
          <w:rFonts w:hint="eastAsia" w:ascii="宋体" w:hAnsi="宋体" w:eastAsia="宋体"/>
          <w:szCs w:val="28"/>
          <w:lang w:val="en-US" w:eastAsia="zh-CN"/>
        </w:rPr>
        <w:t>供应商</w:t>
      </w:r>
      <w:r>
        <w:rPr>
          <w:rFonts w:hint="eastAsia" w:ascii="宋体" w:hAnsi="宋体" w:eastAsia="宋体"/>
          <w:szCs w:val="28"/>
        </w:rPr>
        <w:t>须指定专人负责安全工作，人员变动须提前告知医院并做好交接。</w:t>
      </w:r>
    </w:p>
    <w:p w14:paraId="5A5ACD43">
      <w:pPr>
        <w:pStyle w:val="31"/>
        <w:ind w:firstLine="480" w:firstLineChars="200"/>
        <w:jc w:val="left"/>
        <w:rPr>
          <w:rFonts w:hint="eastAsia" w:ascii="宋体" w:hAnsi="宋体" w:eastAsia="宋体"/>
          <w:szCs w:val="28"/>
        </w:rPr>
      </w:pPr>
      <w:r>
        <w:rPr>
          <w:rFonts w:hint="eastAsia" w:ascii="宋体" w:hAnsi="宋体" w:eastAsia="宋体"/>
          <w:szCs w:val="28"/>
          <w:lang w:val="en-US" w:eastAsia="zh-CN"/>
        </w:rPr>
        <w:t>5.</w:t>
      </w:r>
      <w:r>
        <w:rPr>
          <w:rFonts w:hint="eastAsia" w:ascii="宋体" w:hAnsi="宋体" w:eastAsia="宋体"/>
          <w:szCs w:val="28"/>
        </w:rPr>
        <w:t>施工人员进场前须参加医院组织的安全培训与保密教育，并签署《施工安全承诺书》；严禁未经授权接入医院业务网络、触碰医疗终端设备，施工过程做好物理隔离，不得干扰现有网络及医疗系统正常运行。</w:t>
      </w:r>
    </w:p>
    <w:p w14:paraId="3D07A184">
      <w:pPr>
        <w:pStyle w:val="31"/>
        <w:ind w:firstLine="480" w:firstLineChars="200"/>
        <w:jc w:val="left"/>
        <w:rPr>
          <w:rFonts w:hint="eastAsia" w:ascii="宋体" w:hAnsi="宋体" w:eastAsia="宋体"/>
          <w:szCs w:val="28"/>
        </w:rPr>
      </w:pPr>
      <w:r>
        <w:rPr>
          <w:rFonts w:hint="eastAsia" w:ascii="宋体" w:hAnsi="宋体" w:eastAsia="宋体"/>
          <w:szCs w:val="28"/>
          <w:lang w:val="en-US" w:eastAsia="zh-CN"/>
        </w:rPr>
        <w:t>6.</w:t>
      </w:r>
      <w:r>
        <w:rPr>
          <w:rFonts w:hint="eastAsia" w:ascii="宋体" w:hAnsi="宋体" w:eastAsia="宋体"/>
          <w:szCs w:val="28"/>
        </w:rPr>
        <w:t>施工人员严禁接触、采集、外传医院患者隐私数据、诊疗数据等敏感信息；本项目所有施工资料、测试报告仅用于项目本身，不得对外泄露，保密义务长期有效，因泄密造成损失的，由供应商承担全部法律与经济责任。</w:t>
      </w:r>
    </w:p>
    <w:p w14:paraId="71769EA5">
      <w:pPr>
        <w:pStyle w:val="31"/>
        <w:ind w:firstLine="480" w:firstLineChars="200"/>
        <w:jc w:val="left"/>
        <w:rPr>
          <w:rFonts w:hint="eastAsia" w:ascii="宋体" w:hAnsi="宋体" w:eastAsia="宋体"/>
          <w:szCs w:val="28"/>
        </w:rPr>
      </w:pPr>
      <w:r>
        <w:rPr>
          <w:rFonts w:hint="eastAsia" w:ascii="宋体" w:hAnsi="宋体" w:eastAsia="宋体"/>
          <w:szCs w:val="28"/>
          <w:lang w:val="en-US" w:eastAsia="zh-CN"/>
        </w:rPr>
        <w:t>7.</w:t>
      </w:r>
      <w:r>
        <w:rPr>
          <w:rFonts w:hint="eastAsia" w:ascii="宋体" w:hAnsi="宋体" w:eastAsia="宋体"/>
          <w:szCs w:val="28"/>
        </w:rPr>
        <w:t>施工期间若突发网络中断、业务系统异常等问题，需立即停止作业，第一时间联系医院信息中心，配合开展应急处置工作。</w:t>
      </w:r>
    </w:p>
    <w:p w14:paraId="5BA1C4E5">
      <w:pPr>
        <w:pStyle w:val="31"/>
        <w:ind w:firstLine="480" w:firstLineChars="200"/>
        <w:jc w:val="left"/>
        <w:rPr>
          <w:rFonts w:hint="eastAsia" w:ascii="宋体" w:hAnsi="宋体" w:eastAsia="宋体"/>
          <w:szCs w:val="28"/>
        </w:rPr>
      </w:pPr>
      <w:r>
        <w:rPr>
          <w:rFonts w:hint="eastAsia" w:ascii="宋体" w:hAnsi="宋体" w:eastAsia="宋体"/>
          <w:szCs w:val="28"/>
          <w:lang w:val="en-US" w:eastAsia="zh-CN"/>
        </w:rPr>
        <w:t>8.</w:t>
      </w:r>
      <w:r>
        <w:rPr>
          <w:rFonts w:hint="eastAsia" w:ascii="宋体" w:hAnsi="宋体" w:eastAsia="宋体"/>
          <w:szCs w:val="28"/>
        </w:rPr>
        <w:t>项目负责人、现场施工人员须持有综合布线相关从业资格证书，具备 3 年及以上医疗行业综合布线施工经验；人员名单提前提交医院备案，人员变更需提前报备。</w:t>
      </w:r>
    </w:p>
    <w:p w14:paraId="027E811D">
      <w:pPr>
        <w:pStyle w:val="4"/>
        <w:rPr>
          <w:rFonts w:hint="eastAsia" w:ascii="Times New Roman Regular" w:hAnsi="Times New Roman Regular" w:cs="Times New Roman Regular"/>
          <w:sz w:val="30"/>
          <w:szCs w:val="30"/>
          <w:lang w:val="en-US" w:eastAsia="zh-CN"/>
        </w:rPr>
      </w:pPr>
      <w:r>
        <w:rPr>
          <w:rFonts w:hint="eastAsia" w:ascii="Times New Roman Regular" w:hAnsi="Times New Roman Regular" w:cs="Times New Roman Regular"/>
          <w:sz w:val="30"/>
          <w:szCs w:val="30"/>
          <w:lang w:val="en-US" w:eastAsia="zh-CN"/>
        </w:rPr>
        <w:t>四、报价要求</w:t>
      </w:r>
    </w:p>
    <w:p w14:paraId="0F74C257">
      <w:pPr>
        <w:pStyle w:val="31"/>
        <w:ind w:firstLine="480" w:firstLineChars="200"/>
        <w:jc w:val="left"/>
        <w:rPr>
          <w:rFonts w:hint="eastAsia" w:ascii="宋体" w:hAnsi="宋体" w:eastAsia="宋体"/>
          <w:szCs w:val="28"/>
        </w:rPr>
      </w:pPr>
      <w:r>
        <w:rPr>
          <w:rFonts w:hint="eastAsia" w:ascii="宋体" w:hAnsi="宋体" w:eastAsia="宋体"/>
          <w:szCs w:val="28"/>
        </w:rPr>
        <w:t>注意事项：按附件1（市场调查表）进行填报，如漏项、增项、修改项则无效，报价时需有单价、总价、合计，并盖公章。</w:t>
      </w:r>
    </w:p>
    <w:p w14:paraId="23A9D5D2">
      <w:pPr>
        <w:pStyle w:val="31"/>
        <w:numPr>
          <w:ilvl w:val="0"/>
          <w:numId w:val="2"/>
        </w:numPr>
        <w:ind w:firstLine="480" w:firstLineChars="200"/>
        <w:jc w:val="left"/>
        <w:rPr>
          <w:rFonts w:hint="eastAsia" w:ascii="宋体" w:hAnsi="宋体" w:eastAsia="宋体"/>
          <w:szCs w:val="28"/>
        </w:rPr>
      </w:pPr>
      <w:r>
        <w:rPr>
          <w:rFonts w:hint="eastAsia" w:ascii="宋体" w:hAnsi="宋体" w:eastAsia="宋体"/>
          <w:szCs w:val="28"/>
        </w:rPr>
        <w:t>报价为含税人民币报价。单个标准网络点位报价为全包干价格，包含服务费、人工费、车旅费、货物运输费、保险费、安装调试费、税费、专用维修设备使用费、3 年质保运维费等项目全周期所有费用。</w:t>
      </w:r>
    </w:p>
    <w:p w14:paraId="63231E91">
      <w:pPr>
        <w:pStyle w:val="31"/>
        <w:numPr>
          <w:ilvl w:val="0"/>
          <w:numId w:val="2"/>
        </w:numPr>
        <w:ind w:firstLine="480" w:firstLineChars="200"/>
        <w:jc w:val="left"/>
        <w:rPr>
          <w:rFonts w:ascii="Times New Roman Regular" w:hAnsi="Times New Roman Regular" w:eastAsia="宋体" w:cs="Times New Roman Regular"/>
          <w:szCs w:val="28"/>
        </w:rPr>
      </w:pPr>
      <w:r>
        <w:rPr>
          <w:rFonts w:hint="eastAsia" w:ascii="Times New Roman Regular" w:hAnsi="Times New Roman Regular" w:eastAsia="宋体" w:cs="Times New Roman Regular"/>
          <w:szCs w:val="28"/>
        </w:rPr>
        <w:t>供应商须随报价文件一并提供近 12 个月内同类综合布线项目合同关键页复印件，复印件清晰可辨，模糊</w:t>
      </w:r>
      <w:r>
        <w:rPr>
          <w:rFonts w:hint="eastAsia" w:ascii="Times New Roman Regular" w:hAnsi="Times New Roman Regular" w:eastAsia="宋体" w:cs="Times New Roman Regular"/>
          <w:szCs w:val="28"/>
          <w:lang w:eastAsia="zh-CN"/>
        </w:rPr>
        <w:t>。</w:t>
      </w:r>
    </w:p>
    <w:p w14:paraId="0EC00EBB">
      <w:pPr>
        <w:pStyle w:val="31"/>
        <w:numPr>
          <w:ilvl w:val="0"/>
          <w:numId w:val="2"/>
        </w:numPr>
        <w:ind w:firstLine="480" w:firstLineChars="200"/>
        <w:jc w:val="left"/>
        <w:rPr>
          <w:rFonts w:ascii="Times New Roman Regular" w:hAnsi="Times New Roman Regular" w:eastAsia="宋体" w:cs="Times New Roman Regular"/>
          <w:szCs w:val="28"/>
        </w:rPr>
      </w:pPr>
      <w:r>
        <w:rPr>
          <w:rFonts w:hint="eastAsia" w:ascii="宋体" w:hAnsi="宋体" w:eastAsia="宋体"/>
          <w:szCs w:val="28"/>
        </w:rPr>
        <w:t>请将准备好的市场调查文件盖章后制作为电子档（PDF格式）发送至指定邮箱：88316666@qq.com。</w:t>
      </w:r>
    </w:p>
    <w:p w14:paraId="4110BA4C">
      <w:pPr>
        <w:pStyle w:val="31"/>
        <w:ind w:firstLine="480" w:firstLineChars="200"/>
        <w:jc w:val="left"/>
        <w:rPr>
          <w:rFonts w:hint="eastAsia" w:ascii="宋体" w:hAnsi="宋体" w:eastAsia="宋体"/>
          <w:szCs w:val="28"/>
        </w:rPr>
      </w:pPr>
      <w:bookmarkStart w:id="0" w:name="_GoBack"/>
      <w:bookmarkEnd w:id="0"/>
    </w:p>
    <w:p w14:paraId="55B22632">
      <w:pPr>
        <w:pStyle w:val="31"/>
        <w:ind w:firstLine="480" w:firstLineChars="200"/>
        <w:jc w:val="left"/>
        <w:rPr>
          <w:rFonts w:hint="eastAsia" w:ascii="宋体" w:hAnsi="宋体" w:eastAsia="宋体"/>
          <w:szCs w:val="28"/>
        </w:rPr>
      </w:pPr>
    </w:p>
    <w:p w14:paraId="13AA9CC8">
      <w:pPr>
        <w:pStyle w:val="31"/>
        <w:ind w:firstLine="480" w:firstLineChars="200"/>
        <w:jc w:val="left"/>
        <w:rPr>
          <w:rFonts w:hint="eastAsia" w:ascii="宋体" w:hAnsi="宋体" w:eastAsia="宋体"/>
          <w:szCs w:val="28"/>
        </w:rPr>
      </w:pPr>
    </w:p>
    <w:p w14:paraId="3570A06C">
      <w:pPr>
        <w:pStyle w:val="31"/>
        <w:ind w:firstLine="480" w:firstLineChars="200"/>
        <w:jc w:val="left"/>
        <w:rPr>
          <w:rFonts w:hint="eastAsia" w:ascii="宋体" w:hAnsi="宋体" w:eastAsia="宋体"/>
          <w:szCs w:val="28"/>
        </w:rPr>
      </w:pPr>
    </w:p>
    <w:p w14:paraId="0FE64DCA">
      <w:pPr>
        <w:pStyle w:val="31"/>
        <w:ind w:firstLine="480" w:firstLineChars="200"/>
        <w:jc w:val="left"/>
        <w:rPr>
          <w:rFonts w:hint="eastAsia" w:ascii="宋体" w:hAnsi="宋体" w:eastAsia="宋体"/>
          <w:szCs w:val="28"/>
        </w:rPr>
      </w:pPr>
    </w:p>
    <w:p w14:paraId="657C6F16">
      <w:pPr>
        <w:pStyle w:val="31"/>
        <w:ind w:firstLine="480" w:firstLineChars="200"/>
        <w:jc w:val="left"/>
        <w:rPr>
          <w:rFonts w:hint="eastAsia" w:ascii="宋体" w:hAnsi="宋体" w:eastAsia="宋体"/>
          <w:szCs w:val="28"/>
        </w:rPr>
      </w:pPr>
    </w:p>
    <w:p w14:paraId="3A9383F1">
      <w:pPr>
        <w:pStyle w:val="31"/>
        <w:ind w:firstLine="480" w:firstLineChars="200"/>
        <w:jc w:val="left"/>
        <w:rPr>
          <w:rFonts w:hint="eastAsia" w:ascii="宋体" w:hAnsi="宋体" w:eastAsia="宋体"/>
          <w:szCs w:val="28"/>
        </w:rPr>
      </w:pPr>
    </w:p>
    <w:p w14:paraId="724DFC12">
      <w:pPr>
        <w:pStyle w:val="31"/>
        <w:ind w:firstLine="480" w:firstLineChars="200"/>
        <w:jc w:val="left"/>
        <w:rPr>
          <w:rFonts w:hint="eastAsia" w:ascii="宋体" w:hAnsi="宋体" w:eastAsia="宋体"/>
          <w:szCs w:val="28"/>
        </w:rPr>
      </w:pPr>
      <w:r>
        <w:rPr>
          <w:rFonts w:hint="eastAsia" w:ascii="宋体" w:hAnsi="宋体" w:eastAsia="宋体"/>
          <w:szCs w:val="28"/>
        </w:rPr>
        <w:t>附件1.市场调查表</w:t>
      </w:r>
    </w:p>
    <w:tbl>
      <w:tblPr>
        <w:tblStyle w:val="15"/>
        <w:tblpPr w:leftFromText="180" w:rightFromText="180" w:vertAnchor="text" w:horzAnchor="page" w:tblpX="1136" w:tblpY="259"/>
        <w:tblOverlap w:val="never"/>
        <w:tblW w:w="99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2417"/>
        <w:gridCol w:w="1875"/>
        <w:gridCol w:w="1134"/>
        <w:gridCol w:w="992"/>
        <w:gridCol w:w="709"/>
        <w:gridCol w:w="1134"/>
        <w:gridCol w:w="1059"/>
      </w:tblGrid>
      <w:tr w14:paraId="17767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9990" w:type="dxa"/>
            <w:gridSpan w:val="8"/>
            <w:vAlign w:val="center"/>
          </w:tcPr>
          <w:p w14:paraId="34CC2A1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计算机网络布线及维修</w:t>
            </w:r>
            <w:r>
              <w:rPr>
                <w:rFonts w:hint="eastAsia" w:ascii="宋体" w:hAnsi="宋体" w:cs="宋体"/>
                <w:sz w:val="28"/>
                <w:szCs w:val="28"/>
              </w:rPr>
              <w:t>市场调查表</w:t>
            </w:r>
          </w:p>
        </w:tc>
      </w:tr>
      <w:tr w14:paraId="57473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670" w:type="dxa"/>
            <w:vAlign w:val="center"/>
          </w:tcPr>
          <w:p w14:paraId="365ECC1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2417" w:type="dxa"/>
            <w:vAlign w:val="center"/>
          </w:tcPr>
          <w:p w14:paraId="6DC8D73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名称</w:t>
            </w:r>
          </w:p>
        </w:tc>
        <w:tc>
          <w:tcPr>
            <w:tcW w:w="1875" w:type="dxa"/>
            <w:vAlign w:val="center"/>
          </w:tcPr>
          <w:p w14:paraId="4CF6182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品牌、型号</w:t>
            </w:r>
          </w:p>
        </w:tc>
        <w:tc>
          <w:tcPr>
            <w:tcW w:w="1134" w:type="dxa"/>
            <w:vAlign w:val="center"/>
          </w:tcPr>
          <w:p w14:paraId="180A481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制造商</w:t>
            </w:r>
          </w:p>
        </w:tc>
        <w:tc>
          <w:tcPr>
            <w:tcW w:w="992" w:type="dxa"/>
            <w:vAlign w:val="center"/>
          </w:tcPr>
          <w:p w14:paraId="5D7CA11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原产地</w:t>
            </w:r>
          </w:p>
        </w:tc>
        <w:tc>
          <w:tcPr>
            <w:tcW w:w="709" w:type="dxa"/>
            <w:vAlign w:val="center"/>
          </w:tcPr>
          <w:p w14:paraId="113C465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数量</w:t>
            </w:r>
          </w:p>
        </w:tc>
        <w:tc>
          <w:tcPr>
            <w:tcW w:w="1134" w:type="dxa"/>
            <w:vAlign w:val="center"/>
          </w:tcPr>
          <w:p w14:paraId="506476A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单价</w:t>
            </w:r>
          </w:p>
        </w:tc>
        <w:tc>
          <w:tcPr>
            <w:tcW w:w="1059" w:type="dxa"/>
            <w:vAlign w:val="center"/>
          </w:tcPr>
          <w:p w14:paraId="39283A0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合计</w:t>
            </w:r>
          </w:p>
        </w:tc>
      </w:tr>
      <w:tr w14:paraId="56B23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670" w:type="dxa"/>
            <w:vAlign w:val="center"/>
          </w:tcPr>
          <w:p w14:paraId="38B07BC7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2417" w:type="dxa"/>
            <w:vAlign w:val="center"/>
          </w:tcPr>
          <w:p w14:paraId="65895B94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单个网络点位</w:t>
            </w:r>
          </w:p>
        </w:tc>
        <w:tc>
          <w:tcPr>
            <w:tcW w:w="1875" w:type="dxa"/>
            <w:vAlign w:val="center"/>
          </w:tcPr>
          <w:p w14:paraId="618B383F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4F9AFEA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69DE747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6276FAC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14:paraId="01F3DCED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59" w:type="dxa"/>
            <w:vAlign w:val="center"/>
          </w:tcPr>
          <w:p w14:paraId="036F0F7F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CDB0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670" w:type="dxa"/>
            <w:vAlign w:val="center"/>
          </w:tcPr>
          <w:p w14:paraId="0D513E97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2417" w:type="dxa"/>
            <w:vAlign w:val="center"/>
          </w:tcPr>
          <w:p w14:paraId="00DAEB6B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24 芯单模光缆系统</w:t>
            </w:r>
          </w:p>
        </w:tc>
        <w:tc>
          <w:tcPr>
            <w:tcW w:w="1875" w:type="dxa"/>
            <w:vAlign w:val="center"/>
          </w:tcPr>
          <w:p w14:paraId="6986231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9FC09AF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350C60F5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6F05D70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3E3D61A3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59" w:type="dxa"/>
            <w:vAlign w:val="center"/>
          </w:tcPr>
          <w:p w14:paraId="53D77CC9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C29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670" w:type="dxa"/>
            <w:vAlign w:val="center"/>
          </w:tcPr>
          <w:p w14:paraId="3958FB90"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3</w:t>
            </w:r>
          </w:p>
        </w:tc>
        <w:tc>
          <w:tcPr>
            <w:tcW w:w="2417" w:type="dxa"/>
            <w:vAlign w:val="center"/>
          </w:tcPr>
          <w:p w14:paraId="0657ABDB">
            <w:pPr>
              <w:jc w:val="center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网络点位维修</w:t>
            </w:r>
          </w:p>
        </w:tc>
        <w:tc>
          <w:tcPr>
            <w:tcW w:w="1875" w:type="dxa"/>
            <w:vAlign w:val="center"/>
          </w:tcPr>
          <w:p w14:paraId="3CA2C9BF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721EAC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5F8E51F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E5D95EC">
            <w:pPr>
              <w:jc w:val="center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505088CF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59" w:type="dxa"/>
            <w:vAlign w:val="center"/>
          </w:tcPr>
          <w:p w14:paraId="260C9613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1584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0" w:type="dxa"/>
            <w:gridSpan w:val="8"/>
            <w:vAlign w:val="center"/>
          </w:tcPr>
          <w:p w14:paraId="485B4D62">
            <w:pPr>
              <w:jc w:val="center"/>
              <w:rPr>
                <w:rFonts w:ascii="Calibri" w:hAnsi="Calibri"/>
                <w:b w:val="0"/>
                <w:sz w:val="21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   </w:t>
            </w:r>
            <w:r>
              <w:rPr>
                <w:rFonts w:hint="eastAsia"/>
              </w:rPr>
              <w:t xml:space="preserve">        </w:t>
            </w:r>
          </w:p>
          <w:p w14:paraId="108560ED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供应商名称（公章）：</w:t>
            </w:r>
          </w:p>
          <w:p w14:paraId="7E1C44A6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法定代表人或授权代表签字：</w:t>
            </w:r>
          </w:p>
          <w:p w14:paraId="3F20D8F3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联系电话：</w:t>
            </w:r>
          </w:p>
          <w:p w14:paraId="11533D03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填报日期：______年____月____日</w:t>
            </w:r>
          </w:p>
          <w:p w14:paraId="76EC24DB">
            <w:pPr>
              <w:pStyle w:val="2"/>
            </w:pPr>
          </w:p>
        </w:tc>
      </w:tr>
    </w:tbl>
    <w:p w14:paraId="72677110">
      <w:pPr>
        <w:pStyle w:val="31"/>
        <w:ind w:firstLine="0" w:firstLineChars="0"/>
        <w:jc w:val="left"/>
        <w:rPr>
          <w:rFonts w:ascii="Times New Roman Regular" w:hAnsi="Times New Roman Regular" w:eastAsia="宋体" w:cs="Times New Roman Regular"/>
          <w:szCs w:val="28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Times New Roman Regular">
    <w:altName w:val="Times New Roman"/>
    <w:panose1 w:val="00000000000000000000"/>
    <w:charset w:val="00"/>
    <w:family w:val="auto"/>
    <w:pitch w:val="default"/>
    <w:sig w:usb0="00000000" w:usb1="00000000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26C38D">
    <w:pPr>
      <w:pStyle w:val="1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401320" cy="147955"/>
              <wp:effectExtent l="0" t="0" r="0" b="4445"/>
              <wp:wrapNone/>
              <wp:docPr id="263176149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1320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FB8251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1.65pt;width:31.6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2m48QdEAAAADAQAADwAAAAAAAAABACAAAAAi&#10;AAAAZHJzL2Rvd25yZXYueG1sUEsBAhQAFAAAAAgAh07iQBfa0JsRAgAACgQAAA4AAAAAAAAAAQAg&#10;AAAAIAEAAGRycy9lMm9Eb2MueG1sUEsFBgAAAAAGAAYAWQEAAKM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DFB8251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D0C698"/>
    <w:multiLevelType w:val="singleLevel"/>
    <w:tmpl w:val="A7D0C69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DC89F30"/>
    <w:multiLevelType w:val="singleLevel"/>
    <w:tmpl w:val="FDC89F3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c1NzBmYzI3NzFjYjhiOTlkNDNmNTQwNzM5ZmQ3MGQifQ=="/>
  </w:docVars>
  <w:rsids>
    <w:rsidRoot w:val="43DC0D6D"/>
    <w:rsid w:val="00002211"/>
    <w:rsid w:val="00012174"/>
    <w:rsid w:val="000123CC"/>
    <w:rsid w:val="0001538F"/>
    <w:rsid w:val="00020CE1"/>
    <w:rsid w:val="00035545"/>
    <w:rsid w:val="00050915"/>
    <w:rsid w:val="00064571"/>
    <w:rsid w:val="00064722"/>
    <w:rsid w:val="000905EF"/>
    <w:rsid w:val="00096C3C"/>
    <w:rsid w:val="000A7106"/>
    <w:rsid w:val="000E515E"/>
    <w:rsid w:val="0011795C"/>
    <w:rsid w:val="00132D91"/>
    <w:rsid w:val="00154D7E"/>
    <w:rsid w:val="00154E9A"/>
    <w:rsid w:val="00160438"/>
    <w:rsid w:val="00163EB7"/>
    <w:rsid w:val="00165D83"/>
    <w:rsid w:val="00183C8E"/>
    <w:rsid w:val="001912EF"/>
    <w:rsid w:val="001A1DA9"/>
    <w:rsid w:val="001A5A00"/>
    <w:rsid w:val="001B161E"/>
    <w:rsid w:val="001C4EBC"/>
    <w:rsid w:val="001E3057"/>
    <w:rsid w:val="001E548A"/>
    <w:rsid w:val="00211CF3"/>
    <w:rsid w:val="00213086"/>
    <w:rsid w:val="0023277A"/>
    <w:rsid w:val="00255F90"/>
    <w:rsid w:val="00274575"/>
    <w:rsid w:val="002A252C"/>
    <w:rsid w:val="002A2A55"/>
    <w:rsid w:val="002D5BF9"/>
    <w:rsid w:val="002E2D45"/>
    <w:rsid w:val="002F768D"/>
    <w:rsid w:val="00383F10"/>
    <w:rsid w:val="003A06CD"/>
    <w:rsid w:val="003D16AD"/>
    <w:rsid w:val="003D3DD7"/>
    <w:rsid w:val="003D52B2"/>
    <w:rsid w:val="003E1DD4"/>
    <w:rsid w:val="003E5F5D"/>
    <w:rsid w:val="004019C8"/>
    <w:rsid w:val="0041206F"/>
    <w:rsid w:val="0044370B"/>
    <w:rsid w:val="00455DC0"/>
    <w:rsid w:val="00486195"/>
    <w:rsid w:val="00497D61"/>
    <w:rsid w:val="004A061D"/>
    <w:rsid w:val="004A6CCE"/>
    <w:rsid w:val="004C13B9"/>
    <w:rsid w:val="004C1EF3"/>
    <w:rsid w:val="00530964"/>
    <w:rsid w:val="0053123F"/>
    <w:rsid w:val="0053495A"/>
    <w:rsid w:val="00547072"/>
    <w:rsid w:val="005857C5"/>
    <w:rsid w:val="005B4B0D"/>
    <w:rsid w:val="005F20D1"/>
    <w:rsid w:val="00600147"/>
    <w:rsid w:val="00606086"/>
    <w:rsid w:val="006140F6"/>
    <w:rsid w:val="0063690D"/>
    <w:rsid w:val="00642909"/>
    <w:rsid w:val="00645574"/>
    <w:rsid w:val="00650B08"/>
    <w:rsid w:val="0065128B"/>
    <w:rsid w:val="00652F80"/>
    <w:rsid w:val="00661DC1"/>
    <w:rsid w:val="00667555"/>
    <w:rsid w:val="006705AE"/>
    <w:rsid w:val="00685183"/>
    <w:rsid w:val="006878DA"/>
    <w:rsid w:val="006B5D08"/>
    <w:rsid w:val="006B6059"/>
    <w:rsid w:val="006B773D"/>
    <w:rsid w:val="006C0BB6"/>
    <w:rsid w:val="006C3CA1"/>
    <w:rsid w:val="006D6029"/>
    <w:rsid w:val="007039C9"/>
    <w:rsid w:val="00723E1D"/>
    <w:rsid w:val="00752AE3"/>
    <w:rsid w:val="00765E61"/>
    <w:rsid w:val="007A3EA3"/>
    <w:rsid w:val="007A5AA0"/>
    <w:rsid w:val="007B1BE3"/>
    <w:rsid w:val="007B3CDD"/>
    <w:rsid w:val="007D652C"/>
    <w:rsid w:val="007E387E"/>
    <w:rsid w:val="00801BDC"/>
    <w:rsid w:val="0080359A"/>
    <w:rsid w:val="00837314"/>
    <w:rsid w:val="00837838"/>
    <w:rsid w:val="008861BE"/>
    <w:rsid w:val="00886B9B"/>
    <w:rsid w:val="00890E2E"/>
    <w:rsid w:val="0089360E"/>
    <w:rsid w:val="008A2906"/>
    <w:rsid w:val="008A302F"/>
    <w:rsid w:val="008C1838"/>
    <w:rsid w:val="008C68F0"/>
    <w:rsid w:val="008E3885"/>
    <w:rsid w:val="008F4BA9"/>
    <w:rsid w:val="00912F41"/>
    <w:rsid w:val="009440F4"/>
    <w:rsid w:val="00953972"/>
    <w:rsid w:val="0096563A"/>
    <w:rsid w:val="00A02038"/>
    <w:rsid w:val="00A339DB"/>
    <w:rsid w:val="00A353FB"/>
    <w:rsid w:val="00A4515B"/>
    <w:rsid w:val="00A766DE"/>
    <w:rsid w:val="00A93DBB"/>
    <w:rsid w:val="00AA166A"/>
    <w:rsid w:val="00AB7FD0"/>
    <w:rsid w:val="00AE108E"/>
    <w:rsid w:val="00AE695C"/>
    <w:rsid w:val="00B01FC5"/>
    <w:rsid w:val="00B0615C"/>
    <w:rsid w:val="00B07CE0"/>
    <w:rsid w:val="00B3577F"/>
    <w:rsid w:val="00B654A0"/>
    <w:rsid w:val="00B859F8"/>
    <w:rsid w:val="00B955B1"/>
    <w:rsid w:val="00BF126E"/>
    <w:rsid w:val="00C123A1"/>
    <w:rsid w:val="00C16514"/>
    <w:rsid w:val="00C200B3"/>
    <w:rsid w:val="00C23A56"/>
    <w:rsid w:val="00C301F1"/>
    <w:rsid w:val="00C458E1"/>
    <w:rsid w:val="00C74A66"/>
    <w:rsid w:val="00C81D02"/>
    <w:rsid w:val="00CA60D4"/>
    <w:rsid w:val="00CC5D1E"/>
    <w:rsid w:val="00CD7ED5"/>
    <w:rsid w:val="00CF70D8"/>
    <w:rsid w:val="00D07172"/>
    <w:rsid w:val="00D45A00"/>
    <w:rsid w:val="00D507CD"/>
    <w:rsid w:val="00D8531F"/>
    <w:rsid w:val="00D86C5B"/>
    <w:rsid w:val="00D976F6"/>
    <w:rsid w:val="00DD54A0"/>
    <w:rsid w:val="00DF5D8A"/>
    <w:rsid w:val="00E01BF3"/>
    <w:rsid w:val="00E0670E"/>
    <w:rsid w:val="00E11434"/>
    <w:rsid w:val="00E3644B"/>
    <w:rsid w:val="00E4085D"/>
    <w:rsid w:val="00E5494D"/>
    <w:rsid w:val="00E63A83"/>
    <w:rsid w:val="00E66F08"/>
    <w:rsid w:val="00E778F0"/>
    <w:rsid w:val="00E85218"/>
    <w:rsid w:val="00E8671F"/>
    <w:rsid w:val="00EA1EC6"/>
    <w:rsid w:val="00EE1CE5"/>
    <w:rsid w:val="00EF416E"/>
    <w:rsid w:val="00F26AC6"/>
    <w:rsid w:val="00F27541"/>
    <w:rsid w:val="00F50FC1"/>
    <w:rsid w:val="00F60930"/>
    <w:rsid w:val="00F62C3A"/>
    <w:rsid w:val="00F7300C"/>
    <w:rsid w:val="00F756E7"/>
    <w:rsid w:val="00F85D84"/>
    <w:rsid w:val="00FC5ADA"/>
    <w:rsid w:val="00FD30FB"/>
    <w:rsid w:val="00FE0358"/>
    <w:rsid w:val="017B11E4"/>
    <w:rsid w:val="02E86AD3"/>
    <w:rsid w:val="030D3D13"/>
    <w:rsid w:val="044A52F1"/>
    <w:rsid w:val="045F3E60"/>
    <w:rsid w:val="065435E7"/>
    <w:rsid w:val="07F55F19"/>
    <w:rsid w:val="0A7271F2"/>
    <w:rsid w:val="0B4765DB"/>
    <w:rsid w:val="0B5E5DFE"/>
    <w:rsid w:val="0C9475FE"/>
    <w:rsid w:val="0ED54FA7"/>
    <w:rsid w:val="0FE83812"/>
    <w:rsid w:val="113B33C9"/>
    <w:rsid w:val="16DC6904"/>
    <w:rsid w:val="18597389"/>
    <w:rsid w:val="19AC1208"/>
    <w:rsid w:val="1BD85C34"/>
    <w:rsid w:val="1C62724B"/>
    <w:rsid w:val="1C7F67AE"/>
    <w:rsid w:val="1EAF6B6E"/>
    <w:rsid w:val="24A518F3"/>
    <w:rsid w:val="26494805"/>
    <w:rsid w:val="26D12CCB"/>
    <w:rsid w:val="26F7280B"/>
    <w:rsid w:val="284C1CBC"/>
    <w:rsid w:val="2A0F6B51"/>
    <w:rsid w:val="2E4A5C2F"/>
    <w:rsid w:val="2F631386"/>
    <w:rsid w:val="2F6C4C67"/>
    <w:rsid w:val="2F9B4539"/>
    <w:rsid w:val="2FD057C3"/>
    <w:rsid w:val="33497B0A"/>
    <w:rsid w:val="342E2B27"/>
    <w:rsid w:val="38282A1A"/>
    <w:rsid w:val="39386CB2"/>
    <w:rsid w:val="39E70D2F"/>
    <w:rsid w:val="3A8375C7"/>
    <w:rsid w:val="3DB73C99"/>
    <w:rsid w:val="3DF81348"/>
    <w:rsid w:val="3E17560A"/>
    <w:rsid w:val="3EEA2C8B"/>
    <w:rsid w:val="40E542E9"/>
    <w:rsid w:val="40F03B15"/>
    <w:rsid w:val="413C5593"/>
    <w:rsid w:val="42E2225C"/>
    <w:rsid w:val="43DC0D6D"/>
    <w:rsid w:val="464A5A08"/>
    <w:rsid w:val="48F30C2D"/>
    <w:rsid w:val="4AA14B96"/>
    <w:rsid w:val="4B9761E7"/>
    <w:rsid w:val="4E2A6D4B"/>
    <w:rsid w:val="4F5C3751"/>
    <w:rsid w:val="4FE5257F"/>
    <w:rsid w:val="4FFFE914"/>
    <w:rsid w:val="51B340C2"/>
    <w:rsid w:val="54FA62E8"/>
    <w:rsid w:val="560E5731"/>
    <w:rsid w:val="57D97E62"/>
    <w:rsid w:val="590E5D0D"/>
    <w:rsid w:val="591B1E1E"/>
    <w:rsid w:val="5BD844BF"/>
    <w:rsid w:val="5C3563ED"/>
    <w:rsid w:val="5C56150A"/>
    <w:rsid w:val="5C8E394E"/>
    <w:rsid w:val="5C9B41FC"/>
    <w:rsid w:val="5DA930B5"/>
    <w:rsid w:val="5E002D9B"/>
    <w:rsid w:val="61972682"/>
    <w:rsid w:val="61D50F91"/>
    <w:rsid w:val="62610A33"/>
    <w:rsid w:val="648230C5"/>
    <w:rsid w:val="6619614A"/>
    <w:rsid w:val="68F6059A"/>
    <w:rsid w:val="6934552F"/>
    <w:rsid w:val="6EDF562C"/>
    <w:rsid w:val="6EFC1923"/>
    <w:rsid w:val="6F156B86"/>
    <w:rsid w:val="712D6B22"/>
    <w:rsid w:val="71A30B93"/>
    <w:rsid w:val="734975EC"/>
    <w:rsid w:val="75BE243F"/>
    <w:rsid w:val="778801D2"/>
    <w:rsid w:val="785E2432"/>
    <w:rsid w:val="7A5F0C6A"/>
    <w:rsid w:val="7AA55C1E"/>
    <w:rsid w:val="7AFB1F49"/>
    <w:rsid w:val="7C2E6E1D"/>
    <w:rsid w:val="7E2C3AC8"/>
    <w:rsid w:val="7E5F07E0"/>
    <w:rsid w:val="7E803AE8"/>
    <w:rsid w:val="7F9D5E0A"/>
    <w:rsid w:val="ABFBD8B6"/>
    <w:rsid w:val="B5EFEC93"/>
    <w:rsid w:val="DDDC3FAD"/>
    <w:rsid w:val="DDE90FAF"/>
    <w:rsid w:val="FFBF2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20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5">
    <w:name w:val="heading 2"/>
    <w:basedOn w:val="1"/>
    <w:next w:val="1"/>
    <w:link w:val="21"/>
    <w:qFormat/>
    <w:uiPriority w:val="9"/>
    <w:pPr>
      <w:keepNext/>
      <w:keepLines/>
      <w:spacing w:before="260" w:after="260" w:line="416" w:lineRule="auto"/>
      <w:outlineLvl w:val="1"/>
    </w:pPr>
    <w:rPr>
      <w:rFonts w:ascii="等线 Light" w:hAnsi="等线 Light" w:eastAsia="等线 Light"/>
      <w:b/>
      <w:bCs/>
      <w:sz w:val="32"/>
      <w:szCs w:val="32"/>
    </w:rPr>
  </w:style>
  <w:style w:type="paragraph" w:styleId="6">
    <w:name w:val="heading 3"/>
    <w:basedOn w:val="1"/>
    <w:next w:val="1"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7">
    <w:name w:val="heading 4"/>
    <w:basedOn w:val="1"/>
    <w:next w:val="1"/>
    <w:link w:val="22"/>
    <w:qFormat/>
    <w:uiPriority w:val="9"/>
    <w:pPr>
      <w:keepNext/>
      <w:keepLines/>
      <w:spacing w:before="280" w:after="290" w:line="376" w:lineRule="auto"/>
      <w:outlineLvl w:val="3"/>
    </w:pPr>
    <w:rPr>
      <w:rFonts w:ascii="等线 Light" w:hAnsi="等线 Light" w:eastAsia="等线 Light"/>
      <w:b/>
      <w:bCs/>
      <w:sz w:val="28"/>
      <w:szCs w:val="28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rPr>
      <w:rFonts w:ascii="宋体" w:hAnsi="宋体" w:cs="宋体"/>
      <w:sz w:val="28"/>
      <w:szCs w:val="28"/>
    </w:rPr>
  </w:style>
  <w:style w:type="paragraph" w:styleId="3">
    <w:name w:val="Body Text 2"/>
    <w:basedOn w:val="1"/>
    <w:semiHidden/>
    <w:qFormat/>
    <w:uiPriority w:val="0"/>
    <w:pPr>
      <w:adjustRightInd w:val="0"/>
      <w:snapToGrid w:val="0"/>
      <w:spacing w:after="120" w:line="480" w:lineRule="auto"/>
    </w:pPr>
    <w:rPr>
      <w:sz w:val="18"/>
      <w:szCs w:val="20"/>
    </w:rPr>
  </w:style>
  <w:style w:type="paragraph" w:styleId="8">
    <w:name w:val="Normal Indent"/>
    <w:basedOn w:val="1"/>
    <w:qFormat/>
    <w:uiPriority w:val="0"/>
    <w:pPr>
      <w:autoSpaceDE w:val="0"/>
      <w:autoSpaceDN w:val="0"/>
      <w:adjustRightInd w:val="0"/>
      <w:spacing w:line="360" w:lineRule="auto"/>
      <w:ind w:firstLine="200" w:firstLineChars="200"/>
      <w:jc w:val="left"/>
    </w:pPr>
  </w:style>
  <w:style w:type="paragraph" w:styleId="9">
    <w:name w:val="Body Text Indent"/>
    <w:basedOn w:val="1"/>
    <w:link w:val="23"/>
    <w:qFormat/>
    <w:uiPriority w:val="0"/>
    <w:pPr>
      <w:adjustRightInd w:val="0"/>
      <w:snapToGrid w:val="0"/>
      <w:spacing w:before="25" w:beforeLines="25" w:after="25" w:afterLines="25" w:line="360" w:lineRule="auto"/>
      <w:ind w:left="420" w:firstLine="420" w:firstLineChars="200"/>
    </w:pPr>
    <w:rPr>
      <w:rFonts w:ascii="宋体" w:hAnsi="宋体" w:eastAsia="等线"/>
      <w:sz w:val="24"/>
      <w:szCs w:val="22"/>
      <w:shd w:val="pct10" w:color="auto" w:fill="FFFFFF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2">
    <w:name w:val="toc 1"/>
    <w:basedOn w:val="1"/>
    <w:next w:val="1"/>
    <w:qFormat/>
    <w:uiPriority w:val="39"/>
    <w:pPr>
      <w:tabs>
        <w:tab w:val="left" w:pos="1260"/>
        <w:tab w:val="left" w:pos="1685"/>
        <w:tab w:val="right" w:leader="dot" w:pos="8400"/>
      </w:tabs>
      <w:spacing w:line="360" w:lineRule="auto"/>
    </w:pPr>
    <w:rPr>
      <w:rFonts w:ascii="Times New Roman" w:hAnsi="Times New Roman"/>
      <w:b/>
      <w:sz w:val="24"/>
    </w:rPr>
  </w:style>
  <w:style w:type="paragraph" w:styleId="13">
    <w:name w:val="Subtitle"/>
    <w:basedOn w:val="1"/>
    <w:next w:val="1"/>
    <w:link w:val="24"/>
    <w:qFormat/>
    <w:uiPriority w:val="0"/>
    <w:pPr>
      <w:spacing w:before="240" w:after="60" w:line="312" w:lineRule="auto"/>
      <w:jc w:val="center"/>
      <w:outlineLvl w:val="1"/>
    </w:pPr>
    <w:rPr>
      <w:rFonts w:ascii="等线 Light" w:hAnsi="等线 Light"/>
      <w:b/>
      <w:bCs/>
      <w:kern w:val="28"/>
      <w:sz w:val="32"/>
      <w:szCs w:val="32"/>
    </w:rPr>
  </w:style>
  <w:style w:type="paragraph" w:styleId="14">
    <w:name w:val="Title"/>
    <w:basedOn w:val="1"/>
    <w:next w:val="1"/>
    <w:link w:val="25"/>
    <w:qFormat/>
    <w:uiPriority w:val="0"/>
    <w:pPr>
      <w:spacing w:before="240" w:after="60"/>
      <w:jc w:val="center"/>
      <w:outlineLvl w:val="0"/>
    </w:pPr>
    <w:rPr>
      <w:rFonts w:ascii="等线 Light" w:hAnsi="等线 Light"/>
      <w:b/>
      <w:bCs/>
      <w:sz w:val="32"/>
      <w:szCs w:val="32"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Strong"/>
    <w:qFormat/>
    <w:uiPriority w:val="0"/>
    <w:rPr>
      <w:b/>
      <w:bCs/>
    </w:rPr>
  </w:style>
  <w:style w:type="character" w:styleId="19">
    <w:name w:val="Emphasis"/>
    <w:qFormat/>
    <w:uiPriority w:val="0"/>
    <w:rPr>
      <w:i/>
      <w:iCs/>
    </w:rPr>
  </w:style>
  <w:style w:type="character" w:customStyle="1" w:styleId="20">
    <w:name w:val="标题 1 字符"/>
    <w:link w:val="4"/>
    <w:qFormat/>
    <w:uiPriority w:val="0"/>
    <w:rPr>
      <w:rFonts w:ascii="Calibri" w:hAnsi="Calibri"/>
      <w:b/>
      <w:bCs/>
      <w:kern w:val="44"/>
      <w:sz w:val="44"/>
      <w:szCs w:val="44"/>
    </w:rPr>
  </w:style>
  <w:style w:type="character" w:customStyle="1" w:styleId="21">
    <w:name w:val="标题 2 字符"/>
    <w:link w:val="5"/>
    <w:qFormat/>
    <w:uiPriority w:val="9"/>
    <w:rPr>
      <w:rFonts w:ascii="等线 Light" w:hAnsi="等线 Light" w:eastAsia="等线 Light"/>
      <w:b/>
      <w:bCs/>
      <w:kern w:val="2"/>
      <w:sz w:val="32"/>
      <w:szCs w:val="32"/>
    </w:rPr>
  </w:style>
  <w:style w:type="character" w:customStyle="1" w:styleId="22">
    <w:name w:val="标题 4 字符"/>
    <w:link w:val="7"/>
    <w:qFormat/>
    <w:uiPriority w:val="9"/>
    <w:rPr>
      <w:rFonts w:ascii="等线 Light" w:hAnsi="等线 Light" w:eastAsia="等线 Light"/>
      <w:b/>
      <w:bCs/>
      <w:kern w:val="2"/>
      <w:sz w:val="28"/>
      <w:szCs w:val="28"/>
    </w:rPr>
  </w:style>
  <w:style w:type="character" w:customStyle="1" w:styleId="23">
    <w:name w:val="正文文本缩进 字符"/>
    <w:link w:val="9"/>
    <w:qFormat/>
    <w:uiPriority w:val="0"/>
    <w:rPr>
      <w:rFonts w:ascii="宋体" w:hAnsi="宋体" w:eastAsia="等线"/>
      <w:kern w:val="2"/>
      <w:sz w:val="24"/>
      <w:szCs w:val="22"/>
    </w:rPr>
  </w:style>
  <w:style w:type="character" w:customStyle="1" w:styleId="24">
    <w:name w:val="副标题 字符"/>
    <w:link w:val="13"/>
    <w:qFormat/>
    <w:uiPriority w:val="0"/>
    <w:rPr>
      <w:rFonts w:ascii="等线 Light" w:hAnsi="等线 Light" w:cs="Times New Roman"/>
      <w:b/>
      <w:bCs/>
      <w:kern w:val="28"/>
      <w:sz w:val="32"/>
      <w:szCs w:val="32"/>
    </w:rPr>
  </w:style>
  <w:style w:type="character" w:customStyle="1" w:styleId="25">
    <w:name w:val="标题 字符"/>
    <w:link w:val="14"/>
    <w:qFormat/>
    <w:uiPriority w:val="0"/>
    <w:rPr>
      <w:rFonts w:ascii="等线 Light" w:hAnsi="等线 Light" w:cs="Times New Roman"/>
      <w:b/>
      <w:bCs/>
      <w:kern w:val="2"/>
      <w:sz w:val="32"/>
      <w:szCs w:val="32"/>
    </w:rPr>
  </w:style>
  <w:style w:type="paragraph" w:customStyle="1" w:styleId="26">
    <w:name w:val="Char1"/>
    <w:basedOn w:val="1"/>
    <w:qFormat/>
    <w:uiPriority w:val="0"/>
    <w:rPr>
      <w:rFonts w:ascii="Times New Roman" w:hAnsi="Times New Roman"/>
      <w:sz w:val="24"/>
    </w:rPr>
  </w:style>
  <w:style w:type="paragraph" w:customStyle="1" w:styleId="27">
    <w:name w:val="www正文"/>
    <w:basedOn w:val="1"/>
    <w:qFormat/>
    <w:uiPriority w:val="0"/>
    <w:pPr>
      <w:ind w:firstLine="480" w:firstLineChars="200"/>
    </w:pPr>
    <w:rPr>
      <w:rFonts w:ascii="Times New Roman" w:hAnsi="Times New Roman"/>
    </w:rPr>
  </w:style>
  <w:style w:type="paragraph" w:styleId="28">
    <w:name w:val="List Paragraph"/>
    <w:basedOn w:val="1"/>
    <w:link w:val="29"/>
    <w:qFormat/>
    <w:uiPriority w:val="34"/>
    <w:pPr>
      <w:ind w:firstLine="420" w:firstLineChars="200"/>
    </w:pPr>
  </w:style>
  <w:style w:type="character" w:customStyle="1" w:styleId="29">
    <w:name w:val="列表段落 字符"/>
    <w:link w:val="28"/>
    <w:qFormat/>
    <w:locked/>
    <w:uiPriority w:val="34"/>
    <w:rPr>
      <w:rFonts w:ascii="Calibri" w:hAnsi="Calibri"/>
      <w:kern w:val="2"/>
      <w:sz w:val="21"/>
      <w:szCs w:val="24"/>
    </w:rPr>
  </w:style>
  <w:style w:type="character" w:customStyle="1" w:styleId="30">
    <w:name w:val="方案正文 Char"/>
    <w:link w:val="31"/>
    <w:qFormat/>
    <w:uiPriority w:val="0"/>
    <w:rPr>
      <w:rFonts w:ascii="华文细黑" w:hAnsi="华文细黑" w:eastAsia="华文细黑"/>
      <w:sz w:val="24"/>
      <w:szCs w:val="24"/>
    </w:rPr>
  </w:style>
  <w:style w:type="paragraph" w:customStyle="1" w:styleId="31">
    <w:name w:val="方案正文"/>
    <w:basedOn w:val="1"/>
    <w:link w:val="30"/>
    <w:qFormat/>
    <w:uiPriority w:val="0"/>
    <w:pPr>
      <w:spacing w:before="120" w:line="360" w:lineRule="auto"/>
      <w:ind w:firstLine="425" w:firstLineChars="177"/>
    </w:pPr>
    <w:rPr>
      <w:rFonts w:ascii="华文细黑" w:hAnsi="华文细黑" w:eastAsia="华文细黑"/>
      <w:kern w:val="0"/>
      <w:sz w:val="24"/>
    </w:rPr>
  </w:style>
  <w:style w:type="character" w:customStyle="1" w:styleId="32">
    <w:name w:val="样式1 Char Char"/>
    <w:link w:val="33"/>
    <w:qFormat/>
    <w:locked/>
    <w:uiPriority w:val="0"/>
    <w:rPr>
      <w:rFonts w:ascii="Arial" w:hAnsi="Arial"/>
      <w:kern w:val="2"/>
      <w:sz w:val="21"/>
      <w:szCs w:val="24"/>
    </w:rPr>
  </w:style>
  <w:style w:type="paragraph" w:customStyle="1" w:styleId="33">
    <w:name w:val="样式1"/>
    <w:basedOn w:val="1"/>
    <w:link w:val="32"/>
    <w:qFormat/>
    <w:uiPriority w:val="0"/>
    <w:pPr>
      <w:adjustRightInd w:val="0"/>
      <w:snapToGrid w:val="0"/>
      <w:spacing w:line="360" w:lineRule="exact"/>
      <w:ind w:firstLine="200" w:firstLineChars="200"/>
      <w:jc w:val="left"/>
    </w:pPr>
    <w:rPr>
      <w:rFonts w:ascii="Arial" w:hAnsi="Arial"/>
    </w:rPr>
  </w:style>
  <w:style w:type="paragraph" w:customStyle="1" w:styleId="34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1721</Words>
  <Characters>1842</Characters>
  <Lines>131</Lines>
  <Paragraphs>114</Paragraphs>
  <TotalTime>57</TotalTime>
  <ScaleCrop>false</ScaleCrop>
  <LinksUpToDate>false</LinksUpToDate>
  <CharactersWithSpaces>3449</CharactersWithSpaces>
  <Application>WPS Office_12.8.2.17838_F1E327BC-269C-435d-A152-05C5408002CA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2024-12-23T00:22:00Z</dcterms:created>
  <dc:creator>Administrator</dc:creator>
  <cp:lastModifiedBy>Leo</cp:lastModifiedBy>
  <cp:lastPrinted>2025-10-27T01:07:00Z</cp:lastPrinted>
  <dcterms:modified xsi:type="dcterms:W3CDTF">2026-06-10T03:02:01Z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2052-12.8.2.17838</vt:lpwstr>
  </property>
  <property fmtid="{D5CDD505-2E9C-101B-9397-08002B2CF9AE}" pid="3" name="ICV">
    <vt:lpwstr>90005E0338534CDDA1A68F1D6E329E8F_13</vt:lpwstr>
  </property>
</Properties>
</file>