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39EB407">
      <w:pPr>
        <w:jc w:val="center"/>
        <w:rPr>
          <w:rFonts w:hint="eastAsia" w:ascii="黑体" w:hAnsi="黑体" w:eastAsia="黑体" w:cs="Times New Roman Regular"/>
          <w:b/>
          <w:bCs/>
          <w:sz w:val="44"/>
          <w:szCs w:val="44"/>
        </w:rPr>
      </w:pPr>
      <w:r>
        <w:rPr>
          <w:rFonts w:ascii="黑体" w:hAnsi="黑体" w:eastAsia="黑体" w:cs="Times New Roman Regular"/>
          <w:b/>
          <w:bCs/>
          <w:sz w:val="44"/>
          <w:szCs w:val="44"/>
        </w:rPr>
        <w:t>重庆医科大学附属儿童医院</w:t>
      </w:r>
    </w:p>
    <w:p w14:paraId="0A6D53FA">
      <w:pPr>
        <w:jc w:val="center"/>
        <w:rPr>
          <w:rFonts w:hint="default" w:ascii="黑体" w:hAnsi="黑体" w:eastAsia="黑体" w:cs="Times New Roman Regular"/>
          <w:b/>
          <w:bCs/>
          <w:sz w:val="44"/>
          <w:szCs w:val="44"/>
          <w:lang w:val="en-US" w:eastAsia="zh-CN"/>
        </w:rPr>
      </w:pPr>
      <w:r>
        <w:rPr>
          <w:rFonts w:hint="eastAsia" w:ascii="黑体" w:hAnsi="黑体" w:eastAsia="黑体" w:cs="Times New Roman Regular"/>
          <w:b/>
          <w:bCs/>
          <w:sz w:val="44"/>
          <w:szCs w:val="44"/>
        </w:rPr>
        <w:t>数据分类分级及风险管理</w:t>
      </w:r>
      <w:r>
        <w:rPr>
          <w:rFonts w:hint="eastAsia" w:ascii="黑体" w:hAnsi="黑体" w:eastAsia="黑体" w:cs="Times New Roman Regular"/>
          <w:b/>
          <w:bCs/>
          <w:sz w:val="44"/>
          <w:szCs w:val="44"/>
          <w:lang w:val="en-US" w:eastAsia="zh-CN"/>
        </w:rPr>
        <w:t>平台市场调查文件</w:t>
      </w:r>
    </w:p>
    <w:p w14:paraId="1F3B52B9">
      <w:pPr>
        <w:pStyle w:val="2"/>
        <w:rPr>
          <w:rStyle w:val="18"/>
          <w:rFonts w:ascii="Times New Roman Regular" w:hAnsi="Times New Roman Regular" w:cs="Times New Roman Regular"/>
          <w:b/>
          <w:bCs/>
          <w:sz w:val="30"/>
          <w:szCs w:val="30"/>
        </w:rPr>
      </w:pPr>
      <w:r>
        <w:rPr>
          <w:rStyle w:val="18"/>
          <w:rFonts w:ascii="Times New Roman Regular" w:hAnsi="Times New Roman Regular" w:cs="Times New Roman Regular"/>
          <w:b/>
          <w:bCs/>
          <w:sz w:val="30"/>
          <w:szCs w:val="30"/>
        </w:rPr>
        <w:t>一、项目概况</w:t>
      </w:r>
    </w:p>
    <w:p w14:paraId="41E13FD3">
      <w:pPr>
        <w:pStyle w:val="31"/>
        <w:ind w:firstLine="480" w:firstLineChars="200"/>
        <w:jc w:val="left"/>
        <w:rPr>
          <w:rFonts w:ascii="Times New Roman Regular" w:hAnsi="Times New Roman Regular" w:eastAsia="宋体" w:cs="Times New Roman Regular"/>
          <w:szCs w:val="28"/>
        </w:rPr>
      </w:pPr>
      <w:r>
        <w:rPr>
          <w:rFonts w:hint="eastAsia" w:ascii="Times New Roman Regular" w:hAnsi="Times New Roman Regular" w:eastAsia="宋体" w:cs="Times New Roman Regular"/>
          <w:szCs w:val="28"/>
        </w:rPr>
        <w:t>为全面落实《网络安全法》、《数据安全法》及等级保护2.0要求，提升数据安全防护及管理水平，构建全方位、多层次的数据安全防护及运营管理体系，通过数据分类分级管理、API应用安全审计、数据安全管控平台和数据安全智能体平台建设，建立更加完善的数据安全防护机制。项目建设主要包括以下内容：</w:t>
      </w:r>
    </w:p>
    <w:p w14:paraId="6AE73DD4">
      <w:pPr>
        <w:pStyle w:val="31"/>
        <w:ind w:firstLine="480" w:firstLineChars="200"/>
        <w:jc w:val="left"/>
        <w:rPr>
          <w:rFonts w:ascii="Times New Roman Regular" w:hAnsi="Times New Roman Regular" w:eastAsia="宋体" w:cs="Times New Roman Regular"/>
          <w:szCs w:val="28"/>
        </w:rPr>
      </w:pPr>
      <w:r>
        <w:rPr>
          <w:rFonts w:hint="eastAsia" w:ascii="Times New Roman Regular" w:hAnsi="Times New Roman Regular" w:eastAsia="宋体" w:cs="Times New Roman Regular"/>
          <w:szCs w:val="28"/>
        </w:rPr>
        <w:t>数据分类分级及风险管理平台建设，通过建立完善的数据资产目录和分类分级标准，实现对各类数据的精准识别和动态管控；通过API应用安全审计系统可以及时发现API安全风险；通过数据安全</w:t>
      </w:r>
      <w:r>
        <w:rPr>
          <w:rFonts w:hint="eastAsia" w:ascii="Times New Roman Regular" w:hAnsi="Times New Roman Regular" w:eastAsia="宋体" w:cs="Times New Roman Regular"/>
          <w:szCs w:val="28"/>
          <w:lang w:val="en-US" w:eastAsia="zh-CN"/>
        </w:rPr>
        <w:t>管理平台</w:t>
      </w:r>
      <w:r>
        <w:rPr>
          <w:rFonts w:hint="eastAsia" w:ascii="Times New Roman Regular" w:hAnsi="Times New Roman Regular" w:eastAsia="宋体" w:cs="Times New Roman Regular"/>
          <w:szCs w:val="28"/>
        </w:rPr>
        <w:t>建设，整合多源安全数据，运用智能分析技术，构建实时监测、精准预警的主动防御体系；通过安全智能体平台建设，提升数据安全分析和运营管理效率。</w:t>
      </w:r>
    </w:p>
    <w:p w14:paraId="443BDF75">
      <w:pPr>
        <w:pStyle w:val="2"/>
        <w:rPr>
          <w:rStyle w:val="18"/>
          <w:rFonts w:ascii="Times New Roman Regular" w:hAnsi="Times New Roman Regular" w:cs="Times New Roman Regular"/>
          <w:b/>
          <w:bCs/>
          <w:sz w:val="30"/>
          <w:szCs w:val="30"/>
        </w:rPr>
      </w:pPr>
      <w:r>
        <w:rPr>
          <w:rStyle w:val="18"/>
          <w:rFonts w:hint="eastAsia" w:ascii="Times New Roman Regular" w:hAnsi="Times New Roman Regular" w:cs="Times New Roman Regular"/>
          <w:b/>
          <w:bCs/>
          <w:sz w:val="30"/>
          <w:szCs w:val="30"/>
        </w:rPr>
        <w:t>二、</w:t>
      </w:r>
      <w:r>
        <w:rPr>
          <w:rStyle w:val="18"/>
          <w:rFonts w:ascii="Times New Roman Regular" w:hAnsi="Times New Roman Regular" w:cs="Times New Roman Regular"/>
          <w:b/>
          <w:bCs/>
          <w:sz w:val="30"/>
          <w:szCs w:val="30"/>
        </w:rPr>
        <w:t>项目要求</w:t>
      </w:r>
    </w:p>
    <w:p w14:paraId="47F865A4">
      <w:pPr>
        <w:pStyle w:val="3"/>
        <w:numPr>
          <w:ilvl w:val="0"/>
          <w:numId w:val="1"/>
        </w:numPr>
        <w:rPr>
          <w:rFonts w:hint="eastAsia"/>
          <w:sz w:val="28"/>
          <w:szCs w:val="28"/>
        </w:rPr>
      </w:pPr>
      <w:r>
        <w:rPr>
          <w:rFonts w:hint="eastAsia"/>
          <w:sz w:val="28"/>
          <w:szCs w:val="28"/>
        </w:rPr>
        <w:t>项目清单</w:t>
      </w:r>
    </w:p>
    <w:tbl>
      <w:tblPr>
        <w:tblStyle w:val="15"/>
        <w:tblW w:w="5000" w:type="pct"/>
        <w:tblInd w:w="0" w:type="dxa"/>
        <w:tblLayout w:type="fixed"/>
        <w:tblCellMar>
          <w:top w:w="0" w:type="dxa"/>
          <w:left w:w="108" w:type="dxa"/>
          <w:bottom w:w="0" w:type="dxa"/>
          <w:right w:w="108" w:type="dxa"/>
        </w:tblCellMar>
      </w:tblPr>
      <w:tblGrid>
        <w:gridCol w:w="1321"/>
        <w:gridCol w:w="2586"/>
        <w:gridCol w:w="4746"/>
        <w:gridCol w:w="656"/>
        <w:gridCol w:w="654"/>
      </w:tblGrid>
      <w:tr w14:paraId="38778574">
        <w:tblPrEx>
          <w:tblCellMar>
            <w:top w:w="0" w:type="dxa"/>
            <w:left w:w="108" w:type="dxa"/>
            <w:bottom w:w="0" w:type="dxa"/>
            <w:right w:w="108" w:type="dxa"/>
          </w:tblCellMar>
        </w:tblPrEx>
        <w:trPr>
          <w:trHeight w:val="285" w:hRule="atLeast"/>
          <w:tblHeader/>
        </w:trPr>
        <w:tc>
          <w:tcPr>
            <w:tcW w:w="663" w:type="pct"/>
            <w:tcBorders>
              <w:top w:val="single" w:color="auto" w:sz="4" w:space="0"/>
              <w:left w:val="single" w:color="auto" w:sz="4" w:space="0"/>
              <w:bottom w:val="single" w:color="auto" w:sz="4" w:space="0"/>
              <w:right w:val="single" w:color="auto" w:sz="4" w:space="0"/>
            </w:tcBorders>
            <w:vAlign w:val="center"/>
          </w:tcPr>
          <w:p w14:paraId="1F603220">
            <w:pPr>
              <w:widowControl/>
              <w:spacing w:line="360" w:lineRule="auto"/>
              <w:jc w:val="center"/>
              <w:rPr>
                <w:rFonts w:hint="eastAsia" w:ascii="等线" w:hAnsi="等线" w:eastAsia="等线" w:cs="宋体"/>
                <w:b/>
                <w:bCs/>
                <w:color w:val="000000"/>
                <w:kern w:val="0"/>
                <w:sz w:val="22"/>
                <w:szCs w:val="22"/>
              </w:rPr>
            </w:pPr>
            <w:r>
              <w:rPr>
                <w:rFonts w:hint="eastAsia" w:ascii="等线" w:hAnsi="等线" w:eastAsia="等线" w:cs="宋体"/>
                <w:b/>
                <w:bCs/>
                <w:color w:val="000000"/>
                <w:kern w:val="0"/>
                <w:sz w:val="22"/>
                <w:szCs w:val="22"/>
              </w:rPr>
              <w:t>项目类别</w:t>
            </w:r>
          </w:p>
        </w:tc>
        <w:tc>
          <w:tcPr>
            <w:tcW w:w="1298" w:type="pct"/>
            <w:tcBorders>
              <w:top w:val="single" w:color="auto" w:sz="4" w:space="0"/>
              <w:left w:val="nil"/>
              <w:bottom w:val="single" w:color="auto" w:sz="4" w:space="0"/>
              <w:right w:val="single" w:color="auto" w:sz="4" w:space="0"/>
            </w:tcBorders>
            <w:noWrap/>
            <w:vAlign w:val="center"/>
          </w:tcPr>
          <w:p w14:paraId="486FBE88">
            <w:pPr>
              <w:widowControl/>
              <w:spacing w:line="360" w:lineRule="auto"/>
              <w:jc w:val="center"/>
              <w:rPr>
                <w:rFonts w:hint="eastAsia" w:ascii="等线" w:hAnsi="等线" w:eastAsia="等线" w:cs="宋体"/>
                <w:b/>
                <w:bCs/>
                <w:color w:val="000000"/>
                <w:kern w:val="0"/>
                <w:sz w:val="22"/>
                <w:szCs w:val="22"/>
              </w:rPr>
            </w:pPr>
            <w:r>
              <w:rPr>
                <w:rFonts w:hint="eastAsia" w:ascii="等线" w:hAnsi="等线" w:eastAsia="等线" w:cs="宋体"/>
                <w:b/>
                <w:bCs/>
                <w:color w:val="000000"/>
                <w:kern w:val="0"/>
                <w:sz w:val="22"/>
                <w:szCs w:val="22"/>
              </w:rPr>
              <w:t>设备名称</w:t>
            </w:r>
          </w:p>
        </w:tc>
        <w:tc>
          <w:tcPr>
            <w:tcW w:w="2382" w:type="pct"/>
            <w:tcBorders>
              <w:top w:val="single" w:color="auto" w:sz="4" w:space="0"/>
              <w:left w:val="single" w:color="auto" w:sz="4" w:space="0"/>
              <w:bottom w:val="single" w:color="auto" w:sz="4" w:space="0"/>
              <w:right w:val="single" w:color="auto" w:sz="4" w:space="0"/>
            </w:tcBorders>
            <w:noWrap/>
            <w:vAlign w:val="center"/>
          </w:tcPr>
          <w:p w14:paraId="01ED3722">
            <w:pPr>
              <w:widowControl/>
              <w:spacing w:line="360" w:lineRule="auto"/>
              <w:jc w:val="center"/>
              <w:rPr>
                <w:rFonts w:hint="eastAsia" w:ascii="等线" w:hAnsi="等线" w:eastAsia="等线" w:cs="宋体"/>
                <w:b/>
                <w:bCs/>
                <w:color w:val="000000"/>
                <w:kern w:val="0"/>
                <w:sz w:val="22"/>
                <w:szCs w:val="22"/>
              </w:rPr>
            </w:pPr>
            <w:r>
              <w:rPr>
                <w:rFonts w:hint="eastAsia" w:ascii="等线" w:hAnsi="等线" w:eastAsia="等线" w:cs="宋体"/>
                <w:b/>
                <w:bCs/>
                <w:color w:val="000000"/>
                <w:kern w:val="0"/>
                <w:sz w:val="22"/>
                <w:szCs w:val="22"/>
              </w:rPr>
              <w:t>描述</w:t>
            </w:r>
          </w:p>
        </w:tc>
        <w:tc>
          <w:tcPr>
            <w:tcW w:w="329" w:type="pct"/>
            <w:tcBorders>
              <w:top w:val="single" w:color="auto" w:sz="4" w:space="0"/>
              <w:left w:val="nil"/>
              <w:bottom w:val="single" w:color="auto" w:sz="4" w:space="0"/>
              <w:right w:val="single" w:color="auto" w:sz="4" w:space="0"/>
            </w:tcBorders>
            <w:noWrap/>
            <w:vAlign w:val="center"/>
          </w:tcPr>
          <w:p w14:paraId="0468D106">
            <w:pPr>
              <w:widowControl/>
              <w:spacing w:line="360" w:lineRule="auto"/>
              <w:jc w:val="center"/>
              <w:rPr>
                <w:rFonts w:hint="eastAsia" w:ascii="等线" w:hAnsi="等线" w:eastAsia="等线" w:cs="宋体"/>
                <w:b/>
                <w:bCs/>
                <w:color w:val="000000"/>
                <w:kern w:val="0"/>
                <w:sz w:val="22"/>
                <w:szCs w:val="22"/>
              </w:rPr>
            </w:pPr>
            <w:r>
              <w:rPr>
                <w:rFonts w:hint="eastAsia" w:ascii="等线" w:hAnsi="等线" w:eastAsia="等线" w:cs="宋体"/>
                <w:b/>
                <w:bCs/>
                <w:color w:val="000000"/>
                <w:kern w:val="0"/>
                <w:sz w:val="22"/>
                <w:szCs w:val="22"/>
              </w:rPr>
              <w:t>数量</w:t>
            </w:r>
          </w:p>
        </w:tc>
        <w:tc>
          <w:tcPr>
            <w:tcW w:w="328" w:type="pct"/>
            <w:tcBorders>
              <w:top w:val="single" w:color="auto" w:sz="4" w:space="0"/>
              <w:left w:val="nil"/>
              <w:bottom w:val="single" w:color="auto" w:sz="4" w:space="0"/>
              <w:right w:val="single" w:color="auto" w:sz="4" w:space="0"/>
            </w:tcBorders>
            <w:noWrap/>
            <w:vAlign w:val="center"/>
          </w:tcPr>
          <w:p w14:paraId="4427731A">
            <w:pPr>
              <w:widowControl/>
              <w:spacing w:line="360" w:lineRule="auto"/>
              <w:jc w:val="center"/>
              <w:rPr>
                <w:rFonts w:hint="eastAsia" w:ascii="等线" w:hAnsi="等线" w:eastAsia="等线" w:cs="宋体"/>
                <w:b/>
                <w:bCs/>
                <w:color w:val="000000"/>
                <w:kern w:val="0"/>
                <w:sz w:val="22"/>
                <w:szCs w:val="22"/>
              </w:rPr>
            </w:pPr>
            <w:r>
              <w:rPr>
                <w:rFonts w:hint="eastAsia" w:ascii="等线" w:hAnsi="等线" w:eastAsia="等线" w:cs="宋体"/>
                <w:b/>
                <w:bCs/>
                <w:color w:val="000000"/>
                <w:kern w:val="0"/>
                <w:sz w:val="22"/>
                <w:szCs w:val="22"/>
              </w:rPr>
              <w:t>单位</w:t>
            </w:r>
          </w:p>
        </w:tc>
      </w:tr>
      <w:tr w14:paraId="4191A24D">
        <w:tblPrEx>
          <w:tblCellMar>
            <w:top w:w="0" w:type="dxa"/>
            <w:left w:w="108" w:type="dxa"/>
            <w:bottom w:w="0" w:type="dxa"/>
            <w:right w:w="108" w:type="dxa"/>
          </w:tblCellMar>
        </w:tblPrEx>
        <w:trPr>
          <w:trHeight w:val="704" w:hRule="atLeast"/>
        </w:trPr>
        <w:tc>
          <w:tcPr>
            <w:tcW w:w="663" w:type="pct"/>
            <w:vMerge w:val="restart"/>
            <w:tcBorders>
              <w:top w:val="nil"/>
              <w:left w:val="single" w:color="auto" w:sz="4" w:space="0"/>
              <w:right w:val="single" w:color="auto" w:sz="4" w:space="0"/>
            </w:tcBorders>
            <w:vAlign w:val="center"/>
          </w:tcPr>
          <w:p w14:paraId="40A09A42">
            <w:pPr>
              <w:widowControl/>
              <w:spacing w:line="360" w:lineRule="auto"/>
              <w:jc w:val="left"/>
              <w:rPr>
                <w:rFonts w:hint="eastAsia"/>
              </w:rPr>
            </w:pPr>
            <w:r>
              <w:rPr>
                <w:rFonts w:hint="eastAsia"/>
              </w:rPr>
              <w:t>数据分类分级及风险管理平台</w:t>
            </w:r>
          </w:p>
        </w:tc>
        <w:tc>
          <w:tcPr>
            <w:tcW w:w="1298" w:type="pct"/>
            <w:tcBorders>
              <w:top w:val="nil"/>
              <w:left w:val="nil"/>
              <w:bottom w:val="single" w:color="auto" w:sz="4" w:space="0"/>
              <w:right w:val="single" w:color="auto" w:sz="4" w:space="0"/>
            </w:tcBorders>
            <w:vAlign w:val="center"/>
          </w:tcPr>
          <w:p w14:paraId="6C4AB343">
            <w:pPr>
              <w:widowControl/>
              <w:spacing w:line="360" w:lineRule="auto"/>
              <w:jc w:val="left"/>
              <w:rPr>
                <w:rFonts w:hint="eastAsia"/>
              </w:rPr>
            </w:pPr>
            <w:r>
              <w:rPr>
                <w:rFonts w:hint="eastAsia"/>
              </w:rPr>
              <w:t>数据分类分级系统</w:t>
            </w:r>
          </w:p>
        </w:tc>
        <w:tc>
          <w:tcPr>
            <w:tcW w:w="2382" w:type="pct"/>
            <w:tcBorders>
              <w:top w:val="nil"/>
              <w:left w:val="single" w:color="auto" w:sz="4" w:space="0"/>
              <w:bottom w:val="single" w:color="auto" w:sz="4" w:space="0"/>
              <w:right w:val="single" w:color="auto" w:sz="4" w:space="0"/>
            </w:tcBorders>
            <w:vAlign w:val="center"/>
          </w:tcPr>
          <w:p w14:paraId="08CBF0A7">
            <w:pPr>
              <w:widowControl/>
              <w:spacing w:line="360" w:lineRule="auto"/>
              <w:jc w:val="left"/>
              <w:rPr>
                <w:rFonts w:hint="eastAsia"/>
              </w:rPr>
            </w:pPr>
            <w:r>
              <w:rPr>
                <w:rFonts w:hint="eastAsia"/>
              </w:rPr>
              <w:t>各类数据分类分级</w:t>
            </w:r>
          </w:p>
        </w:tc>
        <w:tc>
          <w:tcPr>
            <w:tcW w:w="329" w:type="pct"/>
            <w:tcBorders>
              <w:top w:val="nil"/>
              <w:left w:val="nil"/>
              <w:bottom w:val="single" w:color="auto" w:sz="4" w:space="0"/>
              <w:right w:val="single" w:color="auto" w:sz="4" w:space="0"/>
            </w:tcBorders>
            <w:vAlign w:val="center"/>
          </w:tcPr>
          <w:p w14:paraId="12DBEBF2">
            <w:pPr>
              <w:widowControl/>
              <w:spacing w:line="360" w:lineRule="auto"/>
              <w:jc w:val="left"/>
              <w:rPr>
                <w:rFonts w:hint="eastAsia"/>
              </w:rPr>
            </w:pPr>
            <w:r>
              <w:rPr>
                <w:rFonts w:hint="eastAsia"/>
              </w:rPr>
              <w:t>1</w:t>
            </w:r>
          </w:p>
        </w:tc>
        <w:tc>
          <w:tcPr>
            <w:tcW w:w="328" w:type="pct"/>
            <w:tcBorders>
              <w:top w:val="nil"/>
              <w:left w:val="nil"/>
              <w:bottom w:val="single" w:color="auto" w:sz="4" w:space="0"/>
              <w:right w:val="single" w:color="auto" w:sz="4" w:space="0"/>
            </w:tcBorders>
            <w:vAlign w:val="center"/>
          </w:tcPr>
          <w:p w14:paraId="19F75C03">
            <w:pPr>
              <w:widowControl/>
              <w:spacing w:line="360" w:lineRule="auto"/>
              <w:jc w:val="left"/>
              <w:rPr>
                <w:rFonts w:hint="eastAsia"/>
              </w:rPr>
            </w:pPr>
            <w:r>
              <w:rPr>
                <w:rFonts w:hint="eastAsia"/>
              </w:rPr>
              <w:t>套</w:t>
            </w:r>
          </w:p>
        </w:tc>
      </w:tr>
      <w:tr w14:paraId="5F079C9F">
        <w:tblPrEx>
          <w:tblCellMar>
            <w:top w:w="0" w:type="dxa"/>
            <w:left w:w="108" w:type="dxa"/>
            <w:bottom w:w="0" w:type="dxa"/>
            <w:right w:w="108" w:type="dxa"/>
          </w:tblCellMar>
        </w:tblPrEx>
        <w:trPr>
          <w:trHeight w:val="463" w:hRule="atLeast"/>
        </w:trPr>
        <w:tc>
          <w:tcPr>
            <w:tcW w:w="663" w:type="pct"/>
            <w:vMerge w:val="continue"/>
            <w:tcBorders>
              <w:left w:val="single" w:color="auto" w:sz="4" w:space="0"/>
              <w:bottom w:val="single" w:color="auto" w:sz="4" w:space="0"/>
              <w:right w:val="single" w:color="auto" w:sz="4" w:space="0"/>
            </w:tcBorders>
            <w:vAlign w:val="center"/>
          </w:tcPr>
          <w:p w14:paraId="0B0C3B31">
            <w:pPr>
              <w:widowControl/>
              <w:spacing w:line="360" w:lineRule="auto"/>
              <w:jc w:val="left"/>
              <w:rPr>
                <w:rFonts w:hint="eastAsia"/>
              </w:rPr>
            </w:pPr>
          </w:p>
        </w:tc>
        <w:tc>
          <w:tcPr>
            <w:tcW w:w="1298" w:type="pct"/>
            <w:tcBorders>
              <w:top w:val="single" w:color="auto" w:sz="4" w:space="0"/>
              <w:left w:val="nil"/>
              <w:bottom w:val="single" w:color="auto" w:sz="4" w:space="0"/>
              <w:right w:val="single" w:color="auto" w:sz="4" w:space="0"/>
            </w:tcBorders>
            <w:vAlign w:val="center"/>
          </w:tcPr>
          <w:p w14:paraId="6F478AC2">
            <w:pPr>
              <w:widowControl/>
              <w:spacing w:line="360" w:lineRule="auto"/>
              <w:jc w:val="left"/>
              <w:rPr>
                <w:rFonts w:hint="eastAsia"/>
              </w:rPr>
            </w:pPr>
            <w:r>
              <w:rPr>
                <w:rFonts w:hint="eastAsia"/>
              </w:rPr>
              <w:t>API应用安全审计系统</w:t>
            </w:r>
          </w:p>
        </w:tc>
        <w:tc>
          <w:tcPr>
            <w:tcW w:w="2382" w:type="pct"/>
            <w:tcBorders>
              <w:top w:val="single" w:color="auto" w:sz="4" w:space="0"/>
              <w:left w:val="single" w:color="auto" w:sz="4" w:space="0"/>
              <w:bottom w:val="single" w:color="auto" w:sz="4" w:space="0"/>
              <w:right w:val="single" w:color="auto" w:sz="4" w:space="0"/>
            </w:tcBorders>
            <w:vAlign w:val="center"/>
          </w:tcPr>
          <w:p w14:paraId="26A32B04">
            <w:pPr>
              <w:widowControl/>
              <w:spacing w:line="360" w:lineRule="auto"/>
              <w:jc w:val="left"/>
              <w:rPr>
                <w:rFonts w:hint="eastAsia"/>
              </w:rPr>
            </w:pPr>
            <w:r>
              <w:rPr>
                <w:rFonts w:hint="eastAsia"/>
              </w:rPr>
              <w:t>检测API数据安全风险</w:t>
            </w:r>
          </w:p>
        </w:tc>
        <w:tc>
          <w:tcPr>
            <w:tcW w:w="329" w:type="pct"/>
            <w:tcBorders>
              <w:top w:val="single" w:color="auto" w:sz="4" w:space="0"/>
              <w:left w:val="nil"/>
              <w:bottom w:val="single" w:color="auto" w:sz="4" w:space="0"/>
              <w:right w:val="single" w:color="auto" w:sz="4" w:space="0"/>
            </w:tcBorders>
            <w:vAlign w:val="center"/>
          </w:tcPr>
          <w:p w14:paraId="5CB5F9B7">
            <w:pPr>
              <w:widowControl/>
              <w:spacing w:line="360" w:lineRule="auto"/>
              <w:jc w:val="left"/>
              <w:rPr>
                <w:rFonts w:hint="eastAsia"/>
              </w:rPr>
            </w:pPr>
            <w:r>
              <w:rPr>
                <w:rFonts w:hint="eastAsia"/>
              </w:rPr>
              <w:t>1</w:t>
            </w:r>
          </w:p>
        </w:tc>
        <w:tc>
          <w:tcPr>
            <w:tcW w:w="328" w:type="pct"/>
            <w:tcBorders>
              <w:top w:val="single" w:color="auto" w:sz="4" w:space="0"/>
              <w:left w:val="nil"/>
              <w:bottom w:val="single" w:color="auto" w:sz="4" w:space="0"/>
              <w:right w:val="single" w:color="auto" w:sz="4" w:space="0"/>
            </w:tcBorders>
            <w:vAlign w:val="center"/>
          </w:tcPr>
          <w:p w14:paraId="4C39C356">
            <w:pPr>
              <w:widowControl/>
              <w:spacing w:line="360" w:lineRule="auto"/>
              <w:jc w:val="left"/>
              <w:rPr>
                <w:rFonts w:hint="eastAsia"/>
              </w:rPr>
            </w:pPr>
            <w:r>
              <w:rPr>
                <w:rFonts w:hint="eastAsia"/>
              </w:rPr>
              <w:t>套</w:t>
            </w:r>
          </w:p>
        </w:tc>
      </w:tr>
      <w:tr w14:paraId="6C7E22B5">
        <w:tblPrEx>
          <w:tblCellMar>
            <w:top w:w="0" w:type="dxa"/>
            <w:left w:w="108" w:type="dxa"/>
            <w:bottom w:w="0" w:type="dxa"/>
            <w:right w:w="108" w:type="dxa"/>
          </w:tblCellMar>
        </w:tblPrEx>
        <w:trPr>
          <w:trHeight w:val="253" w:hRule="atLeast"/>
        </w:trPr>
        <w:tc>
          <w:tcPr>
            <w:tcW w:w="663" w:type="pct"/>
            <w:vMerge w:val="continue"/>
            <w:tcBorders>
              <w:left w:val="single" w:color="auto" w:sz="4" w:space="0"/>
              <w:bottom w:val="single" w:color="auto" w:sz="4" w:space="0"/>
              <w:right w:val="single" w:color="auto" w:sz="4" w:space="0"/>
            </w:tcBorders>
            <w:vAlign w:val="center"/>
          </w:tcPr>
          <w:p w14:paraId="6783B48B">
            <w:pPr>
              <w:widowControl/>
              <w:spacing w:line="360" w:lineRule="auto"/>
              <w:jc w:val="left"/>
              <w:rPr>
                <w:rFonts w:hint="eastAsia"/>
              </w:rPr>
            </w:pPr>
          </w:p>
        </w:tc>
        <w:tc>
          <w:tcPr>
            <w:tcW w:w="1298" w:type="pct"/>
            <w:tcBorders>
              <w:top w:val="single" w:color="auto" w:sz="4" w:space="0"/>
              <w:left w:val="nil"/>
              <w:bottom w:val="single" w:color="auto" w:sz="4" w:space="0"/>
              <w:right w:val="single" w:color="auto" w:sz="4" w:space="0"/>
            </w:tcBorders>
            <w:vAlign w:val="center"/>
          </w:tcPr>
          <w:p w14:paraId="42B22152">
            <w:pPr>
              <w:widowControl/>
              <w:spacing w:line="360" w:lineRule="auto"/>
              <w:jc w:val="left"/>
              <w:rPr>
                <w:rFonts w:hint="eastAsia"/>
              </w:rPr>
            </w:pPr>
            <w:r>
              <w:rPr>
                <w:rFonts w:hint="eastAsia"/>
              </w:rPr>
              <w:t>数据安全管理平台</w:t>
            </w:r>
          </w:p>
        </w:tc>
        <w:tc>
          <w:tcPr>
            <w:tcW w:w="2382" w:type="pct"/>
            <w:tcBorders>
              <w:top w:val="single" w:color="auto" w:sz="4" w:space="0"/>
              <w:left w:val="single" w:color="auto" w:sz="4" w:space="0"/>
              <w:bottom w:val="single" w:color="auto" w:sz="4" w:space="0"/>
              <w:right w:val="single" w:color="auto" w:sz="4" w:space="0"/>
            </w:tcBorders>
            <w:vAlign w:val="center"/>
          </w:tcPr>
          <w:p w14:paraId="46B5250C">
            <w:pPr>
              <w:widowControl/>
              <w:spacing w:line="360" w:lineRule="auto"/>
              <w:jc w:val="left"/>
              <w:rPr>
                <w:rFonts w:hint="eastAsia"/>
              </w:rPr>
            </w:pPr>
            <w:r>
              <w:rPr>
                <w:rFonts w:hint="eastAsia"/>
              </w:rPr>
              <w:t>综合数据安全态势情况</w:t>
            </w:r>
          </w:p>
        </w:tc>
        <w:tc>
          <w:tcPr>
            <w:tcW w:w="329" w:type="pct"/>
            <w:tcBorders>
              <w:top w:val="single" w:color="auto" w:sz="4" w:space="0"/>
              <w:left w:val="nil"/>
              <w:bottom w:val="single" w:color="auto" w:sz="4" w:space="0"/>
              <w:right w:val="single" w:color="auto" w:sz="4" w:space="0"/>
            </w:tcBorders>
            <w:vAlign w:val="center"/>
          </w:tcPr>
          <w:p w14:paraId="2E5B2A88">
            <w:pPr>
              <w:widowControl/>
              <w:spacing w:line="360" w:lineRule="auto"/>
              <w:jc w:val="left"/>
              <w:rPr>
                <w:rFonts w:hint="eastAsia"/>
              </w:rPr>
            </w:pPr>
            <w:r>
              <w:rPr>
                <w:rFonts w:hint="eastAsia"/>
              </w:rPr>
              <w:t>1</w:t>
            </w:r>
          </w:p>
        </w:tc>
        <w:tc>
          <w:tcPr>
            <w:tcW w:w="328" w:type="pct"/>
            <w:tcBorders>
              <w:top w:val="single" w:color="auto" w:sz="4" w:space="0"/>
              <w:left w:val="nil"/>
              <w:bottom w:val="single" w:color="auto" w:sz="4" w:space="0"/>
              <w:right w:val="single" w:color="auto" w:sz="4" w:space="0"/>
            </w:tcBorders>
            <w:vAlign w:val="center"/>
          </w:tcPr>
          <w:p w14:paraId="7A7B6FD4">
            <w:pPr>
              <w:widowControl/>
              <w:spacing w:line="360" w:lineRule="auto"/>
              <w:jc w:val="left"/>
              <w:rPr>
                <w:rFonts w:hint="eastAsia"/>
              </w:rPr>
            </w:pPr>
            <w:r>
              <w:rPr>
                <w:rFonts w:hint="eastAsia"/>
              </w:rPr>
              <w:t>套</w:t>
            </w:r>
          </w:p>
        </w:tc>
      </w:tr>
      <w:tr w14:paraId="16081FE8">
        <w:tblPrEx>
          <w:tblCellMar>
            <w:top w:w="0" w:type="dxa"/>
            <w:left w:w="108" w:type="dxa"/>
            <w:bottom w:w="0" w:type="dxa"/>
            <w:right w:w="108" w:type="dxa"/>
          </w:tblCellMar>
        </w:tblPrEx>
        <w:trPr>
          <w:trHeight w:val="253" w:hRule="atLeast"/>
        </w:trPr>
        <w:tc>
          <w:tcPr>
            <w:tcW w:w="663" w:type="pct"/>
            <w:vMerge w:val="continue"/>
            <w:tcBorders>
              <w:left w:val="single" w:color="auto" w:sz="4" w:space="0"/>
              <w:bottom w:val="single" w:color="auto" w:sz="4" w:space="0"/>
              <w:right w:val="single" w:color="auto" w:sz="4" w:space="0"/>
            </w:tcBorders>
            <w:vAlign w:val="center"/>
          </w:tcPr>
          <w:p w14:paraId="42106C8F">
            <w:pPr>
              <w:widowControl/>
              <w:spacing w:line="360" w:lineRule="auto"/>
              <w:jc w:val="left"/>
              <w:rPr>
                <w:rFonts w:hint="eastAsia"/>
              </w:rPr>
            </w:pPr>
          </w:p>
        </w:tc>
        <w:tc>
          <w:tcPr>
            <w:tcW w:w="1298" w:type="pct"/>
            <w:tcBorders>
              <w:top w:val="single" w:color="auto" w:sz="4" w:space="0"/>
              <w:left w:val="nil"/>
              <w:bottom w:val="single" w:color="auto" w:sz="4" w:space="0"/>
              <w:right w:val="single" w:color="auto" w:sz="4" w:space="0"/>
            </w:tcBorders>
            <w:vAlign w:val="center"/>
          </w:tcPr>
          <w:p w14:paraId="0B2179E7">
            <w:pPr>
              <w:widowControl/>
              <w:spacing w:line="360" w:lineRule="auto"/>
              <w:jc w:val="left"/>
              <w:rPr>
                <w:rFonts w:hint="eastAsia"/>
              </w:rPr>
            </w:pPr>
            <w:r>
              <w:rPr>
                <w:rFonts w:hint="eastAsia"/>
              </w:rPr>
              <w:t>安全智能体平台</w:t>
            </w:r>
          </w:p>
        </w:tc>
        <w:tc>
          <w:tcPr>
            <w:tcW w:w="2382" w:type="pct"/>
            <w:tcBorders>
              <w:top w:val="single" w:color="auto" w:sz="4" w:space="0"/>
              <w:left w:val="single" w:color="auto" w:sz="4" w:space="0"/>
              <w:bottom w:val="single" w:color="auto" w:sz="4" w:space="0"/>
              <w:right w:val="single" w:color="auto" w:sz="4" w:space="0"/>
            </w:tcBorders>
            <w:vAlign w:val="center"/>
          </w:tcPr>
          <w:p w14:paraId="1E4E3F21">
            <w:pPr>
              <w:widowControl/>
              <w:spacing w:line="360" w:lineRule="auto"/>
              <w:jc w:val="left"/>
              <w:rPr>
                <w:rFonts w:hint="eastAsia"/>
              </w:rPr>
            </w:pPr>
            <w:r>
              <w:rPr>
                <w:rFonts w:hint="eastAsia"/>
              </w:rPr>
              <w:t>通过成熟的智能体，提升数据安全运营效果</w:t>
            </w:r>
          </w:p>
        </w:tc>
        <w:tc>
          <w:tcPr>
            <w:tcW w:w="329" w:type="pct"/>
            <w:tcBorders>
              <w:top w:val="single" w:color="auto" w:sz="4" w:space="0"/>
              <w:left w:val="nil"/>
              <w:bottom w:val="single" w:color="auto" w:sz="4" w:space="0"/>
              <w:right w:val="single" w:color="auto" w:sz="4" w:space="0"/>
            </w:tcBorders>
            <w:vAlign w:val="center"/>
          </w:tcPr>
          <w:p w14:paraId="3AD88EE9">
            <w:pPr>
              <w:widowControl/>
              <w:spacing w:line="360" w:lineRule="auto"/>
              <w:jc w:val="left"/>
              <w:rPr>
                <w:rFonts w:hint="eastAsia"/>
              </w:rPr>
            </w:pPr>
            <w:r>
              <w:rPr>
                <w:rFonts w:hint="eastAsia"/>
              </w:rPr>
              <w:t>1</w:t>
            </w:r>
          </w:p>
        </w:tc>
        <w:tc>
          <w:tcPr>
            <w:tcW w:w="328" w:type="pct"/>
            <w:tcBorders>
              <w:top w:val="single" w:color="auto" w:sz="4" w:space="0"/>
              <w:left w:val="nil"/>
              <w:bottom w:val="single" w:color="auto" w:sz="4" w:space="0"/>
              <w:right w:val="single" w:color="auto" w:sz="4" w:space="0"/>
            </w:tcBorders>
            <w:vAlign w:val="center"/>
          </w:tcPr>
          <w:p w14:paraId="20EF43C8">
            <w:pPr>
              <w:widowControl/>
              <w:spacing w:line="360" w:lineRule="auto"/>
              <w:jc w:val="left"/>
              <w:rPr>
                <w:rFonts w:hint="eastAsia"/>
              </w:rPr>
            </w:pPr>
            <w:r>
              <w:rPr>
                <w:rFonts w:hint="eastAsia"/>
              </w:rPr>
              <w:t>套</w:t>
            </w:r>
          </w:p>
        </w:tc>
      </w:tr>
    </w:tbl>
    <w:p w14:paraId="47772455">
      <w:pPr>
        <w:pStyle w:val="3"/>
        <w:numPr>
          <w:ilvl w:val="0"/>
          <w:numId w:val="1"/>
        </w:numPr>
        <w:rPr>
          <w:rFonts w:hint="eastAsia"/>
          <w:sz w:val="28"/>
          <w:szCs w:val="28"/>
        </w:rPr>
      </w:pPr>
      <w:r>
        <w:rPr>
          <w:rFonts w:hint="eastAsia"/>
          <w:sz w:val="28"/>
          <w:szCs w:val="28"/>
        </w:rPr>
        <w:t>数据分类分级及风险管理平台</w:t>
      </w:r>
    </w:p>
    <w:tbl>
      <w:tblPr>
        <w:tblStyle w:val="1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2"/>
        <w:gridCol w:w="7113"/>
        <w:gridCol w:w="721"/>
        <w:gridCol w:w="686"/>
      </w:tblGrid>
      <w:tr w14:paraId="18B58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24" w:type="pct"/>
          </w:tcPr>
          <w:p w14:paraId="40B99C2F">
            <w:pPr>
              <w:widowControl/>
              <w:spacing w:line="360" w:lineRule="auto"/>
              <w:jc w:val="left"/>
              <w:rPr>
                <w:rFonts w:hint="eastAsia" w:ascii="等线" w:hAnsi="等线" w:eastAsia="等线" w:cs="宋体"/>
                <w:b/>
                <w:bCs/>
                <w:color w:val="000000"/>
                <w:kern w:val="0"/>
                <w:sz w:val="22"/>
                <w:szCs w:val="22"/>
              </w:rPr>
            </w:pPr>
            <w:r>
              <w:rPr>
                <w:rFonts w:hint="eastAsia" w:ascii="等线" w:hAnsi="等线" w:eastAsia="等线" w:cs="宋体"/>
                <w:b/>
                <w:bCs/>
                <w:color w:val="000000"/>
                <w:kern w:val="0"/>
                <w:sz w:val="22"/>
                <w:szCs w:val="22"/>
              </w:rPr>
              <w:t>项目</w:t>
            </w:r>
          </w:p>
        </w:tc>
        <w:tc>
          <w:tcPr>
            <w:tcW w:w="3570" w:type="pct"/>
          </w:tcPr>
          <w:p w14:paraId="2BA97F9B">
            <w:pPr>
              <w:widowControl/>
              <w:spacing w:line="360" w:lineRule="auto"/>
              <w:jc w:val="left"/>
              <w:rPr>
                <w:rFonts w:hint="eastAsia" w:ascii="等线" w:hAnsi="等线" w:eastAsia="等线" w:cs="宋体"/>
                <w:b/>
                <w:bCs/>
                <w:color w:val="000000"/>
                <w:kern w:val="0"/>
                <w:sz w:val="22"/>
                <w:szCs w:val="22"/>
              </w:rPr>
            </w:pPr>
            <w:r>
              <w:rPr>
                <w:rFonts w:hint="eastAsia" w:ascii="等线" w:hAnsi="等线" w:eastAsia="等线" w:cs="宋体"/>
                <w:b/>
                <w:bCs/>
                <w:color w:val="000000"/>
                <w:kern w:val="0"/>
                <w:sz w:val="22"/>
                <w:szCs w:val="22"/>
              </w:rPr>
              <w:t>描述</w:t>
            </w:r>
          </w:p>
        </w:tc>
        <w:tc>
          <w:tcPr>
            <w:tcW w:w="362" w:type="pct"/>
          </w:tcPr>
          <w:p w14:paraId="2091308E">
            <w:pPr>
              <w:widowControl/>
              <w:spacing w:line="360" w:lineRule="auto"/>
              <w:jc w:val="left"/>
              <w:rPr>
                <w:rFonts w:hint="eastAsia" w:ascii="等线" w:hAnsi="等线" w:eastAsia="等线" w:cs="宋体"/>
                <w:b/>
                <w:bCs/>
                <w:color w:val="000000"/>
                <w:kern w:val="0"/>
                <w:sz w:val="22"/>
                <w:szCs w:val="22"/>
              </w:rPr>
            </w:pPr>
            <w:r>
              <w:rPr>
                <w:rFonts w:hint="eastAsia" w:ascii="等线" w:hAnsi="等线" w:eastAsia="等线" w:cs="宋体"/>
                <w:b/>
                <w:bCs/>
                <w:color w:val="000000"/>
                <w:kern w:val="0"/>
                <w:sz w:val="22"/>
                <w:szCs w:val="22"/>
              </w:rPr>
              <w:t>数量</w:t>
            </w:r>
          </w:p>
        </w:tc>
        <w:tc>
          <w:tcPr>
            <w:tcW w:w="344" w:type="pct"/>
          </w:tcPr>
          <w:p w14:paraId="7D0089DB">
            <w:pPr>
              <w:widowControl/>
              <w:spacing w:line="360" w:lineRule="auto"/>
              <w:jc w:val="left"/>
              <w:rPr>
                <w:rFonts w:hint="eastAsia" w:ascii="等线" w:hAnsi="等线" w:eastAsia="等线" w:cs="宋体"/>
                <w:b/>
                <w:bCs/>
                <w:color w:val="000000"/>
                <w:kern w:val="0"/>
                <w:sz w:val="22"/>
                <w:szCs w:val="22"/>
              </w:rPr>
            </w:pPr>
            <w:r>
              <w:rPr>
                <w:rFonts w:hint="eastAsia" w:ascii="等线" w:hAnsi="等线" w:eastAsia="等线" w:cs="宋体"/>
                <w:b/>
                <w:bCs/>
                <w:color w:val="000000"/>
                <w:kern w:val="0"/>
                <w:sz w:val="22"/>
                <w:szCs w:val="22"/>
              </w:rPr>
              <w:t>单位</w:t>
            </w:r>
          </w:p>
        </w:tc>
      </w:tr>
      <w:tr w14:paraId="68252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0" w:hRule="atLeast"/>
        </w:trPr>
        <w:tc>
          <w:tcPr>
            <w:tcW w:w="724" w:type="pct"/>
          </w:tcPr>
          <w:p w14:paraId="062F6D94">
            <w:pPr>
              <w:widowControl/>
              <w:spacing w:line="360" w:lineRule="auto"/>
              <w:jc w:val="left"/>
            </w:pPr>
            <w:r>
              <w:rPr>
                <w:rFonts w:hint="eastAsia"/>
              </w:rPr>
              <w:t>数据分类分级系统</w:t>
            </w:r>
          </w:p>
        </w:tc>
        <w:tc>
          <w:tcPr>
            <w:tcW w:w="3570" w:type="pct"/>
          </w:tcPr>
          <w:p w14:paraId="648B761E">
            <w:pPr>
              <w:widowControl/>
              <w:spacing w:line="360" w:lineRule="auto"/>
              <w:jc w:val="left"/>
            </w:pPr>
            <w:r>
              <w:rPr>
                <w:rFonts w:hint="eastAsia"/>
              </w:rPr>
              <w:t>1.配置要求：标准机架式2U设备，配置2个冗余交流电源；处理性能≥100字段/秒。CPU：≥12核*2颗，内存：≥128G，配置不少于32TB硬盘，万兆光口≥2，接口扩展插槽≥2。无数据库接入数量限制，配置6年原厂维保服务。</w:t>
            </w:r>
          </w:p>
          <w:p w14:paraId="553F554F">
            <w:pPr>
              <w:widowControl/>
              <w:spacing w:line="360" w:lineRule="auto"/>
              <w:jc w:val="left"/>
            </w:pPr>
            <w:r>
              <w:rPr>
                <w:rFonts w:hint="eastAsia"/>
              </w:rPr>
              <w:t>2.支持手动新增、批量导入两种方式添加数据源，并支持数据源信息的批量导出。支持通过指定IP段、端口方式，定时扫描当前网络环境下的数据库资产。</w:t>
            </w:r>
          </w:p>
          <w:p w14:paraId="79B88D90">
            <w:pPr>
              <w:widowControl/>
              <w:spacing w:line="360" w:lineRule="auto"/>
              <w:jc w:val="left"/>
            </w:pPr>
            <w:r>
              <w:rPr>
                <w:rFonts w:hint="eastAsia"/>
              </w:rPr>
              <w:t>3.支持以库、表、列方式对于数据资产目录进行可视化展示，数据表资产信息包含但不限于：数据源、主机、库名、分类、分级、是否梳理、业务系统、部门、责任人、最后梳理时间、字段数等。可对于结构化分类分级任务进行相关配置，包括：数据源、抽样策略、执行逻辑、打标方式。</w:t>
            </w:r>
          </w:p>
          <w:p w14:paraId="381BD3A9">
            <w:pPr>
              <w:widowControl/>
              <w:spacing w:line="360" w:lineRule="auto"/>
              <w:jc w:val="left"/>
            </w:pPr>
            <w:r>
              <w:rPr>
                <w:rFonts w:hint="eastAsia"/>
              </w:rPr>
              <w:t>4.支持结构化分类分级任务流程化执行向导，包括：分类分级预测、人工校验打标、结果自动纠错等环节。支持对于非结构化文件进行分类分级，可支持的文件类型包括：do</w:t>
            </w:r>
            <w:r>
              <w:rPr>
                <w:rFonts w:hint="eastAsia"/>
                <w:lang w:val="en-US" w:eastAsia="zh-CN"/>
              </w:rPr>
              <w:t>cx</w:t>
            </w:r>
            <w:r>
              <w:rPr>
                <w:rFonts w:hint="eastAsia"/>
              </w:rPr>
              <w:t>/doc/txt/pdf/dcm，且支持非结构化分类分级模版的维护。</w:t>
            </w:r>
          </w:p>
          <w:p w14:paraId="1E93C819">
            <w:pPr>
              <w:widowControl/>
              <w:spacing w:line="360" w:lineRule="auto"/>
              <w:jc w:val="left"/>
            </w:pPr>
            <w:r>
              <w:rPr>
                <w:rFonts w:hint="eastAsia"/>
              </w:rPr>
              <w:t>5.能够通过AI大模型能力，帮助自动生成数据分类分级框架，并对分类分级结果进行自动化持续优化，包括：生成类别、生成级别、生成示例、拆分类别。能够通过调用AI大模型能力，帮助医院提升分类识别率与准确率，并给出大模型输出结果的“识别说明”，帮助人工更好地判断其结果是否准确。</w:t>
            </w:r>
          </w:p>
          <w:p w14:paraId="2670286C">
            <w:pPr>
              <w:widowControl/>
              <w:spacing w:line="360" w:lineRule="auto"/>
              <w:jc w:val="left"/>
            </w:pPr>
            <w:r>
              <w:rPr>
                <w:rFonts w:hint="eastAsia"/>
              </w:rPr>
              <w:t>6.系统能提供数据安全分类分级监管可视化大屏，包含数据源数、表数、列数、已梳理列数、数据分级/分类分布、数据源风险评分TOP、数据源弱密码风险数TOP等信息。</w:t>
            </w:r>
          </w:p>
          <w:p w14:paraId="37CB79B2">
            <w:pPr>
              <w:widowControl/>
              <w:spacing w:line="360" w:lineRule="auto"/>
              <w:jc w:val="left"/>
              <w:rPr>
                <w:rFonts w:hint="eastAsia" w:eastAsia="宋体"/>
                <w:lang w:eastAsia="zh-CN"/>
              </w:rPr>
            </w:pPr>
            <w:r>
              <w:rPr>
                <w:rFonts w:hint="eastAsia"/>
              </w:rPr>
              <w:t>7.产品需通过由中国信息通信研究院检验的数据安全产品进阶能力测评</w:t>
            </w:r>
            <w:r>
              <w:rPr>
                <w:rFonts w:hint="eastAsia"/>
                <w:lang w:eastAsia="zh-CN"/>
              </w:rPr>
              <w:t>。</w:t>
            </w:r>
          </w:p>
        </w:tc>
        <w:tc>
          <w:tcPr>
            <w:tcW w:w="362" w:type="pct"/>
          </w:tcPr>
          <w:p w14:paraId="14087FED">
            <w:pPr>
              <w:widowControl/>
              <w:spacing w:line="360" w:lineRule="auto"/>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w:t>
            </w:r>
          </w:p>
        </w:tc>
        <w:tc>
          <w:tcPr>
            <w:tcW w:w="344" w:type="pct"/>
          </w:tcPr>
          <w:p w14:paraId="25206DE8">
            <w:pPr>
              <w:widowControl/>
              <w:spacing w:line="360" w:lineRule="auto"/>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套</w:t>
            </w:r>
          </w:p>
        </w:tc>
      </w:tr>
      <w:tr w14:paraId="513C4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724" w:type="pct"/>
          </w:tcPr>
          <w:p w14:paraId="74BDE914">
            <w:pPr>
              <w:widowControl/>
              <w:spacing w:line="360" w:lineRule="auto"/>
              <w:jc w:val="left"/>
            </w:pPr>
            <w:r>
              <w:rPr>
                <w:rFonts w:hint="eastAsia"/>
              </w:rPr>
              <w:t>API应用安全审计系统</w:t>
            </w:r>
          </w:p>
        </w:tc>
        <w:tc>
          <w:tcPr>
            <w:tcW w:w="3570" w:type="pct"/>
          </w:tcPr>
          <w:p w14:paraId="34A3ACC9">
            <w:pPr>
              <w:widowControl/>
              <w:spacing w:line="360" w:lineRule="auto"/>
              <w:jc w:val="left"/>
            </w:pPr>
            <w:r>
              <w:rPr>
                <w:rFonts w:hint="eastAsia"/>
              </w:rPr>
              <w:t>1.配置要求：标准机架式2U设备，配置2个冗余交流电源，吞吐量：≥5Gbps。CPU：≥20核40线程，内存：≥64G，配置不少于16TB硬盘，管理口≥1、千兆电口≥4、万兆光口≥2。配置6年风险特征库升级及原厂维保服务。</w:t>
            </w:r>
          </w:p>
          <w:p w14:paraId="06287310">
            <w:pPr>
              <w:widowControl/>
              <w:spacing w:line="360" w:lineRule="auto"/>
              <w:jc w:val="left"/>
            </w:pPr>
            <w:r>
              <w:rPr>
                <w:rFonts w:hint="eastAsia"/>
              </w:rPr>
              <w:t>2.支持以agent和镜像流量混合模式采集流量，支持解析Restful、GraphQL、SOAP、JSON-RPC、XML-RPC、WebSocket协议的API流量。能自动识别流量中的应用系统，并对同应用进行合并，形成应用清单；</w:t>
            </w:r>
          </w:p>
          <w:p w14:paraId="58D2F0B2">
            <w:pPr>
              <w:widowControl/>
              <w:spacing w:line="360" w:lineRule="auto"/>
              <w:jc w:val="left"/>
            </w:pPr>
            <w:r>
              <w:rPr>
                <w:rFonts w:hint="eastAsia"/>
                <w:lang w:val="en-US" w:eastAsia="zh-CN"/>
              </w:rPr>
              <w:t>3</w:t>
            </w:r>
            <w:r>
              <w:rPr>
                <w:rFonts w:hint="eastAsia"/>
              </w:rPr>
              <w:t>.内置敏感数据标签，包括身份证号、手机号、银行卡号、姓名、地址、邮箱等个人敏感数据标签，能自动识别文件中包含的敏感数据标签。</w:t>
            </w:r>
          </w:p>
          <w:p w14:paraId="2F68CC3C">
            <w:pPr>
              <w:widowControl/>
              <w:spacing w:line="360" w:lineRule="auto"/>
              <w:jc w:val="left"/>
            </w:pPr>
            <w:r>
              <w:rPr>
                <w:rFonts w:hint="eastAsia"/>
                <w:lang w:val="en-US" w:eastAsia="zh-CN"/>
              </w:rPr>
              <w:t>4</w:t>
            </w:r>
            <w:r>
              <w:rPr>
                <w:rFonts w:hint="eastAsia"/>
              </w:rPr>
              <w:t>.内置脆弱性风险策略，至少包括：敏感接口未鉴权、认证令牌有效期过长、水平越权、脱敏策略不一致、任意文件读取、源代码泄漏、系统信息泄漏、敏感文件泄露等。</w:t>
            </w:r>
          </w:p>
          <w:p w14:paraId="626FDF07">
            <w:pPr>
              <w:widowControl/>
              <w:spacing w:line="360" w:lineRule="auto"/>
              <w:jc w:val="left"/>
            </w:pPr>
            <w:r>
              <w:rPr>
                <w:rFonts w:hint="eastAsia"/>
                <w:lang w:val="en-US" w:eastAsia="zh-CN"/>
              </w:rPr>
              <w:t>5</w:t>
            </w:r>
            <w:r>
              <w:rPr>
                <w:rFonts w:hint="eastAsia"/>
              </w:rPr>
              <w:t>.内置应用漏洞监测规则，覆盖Apache Spark、OpenAPI、Weblogic等常用组件未授权漏洞监测规则、敏感文件泄漏监测规则，命令执行漏洞监测规则等。</w:t>
            </w:r>
          </w:p>
          <w:p w14:paraId="78CC0973">
            <w:pPr>
              <w:widowControl/>
              <w:spacing w:line="360" w:lineRule="auto"/>
              <w:jc w:val="left"/>
            </w:pPr>
            <w:r>
              <w:rPr>
                <w:rFonts w:hint="eastAsia"/>
                <w:lang w:val="en-US" w:eastAsia="zh-CN"/>
              </w:rPr>
              <w:t>6</w:t>
            </w:r>
            <w:r>
              <w:rPr>
                <w:rFonts w:hint="eastAsia"/>
              </w:rPr>
              <w:t>.支持以IP、账号、IP+API、账号+API、数据维度进行行为风险配置，可根据风险日志自动绘制API风险链路关系。当监测到流量中有风险行为时能自动预警。</w:t>
            </w:r>
          </w:p>
          <w:p w14:paraId="46936EEC">
            <w:pPr>
              <w:widowControl/>
              <w:spacing w:line="360" w:lineRule="auto"/>
              <w:jc w:val="left"/>
            </w:pPr>
            <w:r>
              <w:rPr>
                <w:rFonts w:hint="eastAsia"/>
                <w:lang w:val="en-US" w:eastAsia="zh-CN"/>
              </w:rPr>
              <w:t>7</w:t>
            </w:r>
            <w:r>
              <w:rPr>
                <w:rFonts w:hint="eastAsia"/>
              </w:rPr>
              <w:t>.具备HTML、PDF、png、word多种格式的报表订阅功能，内置API数据安全运营、应用、文件、API、账号等专项分析报告。</w:t>
            </w:r>
          </w:p>
          <w:p w14:paraId="21132E2D">
            <w:pPr>
              <w:widowControl/>
              <w:spacing w:line="360" w:lineRule="auto"/>
              <w:jc w:val="left"/>
            </w:pPr>
            <w:r>
              <w:rPr>
                <w:rFonts w:hint="eastAsia"/>
                <w:lang w:val="en-US" w:eastAsia="zh-CN"/>
              </w:rPr>
              <w:t>8</w:t>
            </w:r>
            <w:r>
              <w:rPr>
                <w:rFonts w:hint="eastAsia"/>
              </w:rPr>
              <w:t>.支持通过开发接口或Kafka同步数据。能够对接AI大模型，授权AI自动纠偏API划分以及脆弱性风险告警的结果，支持立即执行存量API资源的划分、打标、聚合。</w:t>
            </w:r>
          </w:p>
          <w:p w14:paraId="77DF3109">
            <w:pPr>
              <w:widowControl/>
              <w:spacing w:line="360" w:lineRule="auto"/>
              <w:jc w:val="left"/>
            </w:pPr>
            <w:r>
              <w:rPr>
                <w:rFonts w:hint="eastAsia"/>
                <w:lang w:val="en-US" w:eastAsia="zh-CN"/>
              </w:rPr>
              <w:t>9</w:t>
            </w:r>
            <w:r>
              <w:rPr>
                <w:rFonts w:hint="eastAsia"/>
              </w:rPr>
              <w:t>.产品需通过由中国信息通信研究院安全能力评估，获得API安全能力先进级产品认证。</w:t>
            </w:r>
          </w:p>
        </w:tc>
        <w:tc>
          <w:tcPr>
            <w:tcW w:w="362" w:type="pct"/>
          </w:tcPr>
          <w:p w14:paraId="48692B6B">
            <w:pPr>
              <w:widowControl/>
              <w:spacing w:line="360" w:lineRule="auto"/>
              <w:jc w:val="center"/>
              <w:rPr>
                <w:rFonts w:hint="eastAsia" w:ascii="等线" w:hAnsi="等线" w:eastAsia="等线" w:cs="宋体"/>
                <w:kern w:val="0"/>
                <w:sz w:val="22"/>
                <w:szCs w:val="22"/>
              </w:rPr>
            </w:pPr>
            <w:r>
              <w:rPr>
                <w:rFonts w:hint="eastAsia" w:ascii="等线" w:hAnsi="等线" w:eastAsia="等线" w:cs="宋体"/>
                <w:kern w:val="0"/>
                <w:sz w:val="22"/>
                <w:szCs w:val="22"/>
              </w:rPr>
              <w:t>1</w:t>
            </w:r>
          </w:p>
        </w:tc>
        <w:tc>
          <w:tcPr>
            <w:tcW w:w="344" w:type="pct"/>
          </w:tcPr>
          <w:p w14:paraId="05B3792C">
            <w:pPr>
              <w:widowControl/>
              <w:spacing w:line="360" w:lineRule="auto"/>
              <w:jc w:val="center"/>
              <w:rPr>
                <w:rFonts w:hint="eastAsia" w:ascii="等线" w:hAnsi="等线" w:eastAsia="等线" w:cs="宋体"/>
                <w:kern w:val="0"/>
                <w:sz w:val="22"/>
                <w:szCs w:val="22"/>
              </w:rPr>
            </w:pPr>
            <w:r>
              <w:rPr>
                <w:rFonts w:hint="eastAsia" w:ascii="等线" w:hAnsi="等线" w:eastAsia="等线" w:cs="宋体"/>
                <w:kern w:val="0"/>
                <w:sz w:val="22"/>
                <w:szCs w:val="22"/>
              </w:rPr>
              <w:t>套</w:t>
            </w:r>
          </w:p>
        </w:tc>
      </w:tr>
      <w:tr w14:paraId="277CA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724" w:type="pct"/>
          </w:tcPr>
          <w:p w14:paraId="0FF79B3D">
            <w:pPr>
              <w:widowControl/>
              <w:spacing w:line="360" w:lineRule="auto"/>
              <w:jc w:val="left"/>
            </w:pPr>
            <w:r>
              <w:rPr>
                <w:rFonts w:hint="eastAsia"/>
              </w:rPr>
              <w:t>数据安全管理平台</w:t>
            </w:r>
          </w:p>
        </w:tc>
        <w:tc>
          <w:tcPr>
            <w:tcW w:w="3570" w:type="pct"/>
          </w:tcPr>
          <w:p w14:paraId="290B3D0B">
            <w:pPr>
              <w:widowControl/>
              <w:spacing w:line="360" w:lineRule="auto"/>
              <w:jc w:val="left"/>
            </w:pPr>
            <w:r>
              <w:rPr>
                <w:rFonts w:hint="eastAsia"/>
              </w:rPr>
              <w:t>1配置要求：标准机架式2U设备，配置2个冗余交流电源，数据采集和处理性能≥50000EPS。CPU：≥12核*2颗，内存：≥128G，配置不少于32TB硬盘，千兆电口≥4、万兆光口≥2。配置6年风险特征库升级及原厂维保服务。</w:t>
            </w:r>
          </w:p>
          <w:p w14:paraId="2F318638">
            <w:pPr>
              <w:widowControl/>
              <w:spacing w:line="360" w:lineRule="auto"/>
              <w:jc w:val="left"/>
            </w:pPr>
            <w:r>
              <w:rPr>
                <w:rFonts w:hint="eastAsia"/>
              </w:rPr>
              <w:t>2.综合安全态势支持展示数据安全防护情况，对数据安全告警进行分析，展示告警数量、告警类型分析、告警趋势分析、实时告警、数据接口安全风险、数据库安全风险。</w:t>
            </w:r>
          </w:p>
          <w:p w14:paraId="19F6E72A">
            <w:pPr>
              <w:widowControl/>
              <w:spacing w:line="360" w:lineRule="auto"/>
              <w:jc w:val="left"/>
            </w:pPr>
            <w:r>
              <w:rPr>
                <w:rFonts w:hint="eastAsia"/>
              </w:rPr>
              <w:t>3.对资产纳管情况进行统计，展示数据库、数据表、数据字段、业务应用、接口、账号数。敏感数据态势支持展示敏感数据在系统内的分布情况，清晰展现不同级别敏感表及敏感字段的数量、占比、数据库分布情况、敏感数据访问情况，以敏感数据为核心实时展现告警，支持告警详情下钻。</w:t>
            </w:r>
          </w:p>
          <w:p w14:paraId="300F016A">
            <w:pPr>
              <w:widowControl/>
              <w:spacing w:line="360" w:lineRule="auto"/>
              <w:jc w:val="left"/>
            </w:pPr>
            <w:r>
              <w:rPr>
                <w:rFonts w:hint="eastAsia"/>
              </w:rPr>
              <w:t>4.数据接口安全态势支持从接口的访问情况进行分析，展示接口的IP访问分布、接口访问TOP、接口访问趋势、敏感接口数量及占比、告警类型分布、高中低告警趋势、实时告警情况。</w:t>
            </w:r>
          </w:p>
          <w:p w14:paraId="4AB5FA1A">
            <w:pPr>
              <w:widowControl/>
              <w:spacing w:line="360" w:lineRule="auto"/>
              <w:jc w:val="left"/>
            </w:pPr>
            <w:r>
              <w:rPr>
                <w:rFonts w:hint="eastAsia"/>
              </w:rPr>
              <w:t>5.平台支持对分类分级、数据脱敏、数据安全网关、数据库审计、API应用安全审计、数据防泄漏等组件进行管理，支持组件单点登录。支持依据聚合规则定时聚合告警信息，有效降低告警数量。</w:t>
            </w:r>
          </w:p>
          <w:p w14:paraId="424892EF">
            <w:pPr>
              <w:widowControl/>
              <w:spacing w:line="360" w:lineRule="auto"/>
              <w:jc w:val="left"/>
            </w:pPr>
            <w:r>
              <w:rPr>
                <w:rFonts w:hint="eastAsia"/>
              </w:rPr>
              <w:t>6.支持告警的集中管理和智能分析，包括但不限于来源IP、目的IP、告警类型、事件名称、关联单位部门、告警等级等多维度分析字段，显著提升安全事件调查和分析的效率与精准度。</w:t>
            </w:r>
          </w:p>
          <w:p w14:paraId="7539AC58">
            <w:pPr>
              <w:widowControl/>
              <w:spacing w:line="360" w:lineRule="auto"/>
              <w:jc w:val="left"/>
            </w:pPr>
            <w:r>
              <w:rPr>
                <w:rFonts w:hint="eastAsia"/>
              </w:rPr>
              <w:t>7.支持安全事件处置全流程管理，支持生成工单，实现事件从记录到处理的闭环管理。支持对特定数据内容进行追踪，包括但不限于搜索身份证内容、银行卡内容、手机号内容，系统将以数据内容为中心，将数据内容流经的数据源、应用系统、访问源进行追踪。支持用户角色的创建与管理。</w:t>
            </w:r>
          </w:p>
        </w:tc>
        <w:tc>
          <w:tcPr>
            <w:tcW w:w="362" w:type="pct"/>
          </w:tcPr>
          <w:p w14:paraId="40959DC9">
            <w:pPr>
              <w:widowControl/>
              <w:spacing w:line="360" w:lineRule="auto"/>
              <w:jc w:val="center"/>
              <w:rPr>
                <w:rFonts w:hint="eastAsia" w:ascii="等线" w:hAnsi="等线" w:eastAsia="等线" w:cs="宋体"/>
                <w:kern w:val="0"/>
                <w:sz w:val="22"/>
                <w:szCs w:val="22"/>
              </w:rPr>
            </w:pPr>
            <w:r>
              <w:rPr>
                <w:rFonts w:hint="eastAsia" w:ascii="等线" w:hAnsi="等线" w:eastAsia="等线" w:cs="宋体"/>
                <w:kern w:val="0"/>
                <w:sz w:val="22"/>
                <w:szCs w:val="22"/>
              </w:rPr>
              <w:t>1</w:t>
            </w:r>
          </w:p>
        </w:tc>
        <w:tc>
          <w:tcPr>
            <w:tcW w:w="344" w:type="pct"/>
          </w:tcPr>
          <w:p w14:paraId="46D2FE90">
            <w:pPr>
              <w:widowControl/>
              <w:spacing w:line="360" w:lineRule="auto"/>
              <w:jc w:val="center"/>
              <w:rPr>
                <w:rFonts w:hint="eastAsia" w:ascii="等线" w:hAnsi="等线" w:eastAsia="等线" w:cs="宋体"/>
                <w:kern w:val="0"/>
                <w:sz w:val="22"/>
                <w:szCs w:val="22"/>
              </w:rPr>
            </w:pPr>
            <w:r>
              <w:rPr>
                <w:rFonts w:hint="eastAsia" w:ascii="等线" w:hAnsi="等线" w:eastAsia="等线" w:cs="宋体"/>
                <w:kern w:val="0"/>
                <w:sz w:val="22"/>
                <w:szCs w:val="22"/>
              </w:rPr>
              <w:t>套</w:t>
            </w:r>
          </w:p>
        </w:tc>
      </w:tr>
      <w:tr w14:paraId="4CFD4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724" w:type="pct"/>
          </w:tcPr>
          <w:p w14:paraId="0EB9E0ED">
            <w:pPr>
              <w:widowControl/>
              <w:spacing w:line="360" w:lineRule="auto"/>
              <w:jc w:val="left"/>
              <w:rPr>
                <w:rFonts w:hint="eastAsia"/>
              </w:rPr>
            </w:pPr>
            <w:r>
              <w:rPr>
                <w:rFonts w:hint="eastAsia"/>
              </w:rPr>
              <w:t>安全智能体平台</w:t>
            </w:r>
          </w:p>
        </w:tc>
        <w:tc>
          <w:tcPr>
            <w:tcW w:w="3570" w:type="pct"/>
          </w:tcPr>
          <w:p w14:paraId="1059C9BC">
            <w:pPr>
              <w:widowControl/>
              <w:spacing w:line="360" w:lineRule="auto"/>
              <w:jc w:val="left"/>
              <w:rPr>
                <w:rFonts w:hint="eastAsia"/>
              </w:rPr>
            </w:pPr>
            <w:r>
              <w:rPr>
                <w:rFonts w:hint="eastAsia"/>
              </w:rPr>
              <w:t>1.性能要求：系统吞吐≥5000 Token/s，用户并发≥50，支持无限制个自定义智能体。</w:t>
            </w:r>
          </w:p>
          <w:p w14:paraId="2EA98B10">
            <w:pPr>
              <w:widowControl/>
              <w:spacing w:line="360" w:lineRule="auto"/>
              <w:jc w:val="left"/>
              <w:rPr>
                <w:rFonts w:hint="eastAsia"/>
              </w:rPr>
            </w:pPr>
            <w:r>
              <w:rPr>
                <w:rFonts w:hint="eastAsia"/>
              </w:rPr>
              <w:t>2.平台提供AI智能助理，可直接在页面发起安全任务，通过模拟对话或预置测试数据，快速体验智能体的实际交互效果和处理能力，降低试用门槛。</w:t>
            </w:r>
          </w:p>
          <w:p w14:paraId="3570CDBB">
            <w:pPr>
              <w:widowControl/>
              <w:spacing w:line="360" w:lineRule="auto"/>
              <w:jc w:val="left"/>
              <w:rPr>
                <w:rFonts w:hint="eastAsia"/>
              </w:rPr>
            </w:pPr>
            <w:r>
              <w:rPr>
                <w:rFonts w:hint="eastAsia"/>
              </w:rPr>
              <w:t>3.系统内置安全智能体广场，可扩展至100</w:t>
            </w:r>
            <w:r>
              <w:rPr>
                <w:rFonts w:hint="eastAsia"/>
                <w:lang w:val="en-US" w:eastAsia="zh-CN"/>
              </w:rPr>
              <w:t>个以上</w:t>
            </w:r>
            <w:r>
              <w:rPr>
                <w:rFonts w:hint="eastAsia"/>
              </w:rPr>
              <w:t>成熟的智能体，可用于网络安全运营、数据安全运营、IT运维管理等场景应用。</w:t>
            </w:r>
          </w:p>
          <w:p w14:paraId="6DB71F09">
            <w:pPr>
              <w:widowControl/>
              <w:spacing w:line="360" w:lineRule="auto"/>
              <w:jc w:val="left"/>
              <w:rPr>
                <w:rFonts w:hint="eastAsia"/>
              </w:rPr>
            </w:pPr>
            <w:r>
              <w:rPr>
                <w:rFonts w:hint="eastAsia"/>
              </w:rPr>
              <w:t>4.平台提供安全智能体开发功能，可智能生成并打造定制化安全智能体。</w:t>
            </w:r>
          </w:p>
          <w:p w14:paraId="0A3EF544">
            <w:pPr>
              <w:widowControl/>
              <w:spacing w:line="360" w:lineRule="auto"/>
              <w:jc w:val="left"/>
              <w:rPr>
                <w:rFonts w:hint="eastAsia"/>
              </w:rPr>
            </w:pPr>
            <w:r>
              <w:rPr>
                <w:rFonts w:hint="eastAsia"/>
              </w:rPr>
              <w:t>5.在智能体与异构业务平台对接时，以open API 接口的形式集成到异构业务系统中，如有双方数据定义存在不同时，支持修改智能体接口参数，调整智能体出参入参要求的方式，提升接口适配工作的开放性与兼容性。</w:t>
            </w:r>
          </w:p>
          <w:p w14:paraId="0BF6AA89">
            <w:pPr>
              <w:widowControl/>
              <w:spacing w:line="360" w:lineRule="auto"/>
              <w:jc w:val="left"/>
              <w:rPr>
                <w:rFonts w:hint="eastAsia"/>
              </w:rPr>
            </w:pPr>
            <w:r>
              <w:rPr>
                <w:rFonts w:hint="eastAsia"/>
              </w:rPr>
              <w:t>6.支持提供数据分类分级-开放服务接口，提供接口鉴权认证，接口调用覆盖数据分类分级各阶段。</w:t>
            </w:r>
          </w:p>
          <w:p w14:paraId="1772E533">
            <w:pPr>
              <w:widowControl/>
              <w:spacing w:line="360" w:lineRule="auto"/>
              <w:jc w:val="left"/>
              <w:rPr>
                <w:rFonts w:hint="default" w:eastAsia="宋体"/>
                <w:lang w:val="en-US" w:eastAsia="zh-CN"/>
              </w:rPr>
            </w:pPr>
            <w:r>
              <w:rPr>
                <w:rFonts w:hint="eastAsia"/>
                <w:lang w:val="en-US" w:eastAsia="zh-CN"/>
              </w:rPr>
              <w:t>7.</w:t>
            </w:r>
            <w:r>
              <w:rPr>
                <w:rFonts w:hint="eastAsia"/>
              </w:rPr>
              <w:t>AI 能力部署于院内，数据不出医院边界；6 年原厂维保包含 AI 模型迭代、算法升级服务。</w:t>
            </w:r>
          </w:p>
        </w:tc>
        <w:tc>
          <w:tcPr>
            <w:tcW w:w="362" w:type="pct"/>
          </w:tcPr>
          <w:p w14:paraId="10F8F35C">
            <w:pPr>
              <w:widowControl/>
              <w:spacing w:line="360" w:lineRule="auto"/>
              <w:jc w:val="center"/>
              <w:rPr>
                <w:rFonts w:hint="eastAsia"/>
              </w:rPr>
            </w:pPr>
            <w:r>
              <w:rPr>
                <w:rFonts w:hint="eastAsia"/>
              </w:rPr>
              <w:t>1</w:t>
            </w:r>
          </w:p>
        </w:tc>
        <w:tc>
          <w:tcPr>
            <w:tcW w:w="344" w:type="pct"/>
          </w:tcPr>
          <w:p w14:paraId="399CBCA1">
            <w:pPr>
              <w:widowControl/>
              <w:spacing w:line="360" w:lineRule="auto"/>
              <w:jc w:val="center"/>
              <w:rPr>
                <w:rFonts w:hint="eastAsia"/>
              </w:rPr>
            </w:pPr>
            <w:r>
              <w:rPr>
                <w:rFonts w:hint="eastAsia"/>
              </w:rPr>
              <w:t>套</w:t>
            </w:r>
          </w:p>
        </w:tc>
      </w:tr>
    </w:tbl>
    <w:p w14:paraId="74EA3B6B">
      <w:pPr>
        <w:pStyle w:val="12"/>
      </w:pPr>
    </w:p>
    <w:p w14:paraId="30FC6229">
      <w:pPr>
        <w:pStyle w:val="2"/>
        <w:rPr>
          <w:rFonts w:hint="default" w:ascii="Times New Roman Regular" w:hAnsi="Times New Roman Regular" w:cs="Times New Roman Regular"/>
          <w:sz w:val="30"/>
          <w:szCs w:val="30"/>
          <w:lang w:val="en-US" w:eastAsia="zh-CN"/>
        </w:rPr>
      </w:pPr>
      <w:r>
        <w:rPr>
          <w:rFonts w:hint="eastAsia" w:ascii="Times New Roman Regular" w:hAnsi="Times New Roman Regular" w:cs="Times New Roman Regular"/>
          <w:sz w:val="30"/>
          <w:szCs w:val="30"/>
          <w:lang w:val="en-US" w:eastAsia="zh-CN"/>
        </w:rPr>
        <w:t>三、网络与数据安全要求：</w:t>
      </w:r>
    </w:p>
    <w:p w14:paraId="56DA6A18">
      <w:pPr>
        <w:pStyle w:val="31"/>
        <w:ind w:firstLine="480" w:firstLineChars="200"/>
        <w:jc w:val="left"/>
        <w:rPr>
          <w:rFonts w:hint="eastAsia" w:ascii="宋体" w:hAnsi="宋体" w:eastAsia="宋体"/>
          <w:szCs w:val="28"/>
        </w:rPr>
      </w:pPr>
      <w:r>
        <w:rPr>
          <w:rFonts w:hint="eastAsia" w:ascii="宋体" w:hAnsi="宋体" w:eastAsia="宋体"/>
          <w:szCs w:val="28"/>
          <w:lang w:val="en-US" w:eastAsia="zh-CN"/>
        </w:rPr>
        <w:t>1.</w:t>
      </w:r>
      <w:r>
        <w:rPr>
          <w:rFonts w:hint="eastAsia" w:ascii="宋体" w:hAnsi="宋体" w:eastAsia="宋体"/>
          <w:szCs w:val="28"/>
        </w:rPr>
        <w:t>供应商须遵守医院各项网络安全、数据安全及个人信息保护管理制度。</w:t>
      </w:r>
    </w:p>
    <w:p w14:paraId="206FC3AF">
      <w:pPr>
        <w:pStyle w:val="31"/>
        <w:ind w:firstLine="480" w:firstLineChars="200"/>
        <w:jc w:val="left"/>
        <w:rPr>
          <w:rFonts w:hint="eastAsia" w:ascii="宋体" w:hAnsi="宋体" w:eastAsia="宋体"/>
          <w:szCs w:val="28"/>
        </w:rPr>
      </w:pPr>
      <w:r>
        <w:rPr>
          <w:rFonts w:hint="eastAsia" w:ascii="宋体" w:hAnsi="宋体" w:eastAsia="宋体"/>
          <w:szCs w:val="28"/>
        </w:rPr>
        <w:t>2.项目</w:t>
      </w:r>
      <w:r>
        <w:rPr>
          <w:rFonts w:hint="eastAsia" w:ascii="宋体" w:hAnsi="宋体" w:eastAsia="宋体"/>
          <w:szCs w:val="28"/>
          <w:lang w:val="en-US" w:eastAsia="zh-CN"/>
        </w:rPr>
        <w:t>实施</w:t>
      </w:r>
      <w:r>
        <w:rPr>
          <w:rFonts w:hint="eastAsia" w:ascii="宋体" w:hAnsi="宋体" w:eastAsia="宋体"/>
          <w:szCs w:val="28"/>
        </w:rPr>
        <w:t>前供应商须提供《</w:t>
      </w:r>
      <w:r>
        <w:rPr>
          <w:rFonts w:hint="eastAsia" w:ascii="宋体" w:hAnsi="宋体" w:eastAsia="宋体"/>
          <w:szCs w:val="28"/>
          <w:lang w:val="en-US" w:eastAsia="zh-CN"/>
        </w:rPr>
        <w:t>网络及数据安全服务</w:t>
      </w:r>
      <w:r>
        <w:rPr>
          <w:rFonts w:hint="eastAsia" w:ascii="宋体" w:hAnsi="宋体" w:eastAsia="宋体"/>
          <w:szCs w:val="28"/>
        </w:rPr>
        <w:t>方案》，项目验收时供应商须提供《</w:t>
      </w:r>
      <w:r>
        <w:rPr>
          <w:rFonts w:hint="eastAsia" w:ascii="宋体" w:hAnsi="宋体" w:eastAsia="宋体"/>
          <w:szCs w:val="28"/>
          <w:lang w:val="en-US" w:eastAsia="zh-CN"/>
        </w:rPr>
        <w:t>网络及数据安全</w:t>
      </w:r>
      <w:r>
        <w:rPr>
          <w:rFonts w:hint="eastAsia" w:ascii="宋体" w:hAnsi="宋体" w:eastAsia="宋体"/>
          <w:szCs w:val="28"/>
        </w:rPr>
        <w:t>运维方案》，其中须包含独立的网络安全与数据安全章节。</w:t>
      </w:r>
    </w:p>
    <w:p w14:paraId="4EB96CD3">
      <w:pPr>
        <w:pStyle w:val="31"/>
        <w:ind w:firstLine="480" w:firstLineChars="200"/>
        <w:jc w:val="left"/>
        <w:rPr>
          <w:rFonts w:hint="eastAsia" w:ascii="宋体" w:hAnsi="宋体" w:eastAsia="宋体"/>
          <w:szCs w:val="28"/>
        </w:rPr>
      </w:pPr>
      <w:r>
        <w:rPr>
          <w:rFonts w:hint="eastAsia" w:ascii="宋体" w:hAnsi="宋体" w:eastAsia="宋体"/>
          <w:szCs w:val="28"/>
          <w:lang w:val="en-US" w:eastAsia="zh-CN"/>
        </w:rPr>
        <w:t>3</w:t>
      </w:r>
      <w:r>
        <w:rPr>
          <w:rFonts w:hint="eastAsia" w:ascii="宋体" w:hAnsi="宋体" w:eastAsia="宋体"/>
          <w:szCs w:val="28"/>
        </w:rPr>
        <w:t>.</w:t>
      </w:r>
      <w:r>
        <w:rPr>
          <w:rFonts w:hint="eastAsia" w:ascii="宋体" w:hAnsi="宋体" w:eastAsia="宋体"/>
          <w:szCs w:val="28"/>
          <w:lang w:val="en-US" w:eastAsia="zh-CN"/>
        </w:rPr>
        <w:t>供应商</w:t>
      </w:r>
      <w:r>
        <w:rPr>
          <w:rFonts w:hint="eastAsia" w:ascii="宋体" w:hAnsi="宋体" w:eastAsia="宋体"/>
          <w:szCs w:val="28"/>
        </w:rPr>
        <w:t>须与医院签订《网络和信息安全责任书》，明确安全责任和义务。</w:t>
      </w:r>
    </w:p>
    <w:p w14:paraId="346FF7FD">
      <w:pPr>
        <w:pStyle w:val="31"/>
        <w:ind w:firstLine="480" w:firstLineChars="200"/>
        <w:jc w:val="left"/>
        <w:rPr>
          <w:rFonts w:hint="eastAsia" w:ascii="宋体" w:hAnsi="宋体" w:eastAsia="宋体"/>
          <w:szCs w:val="28"/>
        </w:rPr>
      </w:pPr>
      <w:r>
        <w:rPr>
          <w:rFonts w:hint="eastAsia" w:ascii="宋体" w:hAnsi="宋体" w:eastAsia="宋体"/>
          <w:szCs w:val="28"/>
          <w:lang w:val="en-US" w:eastAsia="zh-CN"/>
        </w:rPr>
        <w:t>4</w:t>
      </w:r>
      <w:r>
        <w:rPr>
          <w:rFonts w:hint="eastAsia" w:ascii="宋体" w:hAnsi="宋体" w:eastAsia="宋体"/>
          <w:szCs w:val="28"/>
        </w:rPr>
        <w:t>.</w:t>
      </w:r>
      <w:r>
        <w:rPr>
          <w:rFonts w:hint="eastAsia" w:ascii="宋体" w:hAnsi="宋体" w:eastAsia="宋体"/>
          <w:szCs w:val="28"/>
          <w:lang w:val="en-US" w:eastAsia="zh-CN"/>
        </w:rPr>
        <w:t>服务</w:t>
      </w:r>
      <w:r>
        <w:rPr>
          <w:rFonts w:hint="eastAsia" w:ascii="宋体" w:hAnsi="宋体" w:eastAsia="宋体"/>
          <w:szCs w:val="28"/>
        </w:rPr>
        <w:t>人员须签署《保密协议》，未经医院书面授权不得泄露、复制、传播任何医院数据。</w:t>
      </w:r>
    </w:p>
    <w:p w14:paraId="66E794FE">
      <w:pPr>
        <w:pStyle w:val="31"/>
        <w:ind w:firstLine="480" w:firstLineChars="200"/>
        <w:jc w:val="left"/>
        <w:rPr>
          <w:rFonts w:hint="eastAsia" w:ascii="宋体" w:hAnsi="宋体" w:eastAsia="宋体"/>
          <w:szCs w:val="28"/>
        </w:rPr>
      </w:pPr>
      <w:r>
        <w:rPr>
          <w:rFonts w:hint="eastAsia" w:ascii="宋体" w:hAnsi="宋体" w:eastAsia="宋体"/>
          <w:szCs w:val="28"/>
          <w:lang w:val="en-US" w:eastAsia="zh-CN"/>
        </w:rPr>
        <w:t>5</w:t>
      </w:r>
      <w:r>
        <w:rPr>
          <w:rFonts w:hint="eastAsia" w:ascii="宋体" w:hAnsi="宋体" w:eastAsia="宋体"/>
          <w:szCs w:val="28"/>
        </w:rPr>
        <w:t>.</w:t>
      </w:r>
      <w:r>
        <w:rPr>
          <w:rFonts w:hint="eastAsia" w:ascii="宋体" w:hAnsi="宋体" w:eastAsia="宋体"/>
          <w:szCs w:val="28"/>
          <w:lang w:val="en-US" w:eastAsia="zh-CN"/>
        </w:rPr>
        <w:t>供应商</w:t>
      </w:r>
      <w:r>
        <w:rPr>
          <w:rFonts w:hint="eastAsia" w:ascii="宋体" w:hAnsi="宋体" w:eastAsia="宋体"/>
          <w:szCs w:val="28"/>
        </w:rPr>
        <w:t>须指定专人负责安全工作，人员变动须提前告知医院并做好交接。</w:t>
      </w:r>
    </w:p>
    <w:p w14:paraId="18D0B7EC">
      <w:pPr>
        <w:pStyle w:val="31"/>
        <w:ind w:firstLine="480" w:firstLineChars="200"/>
        <w:jc w:val="left"/>
        <w:rPr>
          <w:rFonts w:hint="eastAsia" w:ascii="宋体" w:hAnsi="宋体" w:eastAsia="宋体"/>
          <w:szCs w:val="28"/>
          <w:lang w:val="en-US" w:eastAsia="zh-CN"/>
        </w:rPr>
      </w:pPr>
      <w:r>
        <w:rPr>
          <w:rFonts w:hint="eastAsia" w:ascii="宋体" w:hAnsi="宋体" w:eastAsia="宋体"/>
          <w:szCs w:val="28"/>
          <w:lang w:val="en-US" w:eastAsia="zh-CN"/>
        </w:rPr>
        <w:t>6.数据安全制度体系建设要求：供应商须配合医院完成全套数据安全管理制度、操作规程、应急预案、台账模板的编制、修订、梳理、宣贯培训工作，制度体系需完全适配本项目数据分类分级系统、API 应用安全审计系统、数据安全管理平台、安全智能体平台，满足数据安全风险评估、网络安全等级保护 2.0、医疗卫生行业数据安全管理规范及重庆市本地数据安全监管要求。所有制度编制、修订、培训、台账模板制作费用均包含在本项目报价内，无额外收费。</w:t>
      </w:r>
    </w:p>
    <w:p w14:paraId="52D017D2">
      <w:pPr>
        <w:pStyle w:val="31"/>
        <w:ind w:firstLine="480" w:firstLineChars="200"/>
        <w:jc w:val="left"/>
        <w:rPr>
          <w:rFonts w:hint="eastAsia" w:ascii="宋体" w:hAnsi="宋体" w:eastAsia="宋体"/>
          <w:szCs w:val="28"/>
          <w:lang w:val="en-US" w:eastAsia="zh-CN"/>
        </w:rPr>
      </w:pPr>
      <w:r>
        <w:rPr>
          <w:rFonts w:hint="eastAsia" w:ascii="宋体" w:hAnsi="宋体" w:eastAsia="宋体"/>
          <w:szCs w:val="28"/>
          <w:lang w:val="en-US" w:eastAsia="zh-CN"/>
        </w:rPr>
        <w:t>7.制度落地与备查要求：所有制度文件格式规范、内容完整、权责清晰、流程可落地；验收时需提交全套纸质版 + 电子版制度汇编，作为数据安全评估、上级检查、等保测评的正式备查资料。</w:t>
      </w:r>
    </w:p>
    <w:p w14:paraId="162B28C1">
      <w:pPr>
        <w:pStyle w:val="31"/>
        <w:ind w:firstLine="480" w:firstLineChars="200"/>
        <w:jc w:val="left"/>
        <w:rPr>
          <w:rFonts w:hint="eastAsia" w:ascii="宋体" w:hAnsi="宋体" w:eastAsia="宋体"/>
          <w:szCs w:val="28"/>
          <w:lang w:val="en-US" w:eastAsia="zh-CN"/>
        </w:rPr>
      </w:pPr>
      <w:r>
        <w:rPr>
          <w:rFonts w:hint="eastAsia" w:ascii="宋体" w:hAnsi="宋体" w:eastAsia="宋体"/>
          <w:szCs w:val="28"/>
          <w:lang w:val="en-US" w:eastAsia="zh-CN"/>
        </w:rPr>
        <w:t>8.动态优化要求：在服务期内（6 年维保周期内），若国家、地方、行业出台新的数据安全法规、标准或监管要求，供应商须免费配合医院同步修订、优化现有制度体系。</w:t>
      </w:r>
    </w:p>
    <w:p w14:paraId="5CDDC825">
      <w:pPr>
        <w:pStyle w:val="31"/>
        <w:ind w:firstLine="480" w:firstLineChars="200"/>
        <w:jc w:val="left"/>
        <w:rPr>
          <w:rFonts w:hint="eastAsia" w:ascii="宋体" w:hAnsi="宋体" w:eastAsia="宋体"/>
          <w:szCs w:val="28"/>
          <w:lang w:val="en-US" w:eastAsia="zh-CN"/>
        </w:rPr>
      </w:pPr>
      <w:r>
        <w:rPr>
          <w:rFonts w:hint="eastAsia" w:ascii="宋体" w:hAnsi="宋体" w:eastAsia="宋体"/>
          <w:szCs w:val="28"/>
          <w:lang w:val="en-US" w:eastAsia="zh-CN"/>
        </w:rPr>
        <w:t>9.专项检查支撑要求：在服务周期内（6 年维保周期内），针对网信、公安、国安、密码管理、大数据发展、卫生健康等各级主管部门开展的网络安全、数据安全、等级保护、数据分类分级、密码评估、API 安全等各类专项检查、风险评估、督导抽查工作，供应商须无偿提供资料整理、台账梳理、现场答疑、技术核查、问题整改指导等全流程技术支撑服务，不另行收取任何费用。10. 数据安全培训要求</w:t>
      </w:r>
    </w:p>
    <w:p w14:paraId="4DAB4506">
      <w:pPr>
        <w:pStyle w:val="31"/>
        <w:ind w:firstLine="480" w:firstLineChars="200"/>
        <w:jc w:val="left"/>
        <w:rPr>
          <w:rFonts w:hint="eastAsia" w:ascii="宋体" w:hAnsi="宋体" w:eastAsia="宋体"/>
          <w:szCs w:val="28"/>
          <w:lang w:val="en-US" w:eastAsia="zh-CN"/>
        </w:rPr>
      </w:pPr>
      <w:r>
        <w:rPr>
          <w:rFonts w:hint="eastAsia" w:ascii="宋体" w:hAnsi="宋体" w:eastAsia="宋体"/>
          <w:szCs w:val="28"/>
          <w:lang w:val="en-US" w:eastAsia="zh-CN"/>
        </w:rPr>
        <w:t>本项目包含全周期分层数据安全培训服务，所有培训相关费用均含在总报价内。</w:t>
      </w:r>
    </w:p>
    <w:p w14:paraId="74B5BC64">
      <w:pPr>
        <w:pStyle w:val="31"/>
        <w:ind w:firstLine="480" w:firstLineChars="200"/>
        <w:jc w:val="left"/>
        <w:rPr>
          <w:rFonts w:hint="eastAsia" w:ascii="宋体" w:hAnsi="宋体" w:eastAsia="宋体"/>
          <w:szCs w:val="28"/>
          <w:lang w:val="en-US" w:eastAsia="zh-CN"/>
        </w:rPr>
      </w:pPr>
      <w:r>
        <w:rPr>
          <w:rFonts w:hint="eastAsia" w:ascii="宋体" w:hAnsi="宋体" w:eastAsia="宋体"/>
          <w:szCs w:val="28"/>
          <w:lang w:val="en-US" w:eastAsia="zh-CN"/>
        </w:rPr>
        <w:t>（1）上线实操培训：项目部署验收阶段，针对信息中心运维人员、系统管理员开展平台实操培训，内容涵盖设备日常运维、功能配置、资产梳理、分类分级操作、API 审计、告警处置、智能体平台使用等，确保人员熟练掌握系统操作。</w:t>
      </w:r>
    </w:p>
    <w:p w14:paraId="4EB77A1D">
      <w:pPr>
        <w:pStyle w:val="31"/>
        <w:ind w:firstLine="480" w:firstLineChars="200"/>
        <w:jc w:val="left"/>
        <w:rPr>
          <w:rFonts w:hint="eastAsia" w:ascii="宋体" w:hAnsi="宋体" w:eastAsia="宋体"/>
          <w:szCs w:val="28"/>
          <w:lang w:val="en-US" w:eastAsia="zh-CN"/>
        </w:rPr>
      </w:pPr>
      <w:r>
        <w:rPr>
          <w:rFonts w:hint="eastAsia" w:ascii="宋体" w:hAnsi="宋体" w:eastAsia="宋体"/>
          <w:szCs w:val="28"/>
          <w:lang w:val="en-US" w:eastAsia="zh-CN"/>
        </w:rPr>
        <w:t>（2）安全制度宣贯培训：结合编制完成的数据安全制度、预案、操作规程，开展全员 / 岗位专项宣贯培训，讲解制度条款、岗位职责、行为规范、保密要求。</w:t>
      </w:r>
    </w:p>
    <w:p w14:paraId="1665C0E7">
      <w:pPr>
        <w:pStyle w:val="31"/>
        <w:ind w:firstLine="480" w:firstLineChars="200"/>
        <w:jc w:val="left"/>
        <w:rPr>
          <w:rFonts w:hint="eastAsia" w:ascii="宋体" w:hAnsi="宋体" w:eastAsia="宋体"/>
          <w:szCs w:val="28"/>
          <w:lang w:val="en-US" w:eastAsia="zh-CN"/>
        </w:rPr>
      </w:pPr>
      <w:r>
        <w:rPr>
          <w:rFonts w:hint="eastAsia" w:ascii="宋体" w:hAnsi="宋体" w:eastAsia="宋体"/>
          <w:szCs w:val="28"/>
          <w:lang w:val="en-US" w:eastAsia="zh-CN"/>
        </w:rPr>
        <w:t>（3）年度专项培训：6 年维保期内，每年至少开展 1 次数据安全专项培训，内容包含数据安全法律法规、行业监管要求、风险案例、新型安全威胁、应急处置流程、平台新功能使用等。</w:t>
      </w:r>
    </w:p>
    <w:p w14:paraId="63560328">
      <w:pPr>
        <w:pStyle w:val="31"/>
        <w:ind w:firstLine="480" w:firstLineChars="200"/>
        <w:jc w:val="left"/>
        <w:rPr>
          <w:rFonts w:hint="eastAsia" w:ascii="宋体" w:hAnsi="宋体" w:eastAsia="宋体"/>
          <w:szCs w:val="28"/>
          <w:lang w:val="en-US" w:eastAsia="zh-CN"/>
        </w:rPr>
      </w:pPr>
      <w:r>
        <w:rPr>
          <w:rFonts w:hint="eastAsia" w:ascii="宋体" w:hAnsi="宋体" w:eastAsia="宋体"/>
          <w:szCs w:val="28"/>
          <w:lang w:val="en-US" w:eastAsia="zh-CN"/>
        </w:rPr>
        <w:t>（4）培训交付：每次培训须提供课件、签到表、培训记录、现场照片等资料，培训后可组织简单考核，培训资料统一归档，用于主管部门检查备查。</w:t>
      </w:r>
    </w:p>
    <w:p w14:paraId="18DC0071">
      <w:pPr>
        <w:pStyle w:val="31"/>
        <w:ind w:firstLine="480" w:firstLineChars="200"/>
        <w:jc w:val="left"/>
        <w:rPr>
          <w:rFonts w:hint="eastAsia" w:ascii="宋体" w:hAnsi="宋体" w:eastAsia="宋体"/>
          <w:szCs w:val="28"/>
          <w:lang w:val="en-US" w:eastAsia="zh-CN"/>
        </w:rPr>
      </w:pPr>
      <w:r>
        <w:rPr>
          <w:rFonts w:hint="eastAsia" w:ascii="宋体" w:hAnsi="宋体" w:eastAsia="宋体"/>
          <w:szCs w:val="28"/>
          <w:lang w:val="en-US" w:eastAsia="zh-CN"/>
        </w:rPr>
        <w:t>（5）按需培训：服务期内根据医院需求，针对新上岗人员、重点业务岗位提供不定期补充培训、线上答疑指导。</w:t>
      </w:r>
    </w:p>
    <w:p w14:paraId="027E811D">
      <w:pPr>
        <w:pStyle w:val="2"/>
        <w:rPr>
          <w:rFonts w:hint="eastAsia" w:ascii="Times New Roman Regular" w:hAnsi="Times New Roman Regular" w:cs="Times New Roman Regular"/>
          <w:sz w:val="30"/>
          <w:szCs w:val="30"/>
          <w:lang w:val="en-US" w:eastAsia="zh-CN"/>
        </w:rPr>
      </w:pPr>
      <w:r>
        <w:rPr>
          <w:rFonts w:hint="eastAsia" w:ascii="Times New Roman Regular" w:hAnsi="Times New Roman Regular" w:cs="Times New Roman Regular"/>
          <w:sz w:val="30"/>
          <w:szCs w:val="30"/>
          <w:lang w:val="en-US" w:eastAsia="zh-CN"/>
        </w:rPr>
        <w:t>四、报价要求</w:t>
      </w:r>
    </w:p>
    <w:p w14:paraId="0F74C257">
      <w:pPr>
        <w:pStyle w:val="31"/>
        <w:ind w:firstLine="480" w:firstLineChars="200"/>
        <w:jc w:val="left"/>
        <w:rPr>
          <w:rFonts w:hint="eastAsia" w:ascii="宋体" w:hAnsi="宋体" w:eastAsia="宋体"/>
          <w:szCs w:val="28"/>
        </w:rPr>
      </w:pPr>
      <w:r>
        <w:rPr>
          <w:rFonts w:hint="eastAsia" w:ascii="宋体" w:hAnsi="宋体" w:eastAsia="宋体"/>
          <w:szCs w:val="28"/>
        </w:rPr>
        <w:t>注意事项：按附件1（市场调查表）进行填报，如漏项、增项、修改项则无效，报价时需有单价、总价、合计，并盖公章。</w:t>
      </w:r>
    </w:p>
    <w:p w14:paraId="0D503702">
      <w:pPr>
        <w:pStyle w:val="31"/>
        <w:ind w:firstLine="480" w:firstLineChars="200"/>
        <w:jc w:val="left"/>
        <w:rPr>
          <w:rFonts w:hint="eastAsia" w:ascii="宋体" w:hAnsi="宋体" w:eastAsia="宋体"/>
          <w:szCs w:val="28"/>
        </w:rPr>
      </w:pPr>
      <w:r>
        <w:rPr>
          <w:rFonts w:hint="eastAsia" w:ascii="宋体" w:hAnsi="宋体" w:eastAsia="宋体"/>
          <w:szCs w:val="28"/>
        </w:rPr>
        <w:t>1、本项目为交钥匙工程，供应商需综合评估所有风险。报价应包含有可能涉及的所有费用。</w:t>
      </w:r>
    </w:p>
    <w:p w14:paraId="595B126E">
      <w:pPr>
        <w:pStyle w:val="31"/>
        <w:ind w:firstLine="480" w:firstLineChars="200"/>
        <w:jc w:val="left"/>
        <w:rPr>
          <w:rFonts w:hint="eastAsia" w:ascii="宋体" w:hAnsi="宋体" w:eastAsia="宋体"/>
          <w:szCs w:val="28"/>
        </w:rPr>
      </w:pPr>
      <w:r>
        <w:rPr>
          <w:rFonts w:hint="eastAsia" w:ascii="宋体" w:hAnsi="宋体" w:eastAsia="宋体"/>
          <w:szCs w:val="28"/>
        </w:rPr>
        <w:t>2、人民币报价，报价包括但不限于人工费、培训费、劳务费、保险费、税费、安装调试费等</w:t>
      </w:r>
      <w:r>
        <w:rPr>
          <w:rFonts w:hint="eastAsia" w:ascii="宋体" w:hAnsi="宋体" w:eastAsia="宋体" w:cs="宋体"/>
          <w:color w:val="000000"/>
          <w:szCs w:val="28"/>
          <w:lang w:val="en-US" w:eastAsia="zh-CN"/>
        </w:rPr>
        <w:t>项目建设及维保需要的</w:t>
      </w:r>
      <w:r>
        <w:rPr>
          <w:rFonts w:hint="eastAsia" w:ascii="宋体" w:hAnsi="宋体" w:eastAsia="宋体" w:cs="宋体"/>
          <w:color w:val="000000"/>
          <w:szCs w:val="28"/>
        </w:rPr>
        <w:t>所有费用</w:t>
      </w:r>
      <w:bookmarkStart w:id="0" w:name="_GoBack"/>
      <w:bookmarkEnd w:id="0"/>
      <w:r>
        <w:rPr>
          <w:rFonts w:hint="eastAsia" w:ascii="宋体" w:hAnsi="宋体" w:eastAsia="宋体"/>
          <w:szCs w:val="28"/>
        </w:rPr>
        <w:t>。</w:t>
      </w:r>
    </w:p>
    <w:p w14:paraId="15DEE379">
      <w:pPr>
        <w:pStyle w:val="31"/>
        <w:ind w:firstLine="480" w:firstLineChars="200"/>
        <w:jc w:val="left"/>
        <w:rPr>
          <w:rFonts w:hint="eastAsia" w:ascii="宋体" w:hAnsi="宋体" w:eastAsia="宋体"/>
          <w:szCs w:val="28"/>
        </w:rPr>
      </w:pPr>
      <w:r>
        <w:rPr>
          <w:rFonts w:hint="eastAsia" w:ascii="宋体" w:hAnsi="宋体" w:eastAsia="宋体"/>
          <w:szCs w:val="28"/>
        </w:rPr>
        <w:t>3、提供6年原厂商维保。</w:t>
      </w:r>
    </w:p>
    <w:p w14:paraId="22C966CF">
      <w:pPr>
        <w:pStyle w:val="31"/>
        <w:ind w:firstLine="480" w:firstLineChars="200"/>
        <w:jc w:val="left"/>
        <w:rPr>
          <w:rFonts w:hint="eastAsia" w:ascii="宋体" w:hAnsi="宋体" w:eastAsia="宋体"/>
          <w:szCs w:val="28"/>
        </w:rPr>
      </w:pPr>
      <w:r>
        <w:rPr>
          <w:rFonts w:hint="eastAsia" w:ascii="宋体" w:hAnsi="宋体" w:eastAsia="宋体"/>
          <w:szCs w:val="28"/>
        </w:rPr>
        <w:t>4、请提供所有调查产品的价格支撑材料，近12个月内的合同复印件（关键页），模糊不清晰的无效。</w:t>
      </w:r>
    </w:p>
    <w:p w14:paraId="47D25FCB">
      <w:pPr>
        <w:pStyle w:val="31"/>
        <w:ind w:firstLine="480" w:firstLineChars="200"/>
        <w:jc w:val="left"/>
        <w:rPr>
          <w:rFonts w:hint="eastAsia" w:ascii="宋体" w:hAnsi="宋体" w:eastAsia="宋体"/>
          <w:szCs w:val="28"/>
        </w:rPr>
      </w:pPr>
      <w:r>
        <w:rPr>
          <w:rFonts w:hint="eastAsia" w:ascii="宋体" w:hAnsi="宋体" w:eastAsia="宋体"/>
          <w:szCs w:val="28"/>
        </w:rPr>
        <w:t>5.请将准备好的市场调查文件盖章后制作为电子档（PDF格式）发送电子邮件到88316666@qq.com。</w:t>
      </w:r>
    </w:p>
    <w:p w14:paraId="5A0B97C7">
      <w:pPr>
        <w:pStyle w:val="31"/>
        <w:ind w:firstLine="482" w:firstLineChars="200"/>
        <w:jc w:val="left"/>
        <w:rPr>
          <w:rFonts w:hint="eastAsia" w:ascii="Times New Roman Regular" w:hAnsi="Times New Roman Regular" w:eastAsia="宋体" w:cs="Times New Roman Regular"/>
          <w:b/>
          <w:bCs/>
          <w:color w:val="C00000"/>
          <w:szCs w:val="28"/>
        </w:rPr>
      </w:pPr>
    </w:p>
    <w:p w14:paraId="2379E27A">
      <w:pPr>
        <w:pStyle w:val="31"/>
        <w:ind w:firstLine="0" w:firstLineChars="0"/>
        <w:jc w:val="left"/>
        <w:rPr>
          <w:rFonts w:ascii="Times New Roman Regular" w:hAnsi="Times New Roman Regular" w:eastAsia="宋体" w:cs="Times New Roman Regular"/>
          <w:szCs w:val="28"/>
        </w:rPr>
      </w:pPr>
    </w:p>
    <w:p w14:paraId="15F21C8B">
      <w:pPr>
        <w:pStyle w:val="31"/>
        <w:ind w:firstLine="0" w:firstLineChars="0"/>
        <w:jc w:val="left"/>
        <w:rPr>
          <w:rFonts w:ascii="Times New Roman Regular" w:hAnsi="Times New Roman Regular" w:eastAsia="宋体" w:cs="Times New Roman Regular"/>
          <w:szCs w:val="28"/>
        </w:rPr>
      </w:pPr>
    </w:p>
    <w:p w14:paraId="0EC00EBB">
      <w:pPr>
        <w:pStyle w:val="31"/>
        <w:ind w:firstLine="0" w:firstLineChars="0"/>
        <w:jc w:val="left"/>
        <w:rPr>
          <w:rFonts w:ascii="Times New Roman Regular" w:hAnsi="Times New Roman Regular" w:eastAsia="宋体" w:cs="Times New Roman Regular"/>
          <w:szCs w:val="28"/>
        </w:rPr>
      </w:pPr>
    </w:p>
    <w:p w14:paraId="724DFC12">
      <w:pPr>
        <w:pStyle w:val="31"/>
        <w:ind w:firstLine="480" w:firstLineChars="200"/>
        <w:jc w:val="left"/>
        <w:rPr>
          <w:rFonts w:hint="eastAsia" w:ascii="宋体" w:hAnsi="宋体" w:eastAsia="宋体"/>
          <w:szCs w:val="28"/>
        </w:rPr>
      </w:pPr>
      <w:r>
        <w:rPr>
          <w:rFonts w:hint="eastAsia" w:ascii="宋体" w:hAnsi="宋体" w:eastAsia="宋体"/>
          <w:szCs w:val="28"/>
        </w:rPr>
        <w:t>附件1.市场调查表</w:t>
      </w:r>
    </w:p>
    <w:tbl>
      <w:tblPr>
        <w:tblStyle w:val="15"/>
        <w:tblpPr w:leftFromText="180" w:rightFromText="180" w:vertAnchor="text" w:horzAnchor="page" w:tblpX="1136" w:tblpY="259"/>
        <w:tblOverlap w:val="never"/>
        <w:tblW w:w="99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0"/>
        <w:gridCol w:w="2417"/>
        <w:gridCol w:w="1875"/>
        <w:gridCol w:w="1134"/>
        <w:gridCol w:w="992"/>
        <w:gridCol w:w="709"/>
        <w:gridCol w:w="1134"/>
        <w:gridCol w:w="1059"/>
      </w:tblGrid>
      <w:tr w14:paraId="17767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trPr>
        <w:tc>
          <w:tcPr>
            <w:tcW w:w="9990" w:type="dxa"/>
            <w:gridSpan w:val="8"/>
            <w:vAlign w:val="center"/>
          </w:tcPr>
          <w:p w14:paraId="34CC2A10">
            <w:pPr>
              <w:jc w:val="center"/>
              <w:rPr>
                <w:rFonts w:hint="eastAsia" w:ascii="宋体" w:hAnsi="宋体" w:cs="宋体"/>
                <w:szCs w:val="21"/>
              </w:rPr>
            </w:pPr>
            <w:r>
              <w:rPr>
                <w:rFonts w:hint="eastAsia" w:ascii="宋体" w:hAnsi="宋体" w:cs="宋体"/>
                <w:sz w:val="28"/>
                <w:szCs w:val="28"/>
              </w:rPr>
              <w:t>数据分类分级及风险管理</w:t>
            </w:r>
            <w:r>
              <w:rPr>
                <w:rFonts w:hint="eastAsia" w:ascii="宋体" w:hAnsi="宋体" w:cs="宋体"/>
                <w:sz w:val="28"/>
                <w:szCs w:val="28"/>
                <w:lang w:val="en-US" w:eastAsia="zh-CN"/>
              </w:rPr>
              <w:t>平台</w:t>
            </w:r>
            <w:r>
              <w:rPr>
                <w:rFonts w:hint="eastAsia" w:ascii="宋体" w:hAnsi="宋体" w:cs="宋体"/>
                <w:sz w:val="28"/>
                <w:szCs w:val="28"/>
              </w:rPr>
              <w:t>市场调查表</w:t>
            </w:r>
          </w:p>
        </w:tc>
      </w:tr>
      <w:tr w14:paraId="57473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trPr>
        <w:tc>
          <w:tcPr>
            <w:tcW w:w="670" w:type="dxa"/>
            <w:vAlign w:val="center"/>
          </w:tcPr>
          <w:p w14:paraId="365ECC1A">
            <w:pPr>
              <w:jc w:val="center"/>
              <w:rPr>
                <w:rFonts w:hint="eastAsia" w:ascii="宋体" w:hAnsi="宋体" w:cs="宋体"/>
                <w:szCs w:val="21"/>
              </w:rPr>
            </w:pPr>
            <w:r>
              <w:rPr>
                <w:rFonts w:hint="eastAsia" w:ascii="宋体" w:hAnsi="宋体" w:cs="宋体"/>
                <w:szCs w:val="21"/>
              </w:rPr>
              <w:t>序号</w:t>
            </w:r>
          </w:p>
        </w:tc>
        <w:tc>
          <w:tcPr>
            <w:tcW w:w="2417" w:type="dxa"/>
            <w:vAlign w:val="center"/>
          </w:tcPr>
          <w:p w14:paraId="6DC8D73C">
            <w:pPr>
              <w:jc w:val="center"/>
              <w:rPr>
                <w:rFonts w:hint="eastAsia" w:ascii="宋体" w:hAnsi="宋体" w:cs="宋体"/>
                <w:szCs w:val="21"/>
              </w:rPr>
            </w:pPr>
            <w:r>
              <w:rPr>
                <w:rFonts w:hint="eastAsia" w:ascii="宋体" w:hAnsi="宋体" w:cs="宋体"/>
                <w:szCs w:val="21"/>
              </w:rPr>
              <w:t>名称</w:t>
            </w:r>
          </w:p>
        </w:tc>
        <w:tc>
          <w:tcPr>
            <w:tcW w:w="1875" w:type="dxa"/>
            <w:vAlign w:val="center"/>
          </w:tcPr>
          <w:p w14:paraId="4CF6182D">
            <w:pPr>
              <w:jc w:val="center"/>
              <w:rPr>
                <w:rFonts w:hint="eastAsia" w:ascii="宋体" w:hAnsi="宋体" w:cs="宋体"/>
                <w:szCs w:val="21"/>
              </w:rPr>
            </w:pPr>
            <w:r>
              <w:rPr>
                <w:rFonts w:hint="eastAsia" w:ascii="宋体" w:hAnsi="宋体" w:cs="宋体"/>
                <w:szCs w:val="21"/>
              </w:rPr>
              <w:t>品牌、型号</w:t>
            </w:r>
          </w:p>
        </w:tc>
        <w:tc>
          <w:tcPr>
            <w:tcW w:w="1134" w:type="dxa"/>
            <w:vAlign w:val="center"/>
          </w:tcPr>
          <w:p w14:paraId="180A4819">
            <w:pPr>
              <w:jc w:val="center"/>
              <w:rPr>
                <w:rFonts w:hint="eastAsia" w:ascii="宋体" w:hAnsi="宋体" w:cs="宋体"/>
                <w:szCs w:val="21"/>
              </w:rPr>
            </w:pPr>
            <w:r>
              <w:rPr>
                <w:rFonts w:hint="eastAsia" w:ascii="宋体" w:hAnsi="宋体" w:cs="宋体"/>
                <w:szCs w:val="21"/>
              </w:rPr>
              <w:t>制造商</w:t>
            </w:r>
          </w:p>
        </w:tc>
        <w:tc>
          <w:tcPr>
            <w:tcW w:w="992" w:type="dxa"/>
            <w:vAlign w:val="center"/>
          </w:tcPr>
          <w:p w14:paraId="5D7CA113">
            <w:pPr>
              <w:jc w:val="center"/>
              <w:rPr>
                <w:rFonts w:hint="eastAsia" w:ascii="宋体" w:hAnsi="宋体" w:cs="宋体"/>
                <w:szCs w:val="21"/>
              </w:rPr>
            </w:pPr>
            <w:r>
              <w:rPr>
                <w:rFonts w:hint="eastAsia" w:ascii="宋体" w:hAnsi="宋体" w:cs="宋体"/>
                <w:szCs w:val="21"/>
              </w:rPr>
              <w:t>原产地</w:t>
            </w:r>
          </w:p>
        </w:tc>
        <w:tc>
          <w:tcPr>
            <w:tcW w:w="709" w:type="dxa"/>
            <w:vAlign w:val="center"/>
          </w:tcPr>
          <w:p w14:paraId="113C465F">
            <w:pPr>
              <w:jc w:val="center"/>
              <w:rPr>
                <w:rFonts w:hint="eastAsia" w:ascii="宋体" w:hAnsi="宋体" w:cs="宋体"/>
                <w:szCs w:val="21"/>
              </w:rPr>
            </w:pPr>
            <w:r>
              <w:rPr>
                <w:rFonts w:hint="eastAsia" w:ascii="宋体" w:hAnsi="宋体" w:cs="宋体"/>
                <w:szCs w:val="21"/>
              </w:rPr>
              <w:t>数量</w:t>
            </w:r>
          </w:p>
        </w:tc>
        <w:tc>
          <w:tcPr>
            <w:tcW w:w="1134" w:type="dxa"/>
            <w:vAlign w:val="center"/>
          </w:tcPr>
          <w:p w14:paraId="506476A3">
            <w:pPr>
              <w:jc w:val="center"/>
              <w:rPr>
                <w:rFonts w:hint="eastAsia" w:ascii="宋体" w:hAnsi="宋体" w:cs="宋体"/>
                <w:szCs w:val="21"/>
              </w:rPr>
            </w:pPr>
            <w:r>
              <w:rPr>
                <w:rFonts w:hint="eastAsia" w:ascii="宋体" w:hAnsi="宋体" w:cs="宋体"/>
                <w:szCs w:val="21"/>
              </w:rPr>
              <w:t>单价</w:t>
            </w:r>
          </w:p>
        </w:tc>
        <w:tc>
          <w:tcPr>
            <w:tcW w:w="1059" w:type="dxa"/>
            <w:vAlign w:val="center"/>
          </w:tcPr>
          <w:p w14:paraId="39283A09">
            <w:pPr>
              <w:jc w:val="center"/>
              <w:rPr>
                <w:rFonts w:hint="eastAsia" w:ascii="宋体" w:hAnsi="宋体" w:cs="宋体"/>
                <w:szCs w:val="21"/>
              </w:rPr>
            </w:pPr>
            <w:r>
              <w:rPr>
                <w:rFonts w:hint="eastAsia" w:ascii="宋体" w:hAnsi="宋体" w:cs="宋体"/>
                <w:szCs w:val="21"/>
              </w:rPr>
              <w:t>合计</w:t>
            </w:r>
          </w:p>
        </w:tc>
      </w:tr>
      <w:tr w14:paraId="56B23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670" w:type="dxa"/>
            <w:vAlign w:val="center"/>
          </w:tcPr>
          <w:p w14:paraId="38B07BC7">
            <w:pPr>
              <w:jc w:val="center"/>
              <w:rPr>
                <w:rFonts w:hint="eastAsia" w:ascii="宋体" w:hAnsi="宋体" w:eastAsia="宋体" w:cs="宋体"/>
                <w:szCs w:val="21"/>
              </w:rPr>
            </w:pPr>
            <w:r>
              <w:rPr>
                <w:rFonts w:hint="eastAsia" w:ascii="宋体" w:hAnsi="宋体" w:eastAsia="宋体" w:cs="宋体"/>
                <w:szCs w:val="21"/>
              </w:rPr>
              <w:t>1</w:t>
            </w:r>
          </w:p>
        </w:tc>
        <w:tc>
          <w:tcPr>
            <w:tcW w:w="2417" w:type="dxa"/>
            <w:vAlign w:val="center"/>
          </w:tcPr>
          <w:p w14:paraId="65895B94">
            <w:pPr>
              <w:jc w:val="center"/>
              <w:rPr>
                <w:rFonts w:hint="eastAsia" w:ascii="宋体" w:hAnsi="宋体" w:eastAsia="宋体" w:cs="宋体"/>
                <w:szCs w:val="21"/>
              </w:rPr>
            </w:pPr>
            <w:r>
              <w:rPr>
                <w:rFonts w:hint="eastAsia" w:ascii="宋体" w:hAnsi="宋体" w:eastAsia="宋体" w:cs="宋体"/>
                <w:szCs w:val="21"/>
              </w:rPr>
              <w:t>数据分类分级系统</w:t>
            </w:r>
          </w:p>
        </w:tc>
        <w:tc>
          <w:tcPr>
            <w:tcW w:w="1875" w:type="dxa"/>
            <w:vAlign w:val="center"/>
          </w:tcPr>
          <w:p w14:paraId="618B383F">
            <w:pPr>
              <w:jc w:val="center"/>
              <w:rPr>
                <w:rFonts w:hint="eastAsia" w:ascii="宋体" w:hAnsi="宋体" w:eastAsia="宋体" w:cs="宋体"/>
                <w:szCs w:val="21"/>
              </w:rPr>
            </w:pPr>
          </w:p>
        </w:tc>
        <w:tc>
          <w:tcPr>
            <w:tcW w:w="1134" w:type="dxa"/>
            <w:vAlign w:val="center"/>
          </w:tcPr>
          <w:p w14:paraId="34F9AFEA">
            <w:pPr>
              <w:jc w:val="center"/>
              <w:rPr>
                <w:rFonts w:hint="eastAsia" w:ascii="宋体" w:hAnsi="宋体" w:eastAsia="宋体" w:cs="宋体"/>
                <w:szCs w:val="21"/>
              </w:rPr>
            </w:pPr>
          </w:p>
        </w:tc>
        <w:tc>
          <w:tcPr>
            <w:tcW w:w="992" w:type="dxa"/>
            <w:vAlign w:val="center"/>
          </w:tcPr>
          <w:p w14:paraId="69DE747B">
            <w:pPr>
              <w:jc w:val="center"/>
              <w:rPr>
                <w:rFonts w:hint="eastAsia" w:ascii="宋体" w:hAnsi="宋体" w:eastAsia="宋体" w:cs="宋体"/>
                <w:szCs w:val="21"/>
              </w:rPr>
            </w:pPr>
          </w:p>
        </w:tc>
        <w:tc>
          <w:tcPr>
            <w:tcW w:w="709" w:type="dxa"/>
            <w:vAlign w:val="center"/>
          </w:tcPr>
          <w:p w14:paraId="16276FAC">
            <w:pPr>
              <w:jc w:val="center"/>
              <w:rPr>
                <w:rFonts w:hint="eastAsia" w:ascii="宋体" w:hAnsi="宋体" w:eastAsia="宋体" w:cs="宋体"/>
                <w:szCs w:val="21"/>
              </w:rPr>
            </w:pPr>
            <w:r>
              <w:rPr>
                <w:rFonts w:hint="eastAsia" w:ascii="宋体" w:hAnsi="宋体" w:eastAsia="宋体" w:cs="宋体"/>
                <w:szCs w:val="21"/>
              </w:rPr>
              <w:t>1</w:t>
            </w:r>
          </w:p>
        </w:tc>
        <w:tc>
          <w:tcPr>
            <w:tcW w:w="1134" w:type="dxa"/>
            <w:vAlign w:val="center"/>
          </w:tcPr>
          <w:p w14:paraId="01F3DCED">
            <w:pPr>
              <w:jc w:val="center"/>
              <w:rPr>
                <w:rFonts w:hint="eastAsia" w:ascii="宋体" w:hAnsi="宋体" w:eastAsia="宋体" w:cs="宋体"/>
                <w:szCs w:val="21"/>
              </w:rPr>
            </w:pPr>
          </w:p>
        </w:tc>
        <w:tc>
          <w:tcPr>
            <w:tcW w:w="1059" w:type="dxa"/>
            <w:vAlign w:val="center"/>
          </w:tcPr>
          <w:p w14:paraId="036F0F7F">
            <w:pPr>
              <w:jc w:val="center"/>
              <w:rPr>
                <w:rFonts w:hint="eastAsia" w:ascii="宋体" w:hAnsi="宋体" w:eastAsia="宋体" w:cs="宋体"/>
                <w:szCs w:val="21"/>
              </w:rPr>
            </w:pPr>
          </w:p>
        </w:tc>
      </w:tr>
      <w:tr w14:paraId="0CDB0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670" w:type="dxa"/>
            <w:vAlign w:val="center"/>
          </w:tcPr>
          <w:p w14:paraId="0D513E97">
            <w:pPr>
              <w:jc w:val="center"/>
              <w:rPr>
                <w:rFonts w:hint="eastAsia" w:ascii="宋体" w:hAnsi="宋体" w:eastAsia="宋体" w:cs="宋体"/>
                <w:szCs w:val="21"/>
              </w:rPr>
            </w:pPr>
            <w:r>
              <w:rPr>
                <w:rFonts w:hint="eastAsia" w:ascii="宋体" w:hAnsi="宋体" w:eastAsia="宋体" w:cs="宋体"/>
                <w:szCs w:val="21"/>
              </w:rPr>
              <w:t>2</w:t>
            </w:r>
          </w:p>
        </w:tc>
        <w:tc>
          <w:tcPr>
            <w:tcW w:w="2417" w:type="dxa"/>
            <w:vAlign w:val="center"/>
          </w:tcPr>
          <w:p w14:paraId="00DAEB6B">
            <w:pPr>
              <w:jc w:val="center"/>
              <w:rPr>
                <w:rFonts w:hint="eastAsia" w:ascii="宋体" w:hAnsi="宋体" w:eastAsia="宋体" w:cs="宋体"/>
                <w:szCs w:val="21"/>
              </w:rPr>
            </w:pPr>
            <w:r>
              <w:rPr>
                <w:rFonts w:hint="eastAsia" w:ascii="宋体" w:hAnsi="宋体" w:eastAsia="宋体" w:cs="宋体"/>
                <w:szCs w:val="21"/>
              </w:rPr>
              <w:t>API应用安全审计系统</w:t>
            </w:r>
          </w:p>
        </w:tc>
        <w:tc>
          <w:tcPr>
            <w:tcW w:w="1875" w:type="dxa"/>
            <w:vAlign w:val="center"/>
          </w:tcPr>
          <w:p w14:paraId="69862310">
            <w:pPr>
              <w:jc w:val="center"/>
              <w:rPr>
                <w:rFonts w:hint="eastAsia" w:ascii="宋体" w:hAnsi="宋体" w:eastAsia="宋体" w:cs="宋体"/>
                <w:szCs w:val="21"/>
              </w:rPr>
            </w:pPr>
          </w:p>
        </w:tc>
        <w:tc>
          <w:tcPr>
            <w:tcW w:w="1134" w:type="dxa"/>
            <w:vAlign w:val="center"/>
          </w:tcPr>
          <w:p w14:paraId="59FC09AF">
            <w:pPr>
              <w:jc w:val="center"/>
              <w:rPr>
                <w:rFonts w:hint="eastAsia" w:ascii="宋体" w:hAnsi="宋体" w:eastAsia="宋体" w:cs="宋体"/>
                <w:szCs w:val="21"/>
              </w:rPr>
            </w:pPr>
          </w:p>
        </w:tc>
        <w:tc>
          <w:tcPr>
            <w:tcW w:w="992" w:type="dxa"/>
            <w:vAlign w:val="center"/>
          </w:tcPr>
          <w:p w14:paraId="350C60F5">
            <w:pPr>
              <w:jc w:val="center"/>
              <w:rPr>
                <w:rFonts w:hint="eastAsia" w:ascii="宋体" w:hAnsi="宋体" w:eastAsia="宋体" w:cs="宋体"/>
                <w:szCs w:val="21"/>
              </w:rPr>
            </w:pPr>
          </w:p>
        </w:tc>
        <w:tc>
          <w:tcPr>
            <w:tcW w:w="709" w:type="dxa"/>
            <w:vAlign w:val="center"/>
          </w:tcPr>
          <w:p w14:paraId="36F05D70">
            <w:pPr>
              <w:jc w:val="center"/>
              <w:rPr>
                <w:rFonts w:hint="eastAsia" w:ascii="宋体" w:hAnsi="宋体" w:eastAsia="宋体" w:cs="宋体"/>
                <w:szCs w:val="21"/>
              </w:rPr>
            </w:pPr>
            <w:r>
              <w:rPr>
                <w:rFonts w:hint="eastAsia" w:ascii="宋体" w:hAnsi="宋体" w:eastAsia="宋体" w:cs="宋体"/>
                <w:szCs w:val="21"/>
              </w:rPr>
              <w:t>1</w:t>
            </w:r>
          </w:p>
        </w:tc>
        <w:tc>
          <w:tcPr>
            <w:tcW w:w="1134" w:type="dxa"/>
            <w:vAlign w:val="center"/>
          </w:tcPr>
          <w:p w14:paraId="3E3D61A3">
            <w:pPr>
              <w:jc w:val="center"/>
              <w:rPr>
                <w:rFonts w:hint="eastAsia" w:ascii="宋体" w:hAnsi="宋体" w:eastAsia="宋体" w:cs="宋体"/>
                <w:szCs w:val="21"/>
              </w:rPr>
            </w:pPr>
          </w:p>
        </w:tc>
        <w:tc>
          <w:tcPr>
            <w:tcW w:w="1059" w:type="dxa"/>
            <w:vAlign w:val="center"/>
          </w:tcPr>
          <w:p w14:paraId="53D77CC9">
            <w:pPr>
              <w:jc w:val="center"/>
              <w:rPr>
                <w:rFonts w:hint="eastAsia" w:ascii="宋体" w:hAnsi="宋体" w:eastAsia="宋体" w:cs="宋体"/>
                <w:szCs w:val="21"/>
              </w:rPr>
            </w:pPr>
          </w:p>
        </w:tc>
      </w:tr>
      <w:tr w14:paraId="790A5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670" w:type="dxa"/>
            <w:vAlign w:val="center"/>
          </w:tcPr>
          <w:p w14:paraId="11C3198A">
            <w:pPr>
              <w:jc w:val="center"/>
              <w:rPr>
                <w:rFonts w:hint="eastAsia" w:ascii="宋体" w:hAnsi="宋体" w:eastAsia="宋体" w:cs="宋体"/>
                <w:szCs w:val="21"/>
              </w:rPr>
            </w:pPr>
            <w:r>
              <w:rPr>
                <w:rFonts w:hint="eastAsia" w:ascii="宋体" w:hAnsi="宋体" w:eastAsia="宋体" w:cs="宋体"/>
                <w:szCs w:val="21"/>
              </w:rPr>
              <w:t>3</w:t>
            </w:r>
          </w:p>
        </w:tc>
        <w:tc>
          <w:tcPr>
            <w:tcW w:w="2417" w:type="dxa"/>
            <w:vAlign w:val="center"/>
          </w:tcPr>
          <w:p w14:paraId="04B784A0">
            <w:pPr>
              <w:jc w:val="center"/>
              <w:rPr>
                <w:rFonts w:hint="eastAsia" w:ascii="宋体" w:hAnsi="宋体" w:eastAsia="宋体" w:cs="宋体"/>
                <w:szCs w:val="21"/>
              </w:rPr>
            </w:pPr>
            <w:r>
              <w:rPr>
                <w:rFonts w:hint="eastAsia" w:ascii="宋体" w:hAnsi="宋体" w:eastAsia="宋体" w:cs="宋体"/>
                <w:szCs w:val="21"/>
              </w:rPr>
              <w:t>数据安全管理平台</w:t>
            </w:r>
          </w:p>
        </w:tc>
        <w:tc>
          <w:tcPr>
            <w:tcW w:w="1875" w:type="dxa"/>
            <w:vAlign w:val="center"/>
          </w:tcPr>
          <w:p w14:paraId="0F67982A">
            <w:pPr>
              <w:jc w:val="center"/>
              <w:rPr>
                <w:rFonts w:hint="eastAsia" w:ascii="宋体" w:hAnsi="宋体" w:eastAsia="宋体" w:cs="宋体"/>
                <w:szCs w:val="21"/>
              </w:rPr>
            </w:pPr>
          </w:p>
        </w:tc>
        <w:tc>
          <w:tcPr>
            <w:tcW w:w="1134" w:type="dxa"/>
            <w:vAlign w:val="center"/>
          </w:tcPr>
          <w:p w14:paraId="144532EA">
            <w:pPr>
              <w:jc w:val="center"/>
              <w:rPr>
                <w:rFonts w:hint="eastAsia" w:ascii="宋体" w:hAnsi="宋体" w:eastAsia="宋体" w:cs="宋体"/>
                <w:szCs w:val="21"/>
              </w:rPr>
            </w:pPr>
          </w:p>
        </w:tc>
        <w:tc>
          <w:tcPr>
            <w:tcW w:w="992" w:type="dxa"/>
            <w:vAlign w:val="center"/>
          </w:tcPr>
          <w:p w14:paraId="3DBF0291">
            <w:pPr>
              <w:jc w:val="center"/>
              <w:rPr>
                <w:rFonts w:hint="eastAsia" w:ascii="宋体" w:hAnsi="宋体" w:eastAsia="宋体" w:cs="宋体"/>
                <w:szCs w:val="21"/>
              </w:rPr>
            </w:pPr>
          </w:p>
        </w:tc>
        <w:tc>
          <w:tcPr>
            <w:tcW w:w="709" w:type="dxa"/>
            <w:vAlign w:val="center"/>
          </w:tcPr>
          <w:p w14:paraId="63D23A0F">
            <w:pPr>
              <w:jc w:val="center"/>
              <w:rPr>
                <w:rFonts w:hint="eastAsia" w:ascii="宋体" w:hAnsi="宋体" w:eastAsia="宋体" w:cs="宋体"/>
                <w:szCs w:val="21"/>
              </w:rPr>
            </w:pPr>
            <w:r>
              <w:rPr>
                <w:rFonts w:hint="eastAsia" w:ascii="宋体" w:hAnsi="宋体" w:eastAsia="宋体" w:cs="宋体"/>
                <w:szCs w:val="21"/>
              </w:rPr>
              <w:t>1</w:t>
            </w:r>
          </w:p>
        </w:tc>
        <w:tc>
          <w:tcPr>
            <w:tcW w:w="1134" w:type="dxa"/>
            <w:vAlign w:val="center"/>
          </w:tcPr>
          <w:p w14:paraId="130A32EF">
            <w:pPr>
              <w:jc w:val="center"/>
              <w:rPr>
                <w:rFonts w:hint="eastAsia" w:ascii="宋体" w:hAnsi="宋体" w:eastAsia="宋体" w:cs="宋体"/>
                <w:szCs w:val="21"/>
              </w:rPr>
            </w:pPr>
          </w:p>
        </w:tc>
        <w:tc>
          <w:tcPr>
            <w:tcW w:w="1059" w:type="dxa"/>
            <w:vAlign w:val="center"/>
          </w:tcPr>
          <w:p w14:paraId="0950BA5E">
            <w:pPr>
              <w:jc w:val="center"/>
              <w:rPr>
                <w:rFonts w:hint="eastAsia" w:ascii="宋体" w:hAnsi="宋体" w:eastAsia="宋体" w:cs="宋体"/>
                <w:szCs w:val="21"/>
              </w:rPr>
            </w:pPr>
          </w:p>
        </w:tc>
      </w:tr>
      <w:tr w14:paraId="623D0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670" w:type="dxa"/>
            <w:vAlign w:val="center"/>
          </w:tcPr>
          <w:p w14:paraId="4A4D7279">
            <w:pPr>
              <w:jc w:val="center"/>
              <w:rPr>
                <w:rFonts w:hint="eastAsia" w:ascii="宋体" w:hAnsi="宋体" w:eastAsia="宋体" w:cs="宋体"/>
                <w:szCs w:val="21"/>
              </w:rPr>
            </w:pPr>
            <w:r>
              <w:rPr>
                <w:rFonts w:hint="eastAsia" w:ascii="宋体" w:hAnsi="宋体" w:eastAsia="宋体" w:cs="宋体"/>
                <w:szCs w:val="21"/>
              </w:rPr>
              <w:t>4</w:t>
            </w:r>
          </w:p>
        </w:tc>
        <w:tc>
          <w:tcPr>
            <w:tcW w:w="2417" w:type="dxa"/>
            <w:vAlign w:val="center"/>
          </w:tcPr>
          <w:p w14:paraId="182D5C35">
            <w:pPr>
              <w:jc w:val="center"/>
              <w:rPr>
                <w:rFonts w:hint="eastAsia" w:ascii="宋体" w:hAnsi="宋体" w:eastAsia="宋体" w:cs="宋体"/>
                <w:szCs w:val="21"/>
              </w:rPr>
            </w:pPr>
            <w:r>
              <w:rPr>
                <w:rFonts w:hint="eastAsia" w:ascii="宋体" w:hAnsi="宋体" w:eastAsia="宋体" w:cs="宋体"/>
                <w:szCs w:val="21"/>
              </w:rPr>
              <w:t>安全智能体平台</w:t>
            </w:r>
          </w:p>
        </w:tc>
        <w:tc>
          <w:tcPr>
            <w:tcW w:w="1875" w:type="dxa"/>
            <w:vAlign w:val="center"/>
          </w:tcPr>
          <w:p w14:paraId="1F372556">
            <w:pPr>
              <w:jc w:val="center"/>
              <w:rPr>
                <w:rFonts w:hint="eastAsia" w:ascii="宋体" w:hAnsi="宋体" w:eastAsia="宋体" w:cs="宋体"/>
                <w:szCs w:val="21"/>
              </w:rPr>
            </w:pPr>
          </w:p>
        </w:tc>
        <w:tc>
          <w:tcPr>
            <w:tcW w:w="1134" w:type="dxa"/>
            <w:vAlign w:val="center"/>
          </w:tcPr>
          <w:p w14:paraId="21A0240B">
            <w:pPr>
              <w:jc w:val="center"/>
              <w:rPr>
                <w:rFonts w:hint="eastAsia" w:ascii="宋体" w:hAnsi="宋体" w:eastAsia="宋体" w:cs="宋体"/>
                <w:szCs w:val="21"/>
              </w:rPr>
            </w:pPr>
          </w:p>
        </w:tc>
        <w:tc>
          <w:tcPr>
            <w:tcW w:w="992" w:type="dxa"/>
            <w:vAlign w:val="center"/>
          </w:tcPr>
          <w:p w14:paraId="17937EA2">
            <w:pPr>
              <w:jc w:val="center"/>
              <w:rPr>
                <w:rFonts w:hint="eastAsia" w:ascii="宋体" w:hAnsi="宋体" w:eastAsia="宋体" w:cs="宋体"/>
                <w:szCs w:val="21"/>
              </w:rPr>
            </w:pPr>
          </w:p>
        </w:tc>
        <w:tc>
          <w:tcPr>
            <w:tcW w:w="709" w:type="dxa"/>
            <w:vAlign w:val="center"/>
          </w:tcPr>
          <w:p w14:paraId="106DCF04">
            <w:pPr>
              <w:jc w:val="center"/>
              <w:rPr>
                <w:rFonts w:hint="eastAsia" w:ascii="宋体" w:hAnsi="宋体" w:eastAsia="宋体" w:cs="宋体"/>
                <w:szCs w:val="21"/>
              </w:rPr>
            </w:pPr>
            <w:r>
              <w:rPr>
                <w:rFonts w:hint="eastAsia" w:ascii="宋体" w:hAnsi="宋体" w:eastAsia="宋体" w:cs="宋体"/>
                <w:szCs w:val="21"/>
              </w:rPr>
              <w:t>1</w:t>
            </w:r>
          </w:p>
        </w:tc>
        <w:tc>
          <w:tcPr>
            <w:tcW w:w="1134" w:type="dxa"/>
            <w:vAlign w:val="center"/>
          </w:tcPr>
          <w:p w14:paraId="5FAB8ED7">
            <w:pPr>
              <w:jc w:val="center"/>
              <w:rPr>
                <w:rFonts w:hint="eastAsia" w:ascii="宋体" w:hAnsi="宋体" w:eastAsia="宋体" w:cs="宋体"/>
                <w:szCs w:val="21"/>
              </w:rPr>
            </w:pPr>
          </w:p>
        </w:tc>
        <w:tc>
          <w:tcPr>
            <w:tcW w:w="1059" w:type="dxa"/>
            <w:vAlign w:val="center"/>
          </w:tcPr>
          <w:p w14:paraId="5393A565">
            <w:pPr>
              <w:jc w:val="center"/>
              <w:rPr>
                <w:rFonts w:hint="eastAsia" w:ascii="宋体" w:hAnsi="宋体" w:eastAsia="宋体" w:cs="宋体"/>
                <w:szCs w:val="21"/>
              </w:rPr>
            </w:pPr>
          </w:p>
        </w:tc>
      </w:tr>
      <w:tr w14:paraId="53DC0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3087" w:type="dxa"/>
            <w:gridSpan w:val="2"/>
            <w:vAlign w:val="center"/>
          </w:tcPr>
          <w:p w14:paraId="4D3CCB05">
            <w:pPr>
              <w:jc w:val="center"/>
              <w:rPr>
                <w:rFonts w:hint="eastAsia" w:ascii="宋体" w:hAnsi="宋体" w:eastAsia="宋体" w:cs="宋体"/>
                <w:szCs w:val="21"/>
              </w:rPr>
            </w:pPr>
            <w:r>
              <w:rPr>
                <w:rFonts w:hint="eastAsia" w:ascii="宋体" w:hAnsi="宋体" w:eastAsia="宋体" w:cs="宋体"/>
                <w:szCs w:val="21"/>
              </w:rPr>
              <w:t>总计</w:t>
            </w:r>
          </w:p>
        </w:tc>
        <w:tc>
          <w:tcPr>
            <w:tcW w:w="3009" w:type="dxa"/>
            <w:gridSpan w:val="2"/>
            <w:vAlign w:val="center"/>
          </w:tcPr>
          <w:p w14:paraId="30456638">
            <w:pPr>
              <w:jc w:val="center"/>
              <w:rPr>
                <w:rFonts w:hint="eastAsia" w:ascii="宋体" w:hAnsi="宋体" w:eastAsia="宋体" w:cs="宋体"/>
                <w:szCs w:val="21"/>
              </w:rPr>
            </w:pPr>
            <w:r>
              <w:rPr>
                <w:rFonts w:hint="eastAsia" w:ascii="宋体" w:hAnsi="宋体" w:eastAsia="宋体" w:cs="宋体"/>
                <w:szCs w:val="21"/>
              </w:rPr>
              <w:t>（小写）            元</w:t>
            </w:r>
          </w:p>
        </w:tc>
        <w:tc>
          <w:tcPr>
            <w:tcW w:w="3894" w:type="dxa"/>
            <w:gridSpan w:val="4"/>
            <w:vAlign w:val="center"/>
          </w:tcPr>
          <w:p w14:paraId="716F3F4B">
            <w:pPr>
              <w:jc w:val="center"/>
              <w:rPr>
                <w:rFonts w:hint="eastAsia" w:ascii="宋体" w:hAnsi="宋体" w:eastAsia="宋体" w:cs="宋体"/>
                <w:szCs w:val="21"/>
              </w:rPr>
            </w:pPr>
            <w:r>
              <w:rPr>
                <w:rFonts w:hint="eastAsia" w:ascii="宋体" w:hAnsi="宋体" w:eastAsia="宋体" w:cs="宋体"/>
                <w:szCs w:val="21"/>
              </w:rPr>
              <w:t>（大写）：                     元整</w:t>
            </w:r>
          </w:p>
        </w:tc>
      </w:tr>
      <w:tr w14:paraId="41584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9990" w:type="dxa"/>
            <w:gridSpan w:val="8"/>
            <w:vAlign w:val="center"/>
          </w:tcPr>
          <w:p w14:paraId="3C37EBBC">
            <w:pPr>
              <w:jc w:val="center"/>
            </w:pPr>
            <w:r>
              <w:rPr>
                <w:rFonts w:hint="eastAsia"/>
              </w:rPr>
              <w:t xml:space="preserve"> </w:t>
            </w:r>
            <w:r>
              <w:t xml:space="preserve">    </w:t>
            </w:r>
            <w:r>
              <w:rPr>
                <w:rFonts w:hint="eastAsia"/>
              </w:rPr>
              <w:t xml:space="preserve">        </w:t>
            </w:r>
          </w:p>
          <w:p w14:paraId="485B4D62">
            <w:pPr>
              <w:pStyle w:val="12"/>
              <w:rPr>
                <w:rFonts w:ascii="Calibri" w:hAnsi="Calibri"/>
                <w:b w:val="0"/>
                <w:sz w:val="21"/>
              </w:rPr>
            </w:pPr>
          </w:p>
          <w:p w14:paraId="108560ED">
            <w:pPr>
              <w:jc w:val="left"/>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lang w:val="en-US" w:eastAsia="zh-CN" w:bidi="ar-SA"/>
              </w:rPr>
              <w:t>供应商名称（公章）：</w:t>
            </w:r>
          </w:p>
          <w:p w14:paraId="7E1C44A6">
            <w:pPr>
              <w:jc w:val="left"/>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lang w:val="en-US" w:eastAsia="zh-CN" w:bidi="ar-SA"/>
              </w:rPr>
              <w:t>法定代表人或授权代表签字：</w:t>
            </w:r>
          </w:p>
          <w:p w14:paraId="3F20D8F3">
            <w:pPr>
              <w:jc w:val="left"/>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lang w:val="en-US" w:eastAsia="zh-CN" w:bidi="ar-SA"/>
              </w:rPr>
              <w:t>联系电话：</w:t>
            </w:r>
          </w:p>
          <w:p w14:paraId="6AF73B48">
            <w:pPr>
              <w:jc w:val="left"/>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lang w:val="en-US" w:eastAsia="zh-CN" w:bidi="ar-SA"/>
              </w:rPr>
              <w:t>填报日期：______年____月____日</w:t>
            </w:r>
          </w:p>
          <w:p w14:paraId="73B7CCA5"/>
          <w:p w14:paraId="11533D03">
            <w:pPr>
              <w:pStyle w:val="12"/>
            </w:pPr>
          </w:p>
        </w:tc>
      </w:tr>
    </w:tbl>
    <w:p w14:paraId="72677110">
      <w:pPr>
        <w:pStyle w:val="31"/>
        <w:ind w:firstLine="0" w:firstLineChars="0"/>
        <w:jc w:val="left"/>
        <w:rPr>
          <w:rFonts w:ascii="Times New Roman Regular" w:hAnsi="Times New Roman Regular" w:eastAsia="宋体" w:cs="Times New Roman Regular"/>
          <w:szCs w:val="28"/>
        </w:rPr>
      </w:pPr>
    </w:p>
    <w:sectPr>
      <w:foot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华文细黑">
    <w:altName w:val="微软雅黑"/>
    <w:panose1 w:val="02010600040101010101"/>
    <w:charset w:val="86"/>
    <w:family w:val="auto"/>
    <w:pitch w:val="default"/>
    <w:sig w:usb0="00000000" w:usb1="00000000" w:usb2="00000010" w:usb3="00000000" w:csb0="0004009F" w:csb1="00000000"/>
  </w:font>
  <w:font w:name="Times New Roman Regular">
    <w:altName w:val="Times New Roman"/>
    <w:panose1 w:val="00000000000000000000"/>
    <w:charset w:val="00"/>
    <w:family w:val="auto"/>
    <w:pitch w:val="default"/>
    <w:sig w:usb0="00000000" w:usb1="00000000"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26C38D">
    <w:pPr>
      <w:pStyle w:val="1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401320" cy="147955"/>
              <wp:effectExtent l="0" t="0" r="0" b="4445"/>
              <wp:wrapNone/>
              <wp:docPr id="263176149" name="文本框 1"/>
              <wp:cNvGraphicFramePr/>
              <a:graphic xmlns:a="http://schemas.openxmlformats.org/drawingml/2006/main">
                <a:graphicData uri="http://schemas.microsoft.com/office/word/2010/wordprocessingShape">
                  <wps:wsp>
                    <wps:cNvSpPr txBox="1">
                      <a:spLocks noChangeArrowheads="1"/>
                    </wps:cNvSpPr>
                    <wps:spPr bwMode="auto">
                      <a:xfrm>
                        <a:off x="0" y="0"/>
                        <a:ext cx="401320" cy="147955"/>
                      </a:xfrm>
                      <a:prstGeom prst="rect">
                        <a:avLst/>
                      </a:prstGeom>
                      <a:noFill/>
                      <a:ln>
                        <a:noFill/>
                      </a:ln>
                    </wps:spPr>
                    <wps:txbx>
                      <w:txbxContent>
                        <w:p w14:paraId="2DFB8251">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r>
                            <w:rPr>
                              <w:rFonts w:hint="eastAsia"/>
                              <w:sz w:val="18"/>
                            </w:rPr>
                            <w:t xml:space="preserve"> 页</w:t>
                          </w:r>
                        </w:p>
                      </w:txbxContent>
                    </wps:txbx>
                    <wps:bodyPr rot="0" vert="horz" wrap="none" lIns="0" tIns="0" rIns="0" bIns="0" anchor="t" anchorCtr="0" upright="1">
                      <a:spAutoFit/>
                    </wps:bodyPr>
                  </wps:wsp>
                </a:graphicData>
              </a:graphic>
            </wp:anchor>
          </w:drawing>
        </mc:Choice>
        <mc:Fallback>
          <w:pict>
            <v:shape id="文本框 1" o:spid="_x0000_s1026" o:spt="202" type="#_x0000_t202" style="position:absolute;left:0pt;margin-top:0pt;height:11.65pt;width:31.6pt;mso-position-horizontal:center;mso-position-horizontal-relative:margin;mso-wrap-style:none;z-index:251659264;mso-width-relative:page;mso-height-relative:page;" filled="f" stroked="f" coordsize="21600,21600" o:gfxdata="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2m48QdEAAAADAQAADwAAAAAAAAABACAAAAAi&#10;AAAAZHJzL2Rvd25yZXYueG1sUEsBAhQAFAAAAAgAh07iQBfa0JsRAgAACgQAAA4AAAAAAAAAAQAg&#10;AAAAIAEAAGRycy9lMm9Eb2MueG1sUEsFBgAAAAAGAAYAWQEAAKMFAAAAAA==&#10;">
              <v:fill on="f" focussize="0,0"/>
              <v:stroke on="f"/>
              <v:imagedata o:title=""/>
              <o:lock v:ext="edit" aspectratio="f"/>
              <v:textbox inset="0mm,0mm,0mm,0mm" style="mso-fit-shape-to-text:t;">
                <w:txbxContent>
                  <w:p w14:paraId="2DFB8251">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r>
                      <w:rPr>
                        <w:rFonts w:hint="eastAsia"/>
                        <w:sz w:val="18"/>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133610"/>
    <w:multiLevelType w:val="multilevel"/>
    <w:tmpl w:val="54133610"/>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c1NzBmYzI3NzFjYjhiOTlkNDNmNTQwNzM5ZmQ3MGQifQ=="/>
  </w:docVars>
  <w:rsids>
    <w:rsidRoot w:val="43DC0D6D"/>
    <w:rsid w:val="00002211"/>
    <w:rsid w:val="00012174"/>
    <w:rsid w:val="000123CC"/>
    <w:rsid w:val="0001538F"/>
    <w:rsid w:val="00020CE1"/>
    <w:rsid w:val="00035545"/>
    <w:rsid w:val="00050915"/>
    <w:rsid w:val="00064571"/>
    <w:rsid w:val="00064722"/>
    <w:rsid w:val="000905EF"/>
    <w:rsid w:val="00096C3C"/>
    <w:rsid w:val="000A7106"/>
    <w:rsid w:val="000E515E"/>
    <w:rsid w:val="0011795C"/>
    <w:rsid w:val="00132D91"/>
    <w:rsid w:val="00154D7E"/>
    <w:rsid w:val="00154E9A"/>
    <w:rsid w:val="00160438"/>
    <w:rsid w:val="00163EB7"/>
    <w:rsid w:val="00165D83"/>
    <w:rsid w:val="00183C8E"/>
    <w:rsid w:val="001912EF"/>
    <w:rsid w:val="001A1DA9"/>
    <w:rsid w:val="001A5A00"/>
    <w:rsid w:val="001B161E"/>
    <w:rsid w:val="001C4EBC"/>
    <w:rsid w:val="001E3057"/>
    <w:rsid w:val="001E548A"/>
    <w:rsid w:val="00211CF3"/>
    <w:rsid w:val="00213086"/>
    <w:rsid w:val="0023277A"/>
    <w:rsid w:val="00255F90"/>
    <w:rsid w:val="00274575"/>
    <w:rsid w:val="002A252C"/>
    <w:rsid w:val="002A2A55"/>
    <w:rsid w:val="002D5BF9"/>
    <w:rsid w:val="002E2D45"/>
    <w:rsid w:val="002F768D"/>
    <w:rsid w:val="00383F10"/>
    <w:rsid w:val="003A06CD"/>
    <w:rsid w:val="003D16AD"/>
    <w:rsid w:val="003D3DD7"/>
    <w:rsid w:val="003D52B2"/>
    <w:rsid w:val="003E1DD4"/>
    <w:rsid w:val="003E5F5D"/>
    <w:rsid w:val="004019C8"/>
    <w:rsid w:val="0041206F"/>
    <w:rsid w:val="0044370B"/>
    <w:rsid w:val="00455DC0"/>
    <w:rsid w:val="00486195"/>
    <w:rsid w:val="00497D61"/>
    <w:rsid w:val="004A061D"/>
    <w:rsid w:val="004A6CCE"/>
    <w:rsid w:val="004C13B9"/>
    <w:rsid w:val="004C1EF3"/>
    <w:rsid w:val="00530964"/>
    <w:rsid w:val="0053123F"/>
    <w:rsid w:val="0053495A"/>
    <w:rsid w:val="00547072"/>
    <w:rsid w:val="005857C5"/>
    <w:rsid w:val="005B4B0D"/>
    <w:rsid w:val="005F20D1"/>
    <w:rsid w:val="00600147"/>
    <w:rsid w:val="00606086"/>
    <w:rsid w:val="006140F6"/>
    <w:rsid w:val="0063690D"/>
    <w:rsid w:val="00642909"/>
    <w:rsid w:val="00645574"/>
    <w:rsid w:val="00650B08"/>
    <w:rsid w:val="0065128B"/>
    <w:rsid w:val="00652F80"/>
    <w:rsid w:val="00661DC1"/>
    <w:rsid w:val="00667555"/>
    <w:rsid w:val="006705AE"/>
    <w:rsid w:val="00685183"/>
    <w:rsid w:val="006878DA"/>
    <w:rsid w:val="006B5D08"/>
    <w:rsid w:val="006B6059"/>
    <w:rsid w:val="006B773D"/>
    <w:rsid w:val="006C0BB6"/>
    <w:rsid w:val="006C3CA1"/>
    <w:rsid w:val="006D6029"/>
    <w:rsid w:val="007039C9"/>
    <w:rsid w:val="00723E1D"/>
    <w:rsid w:val="00752AE3"/>
    <w:rsid w:val="00765E61"/>
    <w:rsid w:val="007A3EA3"/>
    <w:rsid w:val="007A5AA0"/>
    <w:rsid w:val="007B1BE3"/>
    <w:rsid w:val="007B3CDD"/>
    <w:rsid w:val="007D652C"/>
    <w:rsid w:val="007E387E"/>
    <w:rsid w:val="00801BDC"/>
    <w:rsid w:val="0080359A"/>
    <w:rsid w:val="00837314"/>
    <w:rsid w:val="00837838"/>
    <w:rsid w:val="008861BE"/>
    <w:rsid w:val="00886B9B"/>
    <w:rsid w:val="00890E2E"/>
    <w:rsid w:val="0089360E"/>
    <w:rsid w:val="008A2906"/>
    <w:rsid w:val="008A302F"/>
    <w:rsid w:val="008C1838"/>
    <w:rsid w:val="008C68F0"/>
    <w:rsid w:val="008E3885"/>
    <w:rsid w:val="008F4BA9"/>
    <w:rsid w:val="00912F41"/>
    <w:rsid w:val="009440F4"/>
    <w:rsid w:val="00953972"/>
    <w:rsid w:val="0096563A"/>
    <w:rsid w:val="00A02038"/>
    <w:rsid w:val="00A339DB"/>
    <w:rsid w:val="00A353FB"/>
    <w:rsid w:val="00A4515B"/>
    <w:rsid w:val="00A766DE"/>
    <w:rsid w:val="00A93DBB"/>
    <w:rsid w:val="00AA166A"/>
    <w:rsid w:val="00AB7FD0"/>
    <w:rsid w:val="00AE108E"/>
    <w:rsid w:val="00AE695C"/>
    <w:rsid w:val="00B01FC5"/>
    <w:rsid w:val="00B0615C"/>
    <w:rsid w:val="00B07CE0"/>
    <w:rsid w:val="00B3577F"/>
    <w:rsid w:val="00B654A0"/>
    <w:rsid w:val="00B859F8"/>
    <w:rsid w:val="00B955B1"/>
    <w:rsid w:val="00BF126E"/>
    <w:rsid w:val="00C123A1"/>
    <w:rsid w:val="00C16514"/>
    <w:rsid w:val="00C200B3"/>
    <w:rsid w:val="00C23A56"/>
    <w:rsid w:val="00C301F1"/>
    <w:rsid w:val="00C458E1"/>
    <w:rsid w:val="00C74A66"/>
    <w:rsid w:val="00C81D02"/>
    <w:rsid w:val="00CA60D4"/>
    <w:rsid w:val="00CC5D1E"/>
    <w:rsid w:val="00CD7ED5"/>
    <w:rsid w:val="00CF70D8"/>
    <w:rsid w:val="00D07172"/>
    <w:rsid w:val="00D45A00"/>
    <w:rsid w:val="00D507CD"/>
    <w:rsid w:val="00D8531F"/>
    <w:rsid w:val="00D86C5B"/>
    <w:rsid w:val="00D976F6"/>
    <w:rsid w:val="00DD54A0"/>
    <w:rsid w:val="00DF5D8A"/>
    <w:rsid w:val="00E01BF3"/>
    <w:rsid w:val="00E0670E"/>
    <w:rsid w:val="00E11434"/>
    <w:rsid w:val="00E3644B"/>
    <w:rsid w:val="00E4085D"/>
    <w:rsid w:val="00E5494D"/>
    <w:rsid w:val="00E63A83"/>
    <w:rsid w:val="00E66F08"/>
    <w:rsid w:val="00E778F0"/>
    <w:rsid w:val="00E85218"/>
    <w:rsid w:val="00E8671F"/>
    <w:rsid w:val="00EA1EC6"/>
    <w:rsid w:val="00EE1CE5"/>
    <w:rsid w:val="00EF416E"/>
    <w:rsid w:val="00F26AC6"/>
    <w:rsid w:val="00F27541"/>
    <w:rsid w:val="00F50FC1"/>
    <w:rsid w:val="00F60930"/>
    <w:rsid w:val="00F62C3A"/>
    <w:rsid w:val="00F7300C"/>
    <w:rsid w:val="00F756E7"/>
    <w:rsid w:val="00F85D84"/>
    <w:rsid w:val="00FC5ADA"/>
    <w:rsid w:val="00FD30FB"/>
    <w:rsid w:val="00FE0358"/>
    <w:rsid w:val="017B11E4"/>
    <w:rsid w:val="02E86AD3"/>
    <w:rsid w:val="030D3D13"/>
    <w:rsid w:val="044A52F1"/>
    <w:rsid w:val="045F3E60"/>
    <w:rsid w:val="065435E7"/>
    <w:rsid w:val="07F55F19"/>
    <w:rsid w:val="0A7271F2"/>
    <w:rsid w:val="0B4765DB"/>
    <w:rsid w:val="0B5E5DFE"/>
    <w:rsid w:val="0C9475FE"/>
    <w:rsid w:val="0ED54FA7"/>
    <w:rsid w:val="0FE83812"/>
    <w:rsid w:val="113B33C9"/>
    <w:rsid w:val="16DC6904"/>
    <w:rsid w:val="19AC1208"/>
    <w:rsid w:val="1BD85C34"/>
    <w:rsid w:val="1C62724B"/>
    <w:rsid w:val="1C7F67AE"/>
    <w:rsid w:val="1EAF6B6E"/>
    <w:rsid w:val="243712C6"/>
    <w:rsid w:val="24A518F3"/>
    <w:rsid w:val="26494805"/>
    <w:rsid w:val="26D12CCB"/>
    <w:rsid w:val="26F7280B"/>
    <w:rsid w:val="284C1CBC"/>
    <w:rsid w:val="2A0F6B51"/>
    <w:rsid w:val="2E4A5C2F"/>
    <w:rsid w:val="2F631386"/>
    <w:rsid w:val="2F6C4C67"/>
    <w:rsid w:val="2F9B4539"/>
    <w:rsid w:val="2FD057C3"/>
    <w:rsid w:val="33497B0A"/>
    <w:rsid w:val="342E2B27"/>
    <w:rsid w:val="38282A1A"/>
    <w:rsid w:val="39386CB2"/>
    <w:rsid w:val="39E70D2F"/>
    <w:rsid w:val="3A8375C7"/>
    <w:rsid w:val="3DB73C99"/>
    <w:rsid w:val="3DF81348"/>
    <w:rsid w:val="3E17560A"/>
    <w:rsid w:val="3EEA2C8B"/>
    <w:rsid w:val="40E542E9"/>
    <w:rsid w:val="40F03B15"/>
    <w:rsid w:val="413C5593"/>
    <w:rsid w:val="42E2225C"/>
    <w:rsid w:val="43DC0D6D"/>
    <w:rsid w:val="464A5A08"/>
    <w:rsid w:val="48F30C2D"/>
    <w:rsid w:val="4AA14B96"/>
    <w:rsid w:val="4B9761E7"/>
    <w:rsid w:val="4E2A6D4B"/>
    <w:rsid w:val="4F5C3751"/>
    <w:rsid w:val="4FE5257F"/>
    <w:rsid w:val="4FFFE914"/>
    <w:rsid w:val="51B340C2"/>
    <w:rsid w:val="54FA62E8"/>
    <w:rsid w:val="560E5731"/>
    <w:rsid w:val="57D97E62"/>
    <w:rsid w:val="590E5D0D"/>
    <w:rsid w:val="591B1E1E"/>
    <w:rsid w:val="5BD844BF"/>
    <w:rsid w:val="5C3563ED"/>
    <w:rsid w:val="5C56150A"/>
    <w:rsid w:val="5C8E394E"/>
    <w:rsid w:val="5C9B41FC"/>
    <w:rsid w:val="5DA930B5"/>
    <w:rsid w:val="5E002D9B"/>
    <w:rsid w:val="61972682"/>
    <w:rsid w:val="61D50F91"/>
    <w:rsid w:val="62610A33"/>
    <w:rsid w:val="68F6059A"/>
    <w:rsid w:val="6934552F"/>
    <w:rsid w:val="6EDF562C"/>
    <w:rsid w:val="6EFC1923"/>
    <w:rsid w:val="6F156B86"/>
    <w:rsid w:val="712D6B22"/>
    <w:rsid w:val="71A30B93"/>
    <w:rsid w:val="734975EC"/>
    <w:rsid w:val="75BE243F"/>
    <w:rsid w:val="778801D2"/>
    <w:rsid w:val="785E2432"/>
    <w:rsid w:val="7A5F0C6A"/>
    <w:rsid w:val="7AA55C1E"/>
    <w:rsid w:val="7AFB1F49"/>
    <w:rsid w:val="7C2E6E1D"/>
    <w:rsid w:val="7E5F07E0"/>
    <w:rsid w:val="7E803AE8"/>
    <w:rsid w:val="7F9D5E0A"/>
    <w:rsid w:val="ABFBD8B6"/>
    <w:rsid w:val="B5EFEC93"/>
    <w:rsid w:val="DDDC3FAD"/>
    <w:rsid w:val="DDE90FAF"/>
    <w:rsid w:val="FFBF2D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20"/>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21"/>
    <w:qFormat/>
    <w:uiPriority w:val="9"/>
    <w:pPr>
      <w:keepNext/>
      <w:keepLines/>
      <w:spacing w:before="260" w:after="260" w:line="416" w:lineRule="auto"/>
      <w:outlineLvl w:val="1"/>
    </w:pPr>
    <w:rPr>
      <w:rFonts w:ascii="等线 Light" w:hAnsi="等线 Light" w:eastAsia="等线 Light"/>
      <w:b/>
      <w:bCs/>
      <w:sz w:val="32"/>
      <w:szCs w:val="32"/>
    </w:rPr>
  </w:style>
  <w:style w:type="paragraph" w:styleId="4">
    <w:name w:val="heading 3"/>
    <w:basedOn w:val="1"/>
    <w:next w:val="1"/>
    <w:qFormat/>
    <w:uiPriority w:val="9"/>
    <w:pPr>
      <w:keepNext/>
      <w:keepLines/>
      <w:spacing w:before="260" w:after="260" w:line="416" w:lineRule="auto"/>
      <w:outlineLvl w:val="2"/>
    </w:pPr>
    <w:rPr>
      <w:b/>
      <w:bCs/>
      <w:sz w:val="32"/>
      <w:szCs w:val="32"/>
    </w:rPr>
  </w:style>
  <w:style w:type="paragraph" w:styleId="5">
    <w:name w:val="heading 4"/>
    <w:basedOn w:val="1"/>
    <w:next w:val="1"/>
    <w:link w:val="22"/>
    <w:qFormat/>
    <w:uiPriority w:val="9"/>
    <w:pPr>
      <w:keepNext/>
      <w:keepLines/>
      <w:spacing w:before="280" w:after="290" w:line="376" w:lineRule="auto"/>
      <w:outlineLvl w:val="3"/>
    </w:pPr>
    <w:rPr>
      <w:rFonts w:ascii="等线 Light" w:hAnsi="等线 Light" w:eastAsia="等线 Light"/>
      <w:b/>
      <w:bCs/>
      <w:sz w:val="28"/>
      <w:szCs w:val="28"/>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autoSpaceDE w:val="0"/>
      <w:autoSpaceDN w:val="0"/>
      <w:adjustRightInd w:val="0"/>
      <w:spacing w:line="360" w:lineRule="auto"/>
      <w:ind w:firstLine="200" w:firstLineChars="200"/>
      <w:jc w:val="left"/>
    </w:pPr>
  </w:style>
  <w:style w:type="paragraph" w:styleId="7">
    <w:name w:val="Body Text"/>
    <w:basedOn w:val="1"/>
    <w:next w:val="8"/>
    <w:qFormat/>
    <w:uiPriority w:val="99"/>
    <w:rPr>
      <w:rFonts w:ascii="宋体" w:hAnsi="宋体" w:cs="宋体"/>
      <w:sz w:val="28"/>
      <w:szCs w:val="28"/>
    </w:rPr>
  </w:style>
  <w:style w:type="paragraph" w:styleId="8">
    <w:name w:val="Body Text 2"/>
    <w:basedOn w:val="1"/>
    <w:semiHidden/>
    <w:qFormat/>
    <w:uiPriority w:val="0"/>
    <w:pPr>
      <w:adjustRightInd w:val="0"/>
      <w:snapToGrid w:val="0"/>
      <w:spacing w:after="120" w:line="480" w:lineRule="auto"/>
    </w:pPr>
    <w:rPr>
      <w:sz w:val="18"/>
      <w:szCs w:val="20"/>
    </w:rPr>
  </w:style>
  <w:style w:type="paragraph" w:styleId="9">
    <w:name w:val="Body Text Indent"/>
    <w:basedOn w:val="1"/>
    <w:link w:val="23"/>
    <w:qFormat/>
    <w:uiPriority w:val="0"/>
    <w:pPr>
      <w:adjustRightInd w:val="0"/>
      <w:snapToGrid w:val="0"/>
      <w:spacing w:before="25" w:beforeLines="25" w:after="25" w:afterLines="25" w:line="360" w:lineRule="auto"/>
      <w:ind w:left="420" w:firstLine="420" w:firstLineChars="200"/>
    </w:pPr>
    <w:rPr>
      <w:rFonts w:ascii="宋体" w:hAnsi="宋体" w:eastAsia="等线"/>
      <w:sz w:val="24"/>
      <w:szCs w:val="22"/>
      <w:shd w:val="pct10" w:color="auto" w:fill="FFFFFF"/>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2">
    <w:name w:val="toc 1"/>
    <w:basedOn w:val="1"/>
    <w:next w:val="1"/>
    <w:qFormat/>
    <w:uiPriority w:val="39"/>
    <w:pPr>
      <w:tabs>
        <w:tab w:val="left" w:pos="1260"/>
        <w:tab w:val="left" w:pos="1685"/>
        <w:tab w:val="right" w:leader="dot" w:pos="8400"/>
      </w:tabs>
      <w:spacing w:line="360" w:lineRule="auto"/>
    </w:pPr>
    <w:rPr>
      <w:rFonts w:ascii="Times New Roman" w:hAnsi="Times New Roman"/>
      <w:b/>
      <w:sz w:val="24"/>
    </w:rPr>
  </w:style>
  <w:style w:type="paragraph" w:styleId="13">
    <w:name w:val="Subtitle"/>
    <w:basedOn w:val="1"/>
    <w:next w:val="1"/>
    <w:link w:val="24"/>
    <w:qFormat/>
    <w:uiPriority w:val="0"/>
    <w:pPr>
      <w:spacing w:before="240" w:after="60" w:line="312" w:lineRule="auto"/>
      <w:jc w:val="center"/>
      <w:outlineLvl w:val="1"/>
    </w:pPr>
    <w:rPr>
      <w:rFonts w:ascii="等线 Light" w:hAnsi="等线 Light"/>
      <w:b/>
      <w:bCs/>
      <w:kern w:val="28"/>
      <w:sz w:val="32"/>
      <w:szCs w:val="32"/>
    </w:rPr>
  </w:style>
  <w:style w:type="paragraph" w:styleId="14">
    <w:name w:val="Title"/>
    <w:basedOn w:val="1"/>
    <w:next w:val="1"/>
    <w:link w:val="25"/>
    <w:qFormat/>
    <w:uiPriority w:val="0"/>
    <w:pPr>
      <w:spacing w:before="240" w:after="60"/>
      <w:jc w:val="center"/>
      <w:outlineLvl w:val="0"/>
    </w:pPr>
    <w:rPr>
      <w:rFonts w:ascii="等线 Light" w:hAnsi="等线 Light"/>
      <w:b/>
      <w:bCs/>
      <w:sz w:val="32"/>
      <w:szCs w:val="32"/>
    </w:rPr>
  </w:style>
  <w:style w:type="table" w:styleId="16">
    <w:name w:val="Table Grid"/>
    <w:basedOn w:val="1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0"/>
    <w:rPr>
      <w:b/>
      <w:bCs/>
    </w:rPr>
  </w:style>
  <w:style w:type="character" w:styleId="19">
    <w:name w:val="Emphasis"/>
    <w:qFormat/>
    <w:uiPriority w:val="0"/>
    <w:rPr>
      <w:i/>
      <w:iCs/>
    </w:rPr>
  </w:style>
  <w:style w:type="character" w:customStyle="1" w:styleId="20">
    <w:name w:val="标题 1 字符"/>
    <w:link w:val="2"/>
    <w:qFormat/>
    <w:uiPriority w:val="0"/>
    <w:rPr>
      <w:rFonts w:ascii="Calibri" w:hAnsi="Calibri"/>
      <w:b/>
      <w:bCs/>
      <w:kern w:val="44"/>
      <w:sz w:val="44"/>
      <w:szCs w:val="44"/>
    </w:rPr>
  </w:style>
  <w:style w:type="character" w:customStyle="1" w:styleId="21">
    <w:name w:val="标题 2 字符"/>
    <w:link w:val="3"/>
    <w:qFormat/>
    <w:uiPriority w:val="9"/>
    <w:rPr>
      <w:rFonts w:ascii="等线 Light" w:hAnsi="等线 Light" w:eastAsia="等线 Light"/>
      <w:b/>
      <w:bCs/>
      <w:kern w:val="2"/>
      <w:sz w:val="32"/>
      <w:szCs w:val="32"/>
    </w:rPr>
  </w:style>
  <w:style w:type="character" w:customStyle="1" w:styleId="22">
    <w:name w:val="标题 4 字符"/>
    <w:link w:val="5"/>
    <w:qFormat/>
    <w:uiPriority w:val="9"/>
    <w:rPr>
      <w:rFonts w:ascii="等线 Light" w:hAnsi="等线 Light" w:eastAsia="等线 Light"/>
      <w:b/>
      <w:bCs/>
      <w:kern w:val="2"/>
      <w:sz w:val="28"/>
      <w:szCs w:val="28"/>
    </w:rPr>
  </w:style>
  <w:style w:type="character" w:customStyle="1" w:styleId="23">
    <w:name w:val="正文文本缩进 字符"/>
    <w:link w:val="9"/>
    <w:qFormat/>
    <w:uiPriority w:val="0"/>
    <w:rPr>
      <w:rFonts w:ascii="宋体" w:hAnsi="宋体" w:eastAsia="等线"/>
      <w:kern w:val="2"/>
      <w:sz w:val="24"/>
      <w:szCs w:val="22"/>
    </w:rPr>
  </w:style>
  <w:style w:type="character" w:customStyle="1" w:styleId="24">
    <w:name w:val="副标题 字符"/>
    <w:link w:val="13"/>
    <w:qFormat/>
    <w:uiPriority w:val="0"/>
    <w:rPr>
      <w:rFonts w:ascii="等线 Light" w:hAnsi="等线 Light" w:cs="Times New Roman"/>
      <w:b/>
      <w:bCs/>
      <w:kern w:val="28"/>
      <w:sz w:val="32"/>
      <w:szCs w:val="32"/>
    </w:rPr>
  </w:style>
  <w:style w:type="character" w:customStyle="1" w:styleId="25">
    <w:name w:val="标题 字符"/>
    <w:link w:val="14"/>
    <w:qFormat/>
    <w:uiPriority w:val="0"/>
    <w:rPr>
      <w:rFonts w:ascii="等线 Light" w:hAnsi="等线 Light" w:cs="Times New Roman"/>
      <w:b/>
      <w:bCs/>
      <w:kern w:val="2"/>
      <w:sz w:val="32"/>
      <w:szCs w:val="32"/>
    </w:rPr>
  </w:style>
  <w:style w:type="paragraph" w:customStyle="1" w:styleId="26">
    <w:name w:val="Char1"/>
    <w:basedOn w:val="1"/>
    <w:qFormat/>
    <w:uiPriority w:val="0"/>
    <w:rPr>
      <w:rFonts w:ascii="Times New Roman" w:hAnsi="Times New Roman"/>
      <w:sz w:val="24"/>
    </w:rPr>
  </w:style>
  <w:style w:type="paragraph" w:customStyle="1" w:styleId="27">
    <w:name w:val="www正文"/>
    <w:basedOn w:val="1"/>
    <w:qFormat/>
    <w:uiPriority w:val="0"/>
    <w:pPr>
      <w:ind w:firstLine="480" w:firstLineChars="200"/>
    </w:pPr>
    <w:rPr>
      <w:rFonts w:ascii="Times New Roman" w:hAnsi="Times New Roman"/>
    </w:rPr>
  </w:style>
  <w:style w:type="paragraph" w:styleId="28">
    <w:name w:val="List Paragraph"/>
    <w:basedOn w:val="1"/>
    <w:link w:val="29"/>
    <w:qFormat/>
    <w:uiPriority w:val="34"/>
    <w:pPr>
      <w:ind w:firstLine="420" w:firstLineChars="200"/>
    </w:pPr>
  </w:style>
  <w:style w:type="character" w:customStyle="1" w:styleId="29">
    <w:name w:val="列表段落 字符"/>
    <w:link w:val="28"/>
    <w:qFormat/>
    <w:locked/>
    <w:uiPriority w:val="34"/>
    <w:rPr>
      <w:rFonts w:ascii="Calibri" w:hAnsi="Calibri"/>
      <w:kern w:val="2"/>
      <w:sz w:val="21"/>
      <w:szCs w:val="24"/>
    </w:rPr>
  </w:style>
  <w:style w:type="character" w:customStyle="1" w:styleId="30">
    <w:name w:val="方案正文 Char"/>
    <w:link w:val="31"/>
    <w:qFormat/>
    <w:uiPriority w:val="0"/>
    <w:rPr>
      <w:rFonts w:ascii="华文细黑" w:hAnsi="华文细黑" w:eastAsia="华文细黑"/>
      <w:sz w:val="24"/>
      <w:szCs w:val="24"/>
    </w:rPr>
  </w:style>
  <w:style w:type="paragraph" w:customStyle="1" w:styleId="31">
    <w:name w:val="方案正文"/>
    <w:basedOn w:val="1"/>
    <w:link w:val="30"/>
    <w:qFormat/>
    <w:uiPriority w:val="0"/>
    <w:pPr>
      <w:spacing w:before="120" w:line="360" w:lineRule="auto"/>
      <w:ind w:firstLine="425" w:firstLineChars="177"/>
    </w:pPr>
    <w:rPr>
      <w:rFonts w:ascii="华文细黑" w:hAnsi="华文细黑" w:eastAsia="华文细黑"/>
      <w:kern w:val="0"/>
      <w:sz w:val="24"/>
    </w:rPr>
  </w:style>
  <w:style w:type="character" w:customStyle="1" w:styleId="32">
    <w:name w:val="样式1 Char Char"/>
    <w:link w:val="33"/>
    <w:qFormat/>
    <w:locked/>
    <w:uiPriority w:val="0"/>
    <w:rPr>
      <w:rFonts w:ascii="Arial" w:hAnsi="Arial"/>
      <w:kern w:val="2"/>
      <w:sz w:val="21"/>
      <w:szCs w:val="24"/>
    </w:rPr>
  </w:style>
  <w:style w:type="paragraph" w:customStyle="1" w:styleId="33">
    <w:name w:val="样式1"/>
    <w:basedOn w:val="1"/>
    <w:link w:val="32"/>
    <w:qFormat/>
    <w:uiPriority w:val="0"/>
    <w:pPr>
      <w:adjustRightInd w:val="0"/>
      <w:snapToGrid w:val="0"/>
      <w:spacing w:line="360" w:lineRule="exact"/>
      <w:ind w:firstLine="200" w:firstLineChars="200"/>
      <w:jc w:val="left"/>
    </w:pPr>
    <w:rPr>
      <w:rFonts w:ascii="Arial" w:hAnsi="Arial"/>
    </w:rPr>
  </w:style>
  <w:style w:type="paragraph" w:customStyle="1" w:styleId="34">
    <w:name w:val="正文_0"/>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1721</Words>
  <Characters>1842</Characters>
  <Lines>131</Lines>
  <Paragraphs>114</Paragraphs>
  <TotalTime>0</TotalTime>
  <ScaleCrop>false</ScaleCrop>
  <LinksUpToDate>false</LinksUpToDate>
  <CharactersWithSpaces>3449</CharactersWithSpaces>
  <Application>WPS Office_12.8.2.17838_F1E327BC-269C-435d-A152-05C5408002CA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2024-12-23T00:22:00Z</dcterms:created>
  <dc:creator>Administrator</dc:creator>
  <cp:lastModifiedBy>Leo</cp:lastModifiedBy>
  <cp:lastPrinted>2025-10-27T01:07:00Z</cp:lastPrinted>
  <dcterms:modified xsi:type="dcterms:W3CDTF">2026-06-10T03:10:28Z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2052-12.8.2.17838</vt:lpwstr>
  </property>
  <property fmtid="{D5CDD505-2E9C-101B-9397-08002B2CF9AE}" pid="3" name="ICV">
    <vt:lpwstr>90005E0338534CDDA1A68F1D6E329E8F_13</vt:lpwstr>
  </property>
</Properties>
</file>