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全自动微生物质谱检测系统具体由三个系统构成，系统一：飞行质谱；系统二：串联质谱；系统三；ICP-MS；整套系统包括全自动样本前处理装置、飞行质谱仪，串联质谱仪以及微量元素质谱仪、高性能冷却循环水系统、UPS电源以及电脑工作站等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（一）系统一：飞行质谱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1.激光器：频率1-50Hz可调，激光聚焦直径可调，可控制激光功率和激光靶值。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2.飞行管具备温度补偿技术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3.检测范围：分子量范围1-500kDa。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4.灵敏度：≤20fmol/μL； BSA(m/z 66,000)  S/N≥200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5.质量准确度≤60ppm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6.样品板：有可扫描条码，满足可追溯性；可提供同品牌一次性靶板和重复使用不锈钢靶板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7.可以进行多肽与蛋白生物标志物、核酸检测与核酸引物的分析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8提供微生物质谱基质试剂，为无需配制可直接使用的稳定液体剂型，可室温保存，且取得临床注册证。 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9.自动化数据采集，谱图采集和鉴定检索在同一个软件内同步完成，无需切换软件；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10.可以与采购人单位现有的LIS/HIS系统实现无缝对接，可实现病人样品信息录入、实验数据存储及统计分析、报告审核、打印分发等功能。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11.为保障用户数据安全，必须具备本地微生物菌种数据库，且鉴定菌种5000种及以上，丝状真菌数据库超过500种。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12.可提供小分子耐药检测功能，支持β内酰胺酶活性检测，以判断菌株的耐药性；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（二）系统二：串联质谱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1.质谱质量范围m/z：50-3000。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2.质谱质量稳定性：≤0.1amu/24小时。质谱质量精度：≤0.15amu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3.质谱最大扫描速度≥15,000amu/sec；极性切换时间≤15msec。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4.质谱灵敏度：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4.1   ESI+模式达到1pg利血平，过柱检测 m/z609 ＞195，S/N≥500,000；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4.2   ESI-模式达到1pg氯霉素，过柱检测 m/z321＞152，S/N≥500,000。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5.质谱碰撞池：可弯曲加速高压聚焦碰撞池设计。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8.质谱离子源：可加热电喷雾离子源。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9.色谱柱切换性能：可自动切换色谱柱。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10.液相色谱液路数量：≥4个。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11.液相色谱进样精度：≤0.2%进样相对偏差(RSD)。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12.液相色谱准确度：≤±0.5%</w:t>
      </w:r>
    </w:p>
    <w:p>
      <w:pPr>
        <w:pStyle w:val="2"/>
        <w:ind w:firstLine="480" w:firstLineChars="200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13.梯度泵：采用二元高压梯度泵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12.检测项目：抗癫痫类药物浓度检测、抗抑郁类药物浓度检测、抗精神类药物浓度检测、抗肿瘤/抗排异反应药物浓度检测、抗肝肾移植排异反应药物浓度检测、抗⽣生素类药物浓度检测、治疗⼼心律律失常药物浓度检测、脂溶性维⽣生素检测、水溶性维⽣生素检测、氨基酸检测、胆汁酸检测、(游离)脂肪酸检测、儿茶酚胺检测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13.样本处理系统：提供全自动前处理平台，实现人体内维生素及代谢类物质的全自动化提取纯化、质谱样本前处理以及常规液体标本处理工作。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14.碰撞气和雾化气都采用氮气，无需引入其他气体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（三）系统三：ICP-MS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1.分析质量范围m/z：10-260。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2.质谱质量稳定性：≤0.05amu/24小时。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3.标准模式下灵敏度：低质量数(Li):＞50M cps/ppm；</w:t>
      </w:r>
    </w:p>
    <w:p>
      <w:pPr>
        <w:snapToGrid w:val="0"/>
        <w:spacing w:line="400" w:lineRule="exact"/>
        <w:ind w:firstLine="2880" w:firstLineChars="1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中质量数(Y 或 In):＞150Mcps/ppm；</w:t>
      </w:r>
    </w:p>
    <w:p>
      <w:pPr>
        <w:snapToGrid w:val="0"/>
        <w:spacing w:line="400" w:lineRule="exact"/>
        <w:ind w:firstLine="2880" w:firstLineChars="1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高质量数(Tl 或 U):＞200Mcps/ppm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4.仪器检出限：  轻质量数元素:＜0.5ppt；</w:t>
      </w:r>
    </w:p>
    <w:p>
      <w:pPr>
        <w:snapToGrid w:val="0"/>
        <w:spacing w:line="400" w:lineRule="exact"/>
        <w:ind w:firstLine="2400" w:firstLineChars="10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中质量数元素:＜0.2ppt；</w:t>
      </w:r>
    </w:p>
    <w:p>
      <w:pPr>
        <w:snapToGrid w:val="0"/>
        <w:spacing w:line="400" w:lineRule="exact"/>
        <w:ind w:firstLine="2400" w:firstLineChars="10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高质量数元素:＜0.2ppt；</w:t>
      </w:r>
    </w:p>
    <w:p>
      <w:pPr>
        <w:numPr>
          <w:ilvl w:val="0"/>
          <w:numId w:val="0"/>
        </w:numPr>
        <w:snapToGrid w:val="0"/>
        <w:spacing w:line="400" w:lineRule="exact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5.精密度：测定钙、镁、铁、铜、锌、硒、锰、铅、镉、汞、以及碘等元素的≤5%。</w:t>
      </w:r>
    </w:p>
    <w:p>
      <w:pPr>
        <w:numPr>
          <w:ilvl w:val="0"/>
          <w:numId w:val="0"/>
        </w:num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7.四极杆材料：纯金属钼材料四极杆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8.质谱碰撞池：要求配置有四极杆设计，具备低质量数剔除功能。</w:t>
      </w:r>
    </w:p>
    <w:p>
      <w:pPr>
        <w:snapToGrid w:val="0"/>
        <w:spacing w:line="400" w:lineRule="exact"/>
        <w:ind w:firstLine="480" w:firstLineChars="200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9.检测项目：适用于各种样品的元素分析（包括但不限于钙、镁、铁、铜、锌、硒、锰、铅、镉、汞、以及碘）且具有二类医疗器械注册证。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10.符合临床使用的全中文操作软件，并根据临床需求需包含样本检测、样本分析、样本数据、系统管理等模块，可以与采购人单位现有的LIS/HIS系统实现无缝对接，可实现病人样品信息录入、实验数据存储及统计分析、报告审核、打印分发等功能</w:t>
      </w:r>
    </w:p>
    <w:p>
      <w:pPr>
        <w:pStyle w:val="2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>
      <w:pPr>
        <w:pStyle w:val="2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质保期要求：不低于5年</w:t>
      </w:r>
      <w:bookmarkStart w:id="0" w:name="_GoBack"/>
      <w:bookmarkEnd w:id="0"/>
    </w:p>
    <w:p>
      <w:pPr>
        <w:spacing w:line="360" w:lineRule="auto"/>
        <w:ind w:firstLine="6720" w:firstLineChars="2800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00625267"/>
    <w:rsid w:val="000803A3"/>
    <w:rsid w:val="000C42EA"/>
    <w:rsid w:val="00126DD7"/>
    <w:rsid w:val="00204E29"/>
    <w:rsid w:val="002D73AE"/>
    <w:rsid w:val="003A0BA6"/>
    <w:rsid w:val="003E5962"/>
    <w:rsid w:val="0049434C"/>
    <w:rsid w:val="004E33EE"/>
    <w:rsid w:val="005D6DD5"/>
    <w:rsid w:val="00611E19"/>
    <w:rsid w:val="00625267"/>
    <w:rsid w:val="00696DE0"/>
    <w:rsid w:val="006B7B3C"/>
    <w:rsid w:val="007B06BC"/>
    <w:rsid w:val="007B32EC"/>
    <w:rsid w:val="007E73C3"/>
    <w:rsid w:val="00871098"/>
    <w:rsid w:val="00986540"/>
    <w:rsid w:val="00B148B3"/>
    <w:rsid w:val="00B307FA"/>
    <w:rsid w:val="00B410F5"/>
    <w:rsid w:val="00B641C1"/>
    <w:rsid w:val="00B80C91"/>
    <w:rsid w:val="00BF5F19"/>
    <w:rsid w:val="00C42DA4"/>
    <w:rsid w:val="00C44E3A"/>
    <w:rsid w:val="00CB66D6"/>
    <w:rsid w:val="00CC4247"/>
    <w:rsid w:val="00DA463E"/>
    <w:rsid w:val="00E4778C"/>
    <w:rsid w:val="00F15B41"/>
    <w:rsid w:val="00FA2B54"/>
    <w:rsid w:val="00FA3699"/>
    <w:rsid w:val="014B5A76"/>
    <w:rsid w:val="0530678A"/>
    <w:rsid w:val="07164002"/>
    <w:rsid w:val="07F43A9E"/>
    <w:rsid w:val="0ABC6B1B"/>
    <w:rsid w:val="1A345F7C"/>
    <w:rsid w:val="1B7C5E2D"/>
    <w:rsid w:val="209F4245"/>
    <w:rsid w:val="22185880"/>
    <w:rsid w:val="27E210B1"/>
    <w:rsid w:val="292D0714"/>
    <w:rsid w:val="306661A9"/>
    <w:rsid w:val="31B93291"/>
    <w:rsid w:val="36AE1261"/>
    <w:rsid w:val="377E134E"/>
    <w:rsid w:val="39011ED9"/>
    <w:rsid w:val="445443C8"/>
    <w:rsid w:val="47D35E55"/>
    <w:rsid w:val="4A845101"/>
    <w:rsid w:val="4BDF40AA"/>
    <w:rsid w:val="516C7C68"/>
    <w:rsid w:val="52204430"/>
    <w:rsid w:val="53473ADE"/>
    <w:rsid w:val="58BD5526"/>
    <w:rsid w:val="620C10EB"/>
    <w:rsid w:val="65815627"/>
    <w:rsid w:val="65996E48"/>
    <w:rsid w:val="6B20545A"/>
    <w:rsid w:val="6C386750"/>
    <w:rsid w:val="738B3ADB"/>
    <w:rsid w:val="76332189"/>
    <w:rsid w:val="779A7191"/>
    <w:rsid w:val="7C800103"/>
    <w:rsid w:val="7C83602E"/>
    <w:rsid w:val="7D6051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tabs>
        <w:tab w:val="left" w:pos="3360"/>
      </w:tabs>
      <w:snapToGrid w:val="0"/>
      <w:spacing w:before="100" w:beforeLines="100" w:beforeAutospacing="0" w:after="50" w:afterLines="50" w:afterAutospacing="0" w:line="800" w:lineRule="atLeast"/>
      <w:jc w:val="center"/>
      <w:outlineLvl w:val="0"/>
    </w:pPr>
    <w:rPr>
      <w:rFonts w:ascii="Times New Roman" w:hAnsi="Times New Roman" w:eastAsia="宋体"/>
      <w:sz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widowControl/>
      <w:tabs>
        <w:tab w:val="left" w:pos="1134"/>
      </w:tabs>
      <w:adjustRightInd w:val="0"/>
      <w:snapToGrid w:val="0"/>
      <w:spacing w:line="280" w:lineRule="atLeast"/>
      <w:jc w:val="left"/>
    </w:pPr>
    <w:rPr>
      <w:rFonts w:eastAsia="PMingLiU"/>
      <w:kern w:val="0"/>
      <w:sz w:val="24"/>
      <w:lang w:eastAsia="zh-TW"/>
    </w:rPr>
  </w:style>
  <w:style w:type="paragraph" w:styleId="5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6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"/>
    <w:basedOn w:val="1"/>
    <w:next w:val="1"/>
    <w:qFormat/>
    <w:uiPriority w:val="99"/>
    <w:pPr>
      <w:spacing w:after="120" w:line="275" w:lineRule="atLeast"/>
      <w:ind w:firstLine="420"/>
      <w:textAlignment w:val="baseline"/>
    </w:pPr>
  </w:style>
  <w:style w:type="paragraph" w:styleId="10">
    <w:name w:val="Body Text First Indent 2"/>
    <w:basedOn w:val="5"/>
    <w:semiHidden/>
    <w:unhideWhenUsed/>
    <w:qFormat/>
    <w:uiPriority w:val="99"/>
    <w:pPr>
      <w:ind w:firstLine="420" w:firstLineChars="200"/>
    </w:pPr>
  </w:style>
  <w:style w:type="character" w:customStyle="1" w:styleId="13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customStyle="1" w:styleId="14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font71"/>
    <w:qFormat/>
    <w:uiPriority w:val="0"/>
    <w:rPr>
      <w:rFonts w:hint="default" w:ascii="等线" w:hAnsi="等线" w:eastAsia="等线" w:cs="等线"/>
      <w:b/>
      <w:color w:val="000000"/>
      <w:sz w:val="20"/>
      <w:szCs w:val="20"/>
      <w:u w:val="none"/>
    </w:rPr>
  </w:style>
  <w:style w:type="character" w:customStyle="1" w:styleId="17">
    <w:name w:val="font51"/>
    <w:qFormat/>
    <w:uiPriority w:val="0"/>
    <w:rPr>
      <w:rFonts w:hint="default" w:ascii="等线" w:hAnsi="等线" w:eastAsia="等线" w:cs="等线"/>
      <w:color w:val="000000"/>
      <w:sz w:val="20"/>
      <w:szCs w:val="20"/>
      <w:u w:val="none"/>
    </w:rPr>
  </w:style>
  <w:style w:type="character" w:customStyle="1" w:styleId="18">
    <w:name w:val="font101"/>
    <w:qFormat/>
    <w:uiPriority w:val="0"/>
    <w:rPr>
      <w:rFonts w:ascii="Microsoft YaHei UI" w:hAnsi="Microsoft YaHei UI" w:eastAsia="Microsoft YaHei UI" w:cs="Microsoft YaHei UI"/>
      <w:color w:val="000000"/>
      <w:sz w:val="20"/>
      <w:szCs w:val="20"/>
      <w:u w:val="none"/>
    </w:rPr>
  </w:style>
  <w:style w:type="character" w:customStyle="1" w:styleId="19">
    <w:name w:val="font91"/>
    <w:qFormat/>
    <w:uiPriority w:val="0"/>
    <w:rPr>
      <w:rFonts w:ascii="Malgun Gothic" w:hAnsi="Malgun Gothic" w:eastAsia="Malgun Gothic" w:cs="Malgun Gothic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1355</Words>
  <Characters>1664</Characters>
  <Lines>3</Lines>
  <Paragraphs>1</Paragraphs>
  <TotalTime>2</TotalTime>
  <ScaleCrop>false</ScaleCrop>
  <LinksUpToDate>false</LinksUpToDate>
  <CharactersWithSpaces>1687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2018-07-11T05:54:00Z</dcterms:created>
  <dc:creator>pc</dc:creator>
  <cp:lastModifiedBy>邓思建</cp:lastModifiedBy>
  <dcterms:modified xsi:type="dcterms:W3CDTF">2025-02-06T09:08:25Z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7F7EAE39B9F543BCBBE65FE0BD602BF7_13</vt:lpwstr>
  </property>
  <property fmtid="{D5CDD505-2E9C-101B-9397-08002B2CF9AE}" pid="4" name="KSOTemplateDocerSaveRecord">
    <vt:lpwstr>eyJoZGlkIjoiYzZkNzQ4ZWFiZmQ4NTRhOWRkZTk3YTMwMjlmMmZhYmUiLCJ1c2VySWQiOiI0MjAxOTA1MTQifQ==</vt:lpwstr>
  </property>
</Properties>
</file>