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7F1BE">
      <w:pPr>
        <w:jc w:val="center"/>
        <w:rPr>
          <w:rFonts w:ascii="宋体" w:hAnsi="宋体"/>
          <w:b/>
          <w:bCs/>
          <w:sz w:val="44"/>
          <w:szCs w:val="44"/>
        </w:rPr>
      </w:pPr>
      <w:bookmarkStart w:id="0" w:name="_GoBack"/>
      <w:r>
        <w:rPr>
          <w:rFonts w:hint="eastAsia" w:ascii="宋体" w:hAnsi="宋体"/>
          <w:b/>
          <w:bCs/>
          <w:sz w:val="44"/>
          <w:szCs w:val="44"/>
        </w:rPr>
        <w:t>重庆医科大学附属儿童医院</w:t>
      </w:r>
    </w:p>
    <w:p w14:paraId="50624878">
      <w:pPr>
        <w:ind w:firstLine="883" w:firstLineChars="200"/>
        <w:rPr>
          <w:rFonts w:hint="default" w:eastAsiaTheme="minorEastAsia"/>
          <w:sz w:val="28"/>
          <w:lang w:val="en-US" w:eastAsia="zh-CN"/>
        </w:rPr>
      </w:pP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处方流转平台药企服务商服务要求</w:t>
      </w:r>
      <w:bookmarkEnd w:id="0"/>
    </w:p>
    <w:p w14:paraId="4501ADD9">
      <w:pPr>
        <w:spacing w:line="360" w:lineRule="auto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一、项目概况</w:t>
      </w:r>
    </w:p>
    <w:p w14:paraId="19968E0D">
      <w:pPr>
        <w:pStyle w:val="11"/>
        <w:spacing w:line="360" w:lineRule="auto"/>
        <w:ind w:firstLine="48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为保证医院互联网</w:t>
      </w:r>
      <w:r>
        <w:rPr>
          <w:rFonts w:hint="eastAsia" w:ascii="宋体" w:hAnsi="宋体"/>
          <w:sz w:val="24"/>
          <w:szCs w:val="24"/>
          <w:lang w:val="en-US" w:eastAsia="zh-CN"/>
        </w:rPr>
        <w:t>医院处方流转平台稳定</w:t>
      </w:r>
      <w:r>
        <w:rPr>
          <w:rFonts w:hint="eastAsia" w:ascii="宋体" w:hAnsi="宋体"/>
          <w:sz w:val="24"/>
          <w:szCs w:val="24"/>
        </w:rPr>
        <w:t>运行，本次采购</w:t>
      </w:r>
      <w:r>
        <w:rPr>
          <w:rFonts w:hint="eastAsia" w:ascii="宋体" w:hAnsi="宋体"/>
          <w:sz w:val="24"/>
          <w:szCs w:val="24"/>
          <w:lang w:val="en-US" w:eastAsia="zh-CN"/>
        </w:rPr>
        <w:t>基于我院互联网医院的处方流转配送服务，</w:t>
      </w: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负责我院互联网医院线上流转处方配送工作，</w:t>
      </w:r>
      <w:r>
        <w:rPr>
          <w:rFonts w:hint="eastAsia" w:ascii="Times New Roman" w:hAnsi="Times New Roman" w:eastAsia="宋体" w:cs="Times New Roman"/>
          <w:sz w:val="24"/>
          <w:szCs w:val="32"/>
        </w:rPr>
        <w:t>有较好的流转经验和强大的品种组织及配送能力</w:t>
      </w:r>
      <w:r>
        <w:rPr>
          <w:rFonts w:hint="eastAsia" w:ascii="Times New Roman" w:hAnsi="Times New Roman" w:eastAsia="宋体" w:cs="Times New Roman"/>
          <w:sz w:val="24"/>
          <w:szCs w:val="32"/>
          <w:lang w:eastAsia="zh-CN"/>
        </w:rPr>
        <w:t>。</w:t>
      </w:r>
    </w:p>
    <w:p w14:paraId="73BD1ECC">
      <w:pPr>
        <w:spacing w:line="360" w:lineRule="auto"/>
        <w:jc w:val="left"/>
        <w:rPr>
          <w:rFonts w:hint="eastAsia"/>
          <w:sz w:val="28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二、技术参数及服务要求</w:t>
      </w:r>
    </w:p>
    <w:tbl>
      <w:tblPr>
        <w:tblStyle w:val="7"/>
        <w:tblpPr w:leftFromText="180" w:rightFromText="180" w:vertAnchor="text" w:horzAnchor="page" w:tblpX="1786" w:tblpY="78"/>
        <w:tblOverlap w:val="never"/>
        <w:tblW w:w="84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2915"/>
        <w:gridCol w:w="5121"/>
      </w:tblGrid>
      <w:tr w14:paraId="203C4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" w:type="dxa"/>
            <w:vAlign w:val="center"/>
          </w:tcPr>
          <w:p w14:paraId="2CECAC3F">
            <w:pPr>
              <w:bidi w:val="0"/>
            </w:pPr>
            <w:r>
              <w:rPr>
                <w:rFonts w:hint="eastAsia"/>
              </w:rPr>
              <w:t>序号</w:t>
            </w:r>
          </w:p>
        </w:tc>
        <w:tc>
          <w:tcPr>
            <w:tcW w:w="2977" w:type="dxa"/>
            <w:vAlign w:val="center"/>
          </w:tcPr>
          <w:p w14:paraId="2FEDD9D6">
            <w:pPr>
              <w:widowControl/>
              <w:spacing w:line="360" w:lineRule="exact"/>
              <w:jc w:val="center"/>
              <w:rPr>
                <w:rFonts w:hint="default" w:ascii="方正黑体_GBK" w:hAnsi="方正黑体_GBK" w:eastAsia="方正黑体_GBK" w:cs="仿宋"/>
                <w:bCs/>
                <w:sz w:val="28"/>
                <w:szCs w:val="30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仿宋"/>
                <w:bCs/>
                <w:sz w:val="28"/>
                <w:szCs w:val="30"/>
                <w:lang w:val="en-US" w:eastAsia="zh-CN"/>
              </w:rPr>
              <w:t>服务类别</w:t>
            </w:r>
          </w:p>
        </w:tc>
        <w:tc>
          <w:tcPr>
            <w:tcW w:w="5245" w:type="dxa"/>
            <w:vAlign w:val="center"/>
          </w:tcPr>
          <w:p w14:paraId="1E51EF6A">
            <w:pPr>
              <w:widowControl/>
              <w:spacing w:line="360" w:lineRule="exact"/>
              <w:jc w:val="center"/>
              <w:rPr>
                <w:rFonts w:hint="eastAsia" w:ascii="方正黑体_GBK" w:hAnsi="方正黑体_GBK" w:eastAsia="方正黑体_GBK" w:cs="仿宋"/>
                <w:bCs/>
                <w:sz w:val="28"/>
                <w:szCs w:val="30"/>
                <w:lang w:eastAsia="zh-CN"/>
              </w:rPr>
            </w:pPr>
            <w:r>
              <w:rPr>
                <w:rFonts w:hint="eastAsia" w:ascii="方正黑体_GBK" w:hAnsi="方正黑体_GBK" w:eastAsia="方正黑体_GBK" w:cs="仿宋"/>
                <w:bCs/>
                <w:sz w:val="28"/>
                <w:szCs w:val="30"/>
                <w:lang w:val="en-US" w:eastAsia="zh-CN"/>
              </w:rPr>
              <w:t>要求</w:t>
            </w:r>
          </w:p>
        </w:tc>
      </w:tr>
      <w:tr w14:paraId="0F23D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" w:type="dxa"/>
            <w:vAlign w:val="center"/>
          </w:tcPr>
          <w:p w14:paraId="3F932678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14:paraId="1875F52C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  <w:lang w:val="en-US" w:eastAsia="zh-CN"/>
              </w:rPr>
              <w:t>对接院内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处方流转系统</w:t>
            </w:r>
          </w:p>
        </w:tc>
        <w:tc>
          <w:tcPr>
            <w:tcW w:w="5245" w:type="dxa"/>
            <w:vAlign w:val="center"/>
          </w:tcPr>
          <w:p w14:paraId="2E7801CC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支持互联网医院、实体医院，向主管部门平台上传数据，具备权限管理、药品目录管理、药房管理、订单监管等。</w:t>
            </w:r>
          </w:p>
        </w:tc>
      </w:tr>
      <w:tr w14:paraId="5F61F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" w:type="dxa"/>
            <w:vAlign w:val="center"/>
          </w:tcPr>
          <w:p w14:paraId="3A0688BD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2</w:t>
            </w:r>
          </w:p>
        </w:tc>
        <w:tc>
          <w:tcPr>
            <w:tcW w:w="2977" w:type="dxa"/>
            <w:vAlign w:val="center"/>
          </w:tcPr>
          <w:p w14:paraId="140DE073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药品目录库建设、维护能力</w:t>
            </w:r>
          </w:p>
        </w:tc>
        <w:tc>
          <w:tcPr>
            <w:tcW w:w="5245" w:type="dxa"/>
            <w:vAlign w:val="center"/>
          </w:tcPr>
          <w:p w14:paraId="1FD58B0C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能根据重庆市儿童医院的药品目录，完成互联网医院的药品对码和动态维护以及药品配备。</w:t>
            </w:r>
          </w:p>
        </w:tc>
      </w:tr>
      <w:tr w14:paraId="3937F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" w:type="dxa"/>
            <w:vAlign w:val="center"/>
          </w:tcPr>
          <w:p w14:paraId="205E9EC7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14:paraId="2706F7CB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药品配送承接</w:t>
            </w:r>
          </w:p>
        </w:tc>
        <w:tc>
          <w:tcPr>
            <w:tcW w:w="5245" w:type="dxa"/>
            <w:vAlign w:val="center"/>
          </w:tcPr>
          <w:p w14:paraId="6AAAFAE1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能根据互联网医院患者需求完成药品配送到家。</w:t>
            </w:r>
          </w:p>
        </w:tc>
      </w:tr>
      <w:tr w14:paraId="1B220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" w:type="dxa"/>
            <w:vAlign w:val="center"/>
          </w:tcPr>
          <w:p w14:paraId="469BEC69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4</w:t>
            </w:r>
          </w:p>
        </w:tc>
        <w:tc>
          <w:tcPr>
            <w:tcW w:w="2977" w:type="dxa"/>
            <w:vAlign w:val="center"/>
          </w:tcPr>
          <w:p w14:paraId="3D3C02E3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重庆落地项目</w:t>
            </w:r>
            <w:r>
              <w:rPr>
                <w:rFonts w:ascii="宋体" w:hAnsi="宋体" w:eastAsia="宋体" w:cs="宋体"/>
                <w:color w:val="000000"/>
                <w:sz w:val="22"/>
                <w:szCs w:val="28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53BC1F35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具有重庆落地互联网医院合作案例</w:t>
            </w:r>
          </w:p>
        </w:tc>
      </w:tr>
      <w:tr w14:paraId="1BF94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" w:type="dxa"/>
            <w:vAlign w:val="center"/>
          </w:tcPr>
          <w:p w14:paraId="1E76D593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5</w:t>
            </w:r>
          </w:p>
        </w:tc>
        <w:tc>
          <w:tcPr>
            <w:tcW w:w="2977" w:type="dxa"/>
            <w:vAlign w:val="center"/>
          </w:tcPr>
          <w:p w14:paraId="57C16479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项目建设费用</w:t>
            </w:r>
          </w:p>
        </w:tc>
        <w:tc>
          <w:tcPr>
            <w:tcW w:w="5245" w:type="dxa"/>
            <w:vAlign w:val="center"/>
          </w:tcPr>
          <w:p w14:paraId="62BDE4EF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能支持医院互联网医院运营，提供必要的合理的接口改造费用</w:t>
            </w:r>
          </w:p>
        </w:tc>
      </w:tr>
      <w:tr w14:paraId="67725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" w:type="dxa"/>
            <w:vAlign w:val="center"/>
          </w:tcPr>
          <w:p w14:paraId="0E0040D8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14:paraId="2B0C8E47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其它服务</w:t>
            </w:r>
          </w:p>
        </w:tc>
        <w:tc>
          <w:tcPr>
            <w:tcW w:w="5245" w:type="dxa"/>
            <w:vAlign w:val="center"/>
          </w:tcPr>
          <w:p w14:paraId="6DA977A6">
            <w:pPr>
              <w:widowControl/>
              <w:spacing w:line="360" w:lineRule="exact"/>
              <w:rPr>
                <w:rFonts w:ascii="宋体" w:hAnsi="宋体" w:eastAsia="宋体" w:cs="宋体"/>
                <w:color w:val="000000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8"/>
              </w:rPr>
              <w:t>能提供咨询服务人员，为患者提供咨询及政策解释服务</w:t>
            </w:r>
          </w:p>
        </w:tc>
      </w:tr>
    </w:tbl>
    <w:p w14:paraId="2A0FE7B6">
      <w:pPr>
        <w:spacing w:line="360" w:lineRule="auto"/>
        <w:jc w:val="left"/>
        <w:rPr>
          <w:rFonts w:hint="eastAsia" w:ascii="宋体" w:hAnsi="宋体" w:cs="宋体"/>
          <w:b/>
          <w:sz w:val="28"/>
          <w:szCs w:val="28"/>
          <w:lang w:val="en-US" w:eastAsia="zh-CN"/>
        </w:rPr>
      </w:pPr>
    </w:p>
    <w:p w14:paraId="5E23563E">
      <w:pPr>
        <w:numPr>
          <w:ilvl w:val="0"/>
          <w:numId w:val="1"/>
        </w:numPr>
        <w:spacing w:line="360" w:lineRule="auto"/>
        <w:jc w:val="left"/>
        <w:rPr>
          <w:rFonts w:hint="eastAsia" w:ascii="宋体" w:hAnsi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报价要求</w:t>
      </w:r>
    </w:p>
    <w:p w14:paraId="2711ACB5">
      <w:pPr>
        <w:pStyle w:val="12"/>
        <w:ind w:left="0" w:leftChars="0" w:firstLine="0" w:firstLineChars="0"/>
        <w:jc w:val="left"/>
        <w:rPr>
          <w:rFonts w:ascii="宋体" w:hAnsi="宋体" w:eastAsia="宋体"/>
          <w:szCs w:val="28"/>
        </w:rPr>
      </w:pPr>
      <w:r>
        <w:rPr>
          <w:rFonts w:hint="eastAsia" w:ascii="宋体" w:hAnsi="宋体" w:eastAsia="宋体"/>
          <w:szCs w:val="28"/>
        </w:rPr>
        <w:t>1.按清单进行分别报价，如漏项则报价无效。</w:t>
      </w:r>
    </w:p>
    <w:p w14:paraId="6C1B60C3">
      <w:pPr>
        <w:pStyle w:val="12"/>
        <w:ind w:left="0" w:leftChars="0" w:firstLine="0" w:firstLineChars="0"/>
        <w:jc w:val="left"/>
        <w:rPr>
          <w:rFonts w:ascii="宋体" w:hAnsi="宋体" w:eastAsia="宋体"/>
          <w:szCs w:val="28"/>
        </w:rPr>
      </w:pPr>
      <w:r>
        <w:rPr>
          <w:rFonts w:hint="eastAsia" w:ascii="宋体" w:hAnsi="宋体" w:eastAsia="宋体"/>
          <w:szCs w:val="28"/>
        </w:rPr>
        <w:t>2.报价时需有单价、总价，并加盖公章。</w:t>
      </w:r>
    </w:p>
    <w:p w14:paraId="7B687727">
      <w:pPr>
        <w:pStyle w:val="12"/>
        <w:ind w:left="0" w:leftChars="0" w:firstLine="0" w:firstLineChars="0"/>
        <w:jc w:val="left"/>
        <w:rPr>
          <w:rFonts w:ascii="宋体" w:hAnsi="宋体"/>
          <w:szCs w:val="28"/>
        </w:rPr>
      </w:pPr>
      <w:r>
        <w:rPr>
          <w:rFonts w:hint="eastAsia" w:ascii="宋体" w:hAnsi="宋体" w:eastAsia="宋体"/>
          <w:szCs w:val="28"/>
        </w:rPr>
        <w:t>3.报价须为人民币报价，包含：服务费、车旅费、运输费（含装卸费）、保险费、安装调试费、系统迁移费、税费、培训费、专用维修设备的使用费等所有费用。</w:t>
      </w:r>
    </w:p>
    <w:p w14:paraId="297CC18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备注：本次公告时间为5天，5天后将开展市场调查，有意参与各公司请准备好相关资质和材料于2024年9月6日14:30到前往重庆医科大学附属儿童医院两江院区科教楼505参加市场调查。联系人：李老师 023 63635240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7A194E"/>
    <w:multiLevelType w:val="singleLevel"/>
    <w:tmpl w:val="C87A194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4ZGYxZTllMGVjNDI0NjcxZWZjYjI5MmE3ZTYxYTAifQ=="/>
  </w:docVars>
  <w:rsids>
    <w:rsidRoot w:val="009214E8"/>
    <w:rsid w:val="0001129A"/>
    <w:rsid w:val="003A73BF"/>
    <w:rsid w:val="00491F74"/>
    <w:rsid w:val="00561B64"/>
    <w:rsid w:val="005B1228"/>
    <w:rsid w:val="005D7DD6"/>
    <w:rsid w:val="00686024"/>
    <w:rsid w:val="009214E8"/>
    <w:rsid w:val="00AA7997"/>
    <w:rsid w:val="00AB7D42"/>
    <w:rsid w:val="00B37DA4"/>
    <w:rsid w:val="0E024DB7"/>
    <w:rsid w:val="0F6971EC"/>
    <w:rsid w:val="17E6130A"/>
    <w:rsid w:val="201B3400"/>
    <w:rsid w:val="6382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rPr>
      <w:rFonts w:ascii="宋体" w:hAnsi="宋体" w:cs="宋体"/>
      <w:sz w:val="28"/>
      <w:szCs w:val="28"/>
    </w:rPr>
  </w:style>
  <w:style w:type="paragraph" w:styleId="3">
    <w:name w:val="Body Text 2"/>
    <w:basedOn w:val="1"/>
    <w:semiHidden/>
    <w:qFormat/>
    <w:uiPriority w:val="0"/>
    <w:pPr>
      <w:adjustRightInd w:val="0"/>
      <w:snapToGrid w:val="0"/>
      <w:spacing w:after="120" w:line="480" w:lineRule="auto"/>
    </w:pPr>
    <w:rPr>
      <w:sz w:val="18"/>
      <w:szCs w:val="20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  <w:rPr>
      <w:szCs w:val="22"/>
    </w:rPr>
  </w:style>
  <w:style w:type="paragraph" w:customStyle="1" w:styleId="12">
    <w:name w:val="方案正文"/>
    <w:basedOn w:val="1"/>
    <w:qFormat/>
    <w:uiPriority w:val="0"/>
    <w:pPr>
      <w:spacing w:before="120" w:line="360" w:lineRule="auto"/>
      <w:ind w:firstLine="425" w:firstLineChars="177"/>
    </w:pPr>
    <w:rPr>
      <w:rFonts w:ascii="华文细黑" w:hAnsi="华文细黑" w:eastAsia="华文细黑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565</Words>
  <Characters>586</Characters>
  <Lines>2</Lines>
  <Paragraphs>1</Paragraphs>
  <TotalTime>56</TotalTime>
  <ScaleCrop>false</ScaleCrop>
  <LinksUpToDate>false</LinksUpToDate>
  <CharactersWithSpaces>589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2024-08-28T11:10:00Z</dcterms:created>
  <dc:creator>市场部</dc:creator>
  <cp:lastModifiedBy>李沁岭</cp:lastModifiedBy>
  <dcterms:modified xsi:type="dcterms:W3CDTF">2024-08-29T08:30:55Z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8E8B0E2DE22848F18D89C840FC97058D_12</vt:lpwstr>
  </property>
</Properties>
</file>