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CDECF">
      <w:pPr>
        <w:jc w:val="center"/>
        <w:rPr>
          <w:rFonts w:hint="eastAsia"/>
          <w:sz w:val="36"/>
          <w:szCs w:val="44"/>
        </w:rPr>
      </w:pPr>
      <w:r>
        <w:rPr>
          <w:rFonts w:hint="eastAsia"/>
          <w:sz w:val="36"/>
          <w:szCs w:val="44"/>
        </w:rPr>
        <w:t>重庆医科大学附属儿童医院</w:t>
      </w:r>
    </w:p>
    <w:p w14:paraId="5858ABB0">
      <w:pPr>
        <w:jc w:val="center"/>
        <w:rPr>
          <w:rFonts w:hint="eastAsia"/>
          <w:sz w:val="36"/>
          <w:szCs w:val="44"/>
        </w:rPr>
      </w:pPr>
      <w:r>
        <w:rPr>
          <w:rFonts w:hint="eastAsia"/>
          <w:sz w:val="36"/>
          <w:szCs w:val="44"/>
        </w:rPr>
        <w:t>设备维保服务采购需求</w:t>
      </w:r>
    </w:p>
    <w:p w14:paraId="14125C10">
      <w:pPr>
        <w:rPr>
          <w:rFonts w:hint="eastAsia"/>
        </w:rPr>
      </w:pPr>
    </w:p>
    <w:p w14:paraId="0DCD13A8">
      <w:pPr>
        <w:rPr>
          <w:rFonts w:hint="eastAsia"/>
        </w:rPr>
      </w:pPr>
      <w:r>
        <w:rPr>
          <w:rFonts w:hint="eastAsia"/>
        </w:rPr>
        <w:t>一、招标项目一览</w:t>
      </w:r>
      <w:bookmarkStart w:id="0" w:name="_GoBack"/>
      <w:bookmarkEnd w:id="0"/>
      <w:r>
        <w:rPr>
          <w:rFonts w:hint="eastAsia"/>
        </w:rPr>
        <w:t>表</w:t>
      </w:r>
    </w:p>
    <w:tbl>
      <w:tblPr>
        <w:tblStyle w:val="2"/>
        <w:tblW w:w="8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2623"/>
        <w:gridCol w:w="2235"/>
        <w:gridCol w:w="2642"/>
      </w:tblGrid>
      <w:tr w14:paraId="039A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15" w:type="dxa"/>
            <w:noWrap w:val="0"/>
            <w:vAlign w:val="center"/>
          </w:tcPr>
          <w:p w14:paraId="177620C3">
            <w:pPr>
              <w:pageBreakBefore w:val="0"/>
              <w:widowControl w:val="0"/>
              <w:shd w:val="clear" w:color="auto" w:fill="auto"/>
              <w:kinsoku/>
              <w:wordWrap/>
              <w:overflowPunct/>
              <w:topLinePunct w:val="0"/>
              <w:autoSpaceDE/>
              <w:autoSpaceDN/>
              <w:bidi w:val="0"/>
              <w:spacing w:line="44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2623" w:type="dxa"/>
            <w:noWrap w:val="0"/>
            <w:vAlign w:val="center"/>
          </w:tcPr>
          <w:p w14:paraId="2ABFC0B6">
            <w:pPr>
              <w:pageBreakBefore w:val="0"/>
              <w:widowControl w:val="0"/>
              <w:shd w:val="clear" w:color="auto" w:fill="auto"/>
              <w:kinsoku/>
              <w:wordWrap/>
              <w:overflowPunct/>
              <w:topLinePunct w:val="0"/>
              <w:autoSpaceDE/>
              <w:autoSpaceDN/>
              <w:bidi w:val="0"/>
              <w:spacing w:line="440" w:lineRule="exact"/>
              <w:jc w:val="center"/>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项目名称</w:t>
            </w:r>
          </w:p>
        </w:tc>
        <w:tc>
          <w:tcPr>
            <w:tcW w:w="2235" w:type="dxa"/>
            <w:noWrap w:val="0"/>
            <w:vAlign w:val="center"/>
          </w:tcPr>
          <w:p w14:paraId="437DD3C7">
            <w:pPr>
              <w:pageBreakBefore w:val="0"/>
              <w:widowControl w:val="0"/>
              <w:shd w:val="clear" w:color="auto" w:fill="auto"/>
              <w:kinsoku/>
              <w:wordWrap/>
              <w:overflowPunct/>
              <w:topLinePunct w:val="0"/>
              <w:autoSpaceDE/>
              <w:autoSpaceDN/>
              <w:bidi w:val="0"/>
              <w:spacing w:line="44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服务期限</w:t>
            </w:r>
          </w:p>
        </w:tc>
        <w:tc>
          <w:tcPr>
            <w:tcW w:w="2642" w:type="dxa"/>
            <w:noWrap w:val="0"/>
            <w:vAlign w:val="center"/>
          </w:tcPr>
          <w:p w14:paraId="38120007">
            <w:pPr>
              <w:pageBreakBefore w:val="0"/>
              <w:widowControl w:val="0"/>
              <w:shd w:val="clear" w:color="auto" w:fill="auto"/>
              <w:kinsoku/>
              <w:wordWrap/>
              <w:overflowPunct/>
              <w:topLinePunct w:val="0"/>
              <w:autoSpaceDE/>
              <w:autoSpaceDN/>
              <w:bidi w:val="0"/>
              <w:spacing w:line="44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66FE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15" w:type="dxa"/>
            <w:noWrap w:val="0"/>
            <w:vAlign w:val="center"/>
          </w:tcPr>
          <w:p w14:paraId="17EA88E2">
            <w:pPr>
              <w:pageBreakBefore w:val="0"/>
              <w:widowControl w:val="0"/>
              <w:shd w:val="clear" w:color="auto" w:fill="auto"/>
              <w:kinsoku/>
              <w:wordWrap/>
              <w:overflowPunct/>
              <w:topLinePunct w:val="0"/>
              <w:autoSpaceDE/>
              <w:autoSpaceDN/>
              <w:bidi w:val="0"/>
              <w:spacing w:line="440" w:lineRule="exact"/>
              <w:ind w:left="0"/>
              <w:jc w:val="center"/>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c>
          <w:tcPr>
            <w:tcW w:w="2623" w:type="dxa"/>
            <w:noWrap w:val="0"/>
            <w:vAlign w:val="center"/>
          </w:tcPr>
          <w:p w14:paraId="0CE1D255">
            <w:pPr>
              <w:pageBreakBefore w:val="0"/>
              <w:widowControl w:val="0"/>
              <w:shd w:val="clear" w:color="auto" w:fill="auto"/>
              <w:kinsoku/>
              <w:wordWrap/>
              <w:overflowPunct/>
              <w:topLinePunct w:val="0"/>
              <w:autoSpaceDE/>
              <w:autoSpaceDN/>
              <w:bidi w:val="0"/>
              <w:spacing w:line="44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急救及生命支持类设备、消毒供应中心、内镜室基础设备维保服务</w:t>
            </w:r>
          </w:p>
        </w:tc>
        <w:tc>
          <w:tcPr>
            <w:tcW w:w="2235" w:type="dxa"/>
            <w:noWrap w:val="0"/>
            <w:vAlign w:val="center"/>
          </w:tcPr>
          <w:p w14:paraId="5DE56EBB">
            <w:pPr>
              <w:pageBreakBefore w:val="0"/>
              <w:widowControl w:val="0"/>
              <w:shd w:val="clear" w:color="auto" w:fill="auto"/>
              <w:kinsoku/>
              <w:wordWrap/>
              <w:overflowPunct/>
              <w:topLinePunct w:val="0"/>
              <w:autoSpaceDE/>
              <w:autoSpaceDN/>
              <w:bidi w:val="0"/>
              <w:spacing w:line="440" w:lineRule="exact"/>
              <w:jc w:val="center"/>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2年</w:t>
            </w:r>
          </w:p>
        </w:tc>
        <w:tc>
          <w:tcPr>
            <w:tcW w:w="2642" w:type="dxa"/>
            <w:noWrap w:val="0"/>
            <w:vAlign w:val="center"/>
          </w:tcPr>
          <w:p w14:paraId="6E8BBB9B">
            <w:pPr>
              <w:pageBreakBefore w:val="0"/>
              <w:widowControl w:val="0"/>
              <w:shd w:val="clear" w:color="auto" w:fill="auto"/>
              <w:kinsoku/>
              <w:wordWrap/>
              <w:overflowPunct/>
              <w:topLinePunct w:val="0"/>
              <w:autoSpaceDE/>
              <w:autoSpaceDN/>
              <w:bidi w:val="0"/>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需有维修工程师等人员驻场，对维保目录内设备进行全托管维</w:t>
            </w:r>
            <w:r>
              <w:rPr>
                <w:rFonts w:hint="eastAsia" w:ascii="宋体" w:hAnsi="宋体" w:cs="宋体"/>
                <w:color w:val="auto"/>
                <w:sz w:val="24"/>
                <w:szCs w:val="24"/>
                <w:highlight w:val="none"/>
                <w:lang w:val="en-US" w:eastAsia="zh-CN"/>
              </w:rPr>
              <w:t>保</w:t>
            </w:r>
            <w:r>
              <w:rPr>
                <w:rFonts w:hint="eastAsia" w:ascii="宋体" w:hAnsi="宋体" w:eastAsia="宋体" w:cs="宋体"/>
                <w:color w:val="auto"/>
                <w:sz w:val="24"/>
                <w:szCs w:val="24"/>
                <w:highlight w:val="none"/>
                <w:lang w:val="en-US" w:eastAsia="zh-CN"/>
              </w:rPr>
              <w:t>维护</w:t>
            </w:r>
          </w:p>
        </w:tc>
      </w:tr>
    </w:tbl>
    <w:p w14:paraId="7FAD9FF8">
      <w:pPr>
        <w:rPr>
          <w:rFonts w:hint="eastAsia"/>
        </w:rPr>
      </w:pPr>
    </w:p>
    <w:p w14:paraId="729B65DF">
      <w:pPr>
        <w:rPr>
          <w:rFonts w:hint="eastAsia"/>
        </w:rPr>
      </w:pPr>
    </w:p>
    <w:p w14:paraId="65FB293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二、招标项目服务需求</w:t>
      </w:r>
    </w:p>
    <w:p w14:paraId="6D36CD0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（一）服务总概</w:t>
      </w:r>
    </w:p>
    <w:p w14:paraId="1DA8E59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1.总体要求</w:t>
      </w:r>
    </w:p>
    <w:p w14:paraId="572FF50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全托管：纳入全维保范围内在用医疗设备的维修、保养、管理服务，含设备配套器械维修。含项目内医疗设备维修维保的设备核心及常规配件、设备运行耗品（如腔镜等设备连接线、监护仪导联线、血氧探头、袖带及其延长管、无影灯灯泡、红蓝光灯泡、蓄电池、呼吸机氧电池及流量传感器、高压气管、压力容器密封圈等所有非一次性耗材）更换，设备所产生的所有维修、养护、质控等相关费用皆由投标人承担。故障设备更换配件需为全新配件，且不能降低设备性能。个别重要设备更换的所有配件均须为原装配件，具体见设备清单。</w:t>
      </w:r>
    </w:p>
    <w:p w14:paraId="532E285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（2）技术支持：对未在清单上的全院急救、生命支持类设备提供维修技术支持。</w:t>
      </w:r>
    </w:p>
    <w:p w14:paraId="4D2003D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2.服务内容及费用</w:t>
      </w:r>
    </w:p>
    <w:p w14:paraId="577B21A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维保服务内容包含：医疗设备操作培训服务，设备质控服务，设备保养服务，设备维修服务，计量检测辅助服务，设备管理服务，特种设备维护与全面检测等，相关费用皆由投标人承担。</w:t>
      </w:r>
    </w:p>
    <w:p w14:paraId="51DEA9E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（二）维保设备种类与数量</w:t>
      </w:r>
    </w:p>
    <w:p w14:paraId="3905CE2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具体详见附件《重庆医科大学附属儿童医院拟需维保设备目录》，具体以医院实际使用设备为准。</w:t>
      </w:r>
    </w:p>
    <w:p w14:paraId="65A6F0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（三）设备维保服务要求</w:t>
      </w:r>
    </w:p>
    <w:p w14:paraId="22A9CBD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1.维保服务标准及内容</w:t>
      </w:r>
    </w:p>
    <w:p w14:paraId="75CEEC3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依法合规维保：投标人在开展医疗设备维保服务工作中，须依据现行有效的中华人民共和国《医疗器械监督管理条例》《中华人民共和国计量法》《中华人民共和国法定计量单位》《医疗卫生机构医学装备管理办法》《医用电气设备要求》等法律及规范和重庆医科大学附属儿童医院相关制度条款要求进行。</w:t>
      </w:r>
    </w:p>
    <w:p w14:paraId="0F5FFB3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（2）维保实施计划：合同签订后，进行维保设备调查，根据调查情况制定年度维保方案（包含组织架构、制度、职责、流程、服务内容等，相关工作内容需规范化和模板化表格）。</w:t>
      </w:r>
    </w:p>
    <w:p w14:paraId="1031777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（3）设备运行状态评估：对医院设备工作状态进行调研诊断，出具诊断报告，以及改进计划。</w:t>
      </w:r>
    </w:p>
    <w:p w14:paraId="6934294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三级保养机制：建立健全的设备三级保养制度，工作要求按照《医疗器械使用质量监督管理办法》（国家食药监局18号令）等相关制度法规执行。制定计划并完成各类维保医疗设备年度三级保养工作，所有二、三级保养数据并以月度服务报告形式提交给医院设备管理部门。</w:t>
      </w:r>
    </w:p>
    <w:p w14:paraId="1CE7FC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（5）设备风险评估：协助医院设备管理部门按国家卫生部门要求对维保设备进行每年度1次的风险评估。需对新进设备进行实时风险评估，纳入响应风险等级目录进行管理。</w:t>
      </w:r>
    </w:p>
    <w:p w14:paraId="4E09D02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设备维修时效：维修响应时间≤10分钟，到达现场时间≤30分钟；集中维修设备一般24小时修复，一般故障最迟48小时内修复或提供备用机，重大故障72小时内修复或提供备用机。特殊进口设备维修时效超72小时，须提前向采购人沟通，最晚不得超过7个日历日完成修复。</w:t>
      </w:r>
    </w:p>
    <w:p w14:paraId="19CB4A6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（7）维修质控：设备维修必须进行内部质控，需要对设备进行必要的调校，达到设备标准技术要求，重要技术设备需要进行质控检测，检测报告需提交设备管理部门认可后签字确认。</w:t>
      </w:r>
    </w:p>
    <w:p w14:paraId="2E28557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（8）数据挖掘：长期跟踪维保报告（档案）管理并向医院提供相关设备运行情况及相关事件的各类统计数据、指标。通过维修数据提取，指导设备采购，避免采购易坏产品。</w:t>
      </w:r>
    </w:p>
    <w:p w14:paraId="3F6249D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（9）质量追踪：对高风险设备管理建立完整的质量追踪流程（对设备养护、维修、质控、计量等），形成模板并在月/季度工作总结中体现。</w:t>
      </w:r>
    </w:p>
    <w:p w14:paraId="5FFC449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备品备件：供应商须在国内设有易损零备件的备件仓库，确保每天24小时供应零配件（需提供备件库证明文件：场地图片、场地租期证明、备件库存图片）。其次，对于小额标准零配件，除本项目维保的设备外，我院其他的设备对小额标准零配件（OEM版本）的需求也有投标人提供</w:t>
      </w:r>
    </w:p>
    <w:p w14:paraId="2CBC13B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（11）设备管理辅助：协助医院完成医疗设备管理等级复审的相关工作。</w:t>
      </w:r>
    </w:p>
    <w:p w14:paraId="70841C4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2.维保范围内的设备完好率/开机率要求</w:t>
      </w:r>
    </w:p>
    <w:p w14:paraId="7176EBE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（1）维保范围内临床在用的急救、生命支持类设备完好率100%，完好率指设备能正常开机使用或有其他替代方案（如提供备用机等）。</w:t>
      </w:r>
    </w:p>
    <w:p w14:paraId="6ABA617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（2）维保范围内非急救、生命支持类设备，年完好率控制在95%以上</w:t>
      </w:r>
    </w:p>
    <w:p w14:paraId="58D03A8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3.设备的巡检保养和预防性维护要求</w:t>
      </w:r>
    </w:p>
    <w:p w14:paraId="0316372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（1）安全巡检及预防性维护：</w:t>
      </w:r>
    </w:p>
    <w:p w14:paraId="544B3E3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对全院的设备，要求每月完成一次安全巡检，即二级维护保养，发现故障、排查隐患，覆盖率100%，医用特种设备等特殊管理类设备按制度要求巡检；</w:t>
      </w:r>
    </w:p>
    <w:p w14:paraId="669E10F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（2）投标人确保用于急救、生命支持系统仪器装备始终保持待用状态，完成该类设备全生命周期管理的质控工作（国家部门检测除外）；保障设备正常功能的发挥。</w:t>
      </w:r>
    </w:p>
    <w:p w14:paraId="5EBE8F8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4.维保设备质量控制和第三方检测要求</w:t>
      </w:r>
    </w:p>
    <w:p w14:paraId="0B17DFB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(1)医疗设备质控检测内容及要求：</w:t>
      </w:r>
    </w:p>
    <w:p w14:paraId="31D6CB1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①供应商须做好全院设备及维修后设备的质控检测工作，保障设备的质量及使用安全。对全院所有设备都要做电气安全检测，重点对全院急救类及生命支持类设备开展质控工作，每年对除颤仪、呼吸机质控覆盖率达到100%，其他设备整体不低于20%（按科室也不低于20%）</w:t>
      </w:r>
    </w:p>
    <w:p w14:paraId="732F04A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②供应商在医疗设备维护管理过程中，维保清单内的设备若主要部件需更换，须保证更换备件为原厂全新备件；对附属及易损易耗部件的更换（如监护仪的导联线、氧传感器蓄电池类等），可提供全新的质量可靠的配件（原厂、副厂、第三方兼容等），维修后设备整机达到运行标准，每次设备关键部件维修后须开展质控工作，并提供质控记录。注：除颤仪电池失效后须更换原装原厂电池。</w:t>
      </w:r>
    </w:p>
    <w:p w14:paraId="5973538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③设备完成质控检测后需要出具质控检测报告</w:t>
      </w:r>
    </w:p>
    <w:p w14:paraId="11520F9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(2)维保范围内的医疗设备计量检测要求</w:t>
      </w:r>
    </w:p>
    <w:p w14:paraId="19CD207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①凡是在国家强检目录及纳入国家依法检测目录范围内的设备，投标人需协助采购人开展送检或现场检测工作，采购人承担检测费用。 </w:t>
      </w:r>
    </w:p>
    <w:p w14:paraId="102CC94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②投标人协助采购人完成计量检测报告归档</w:t>
      </w:r>
    </w:p>
    <w:p w14:paraId="6C381FF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5.设备仪器报废</w:t>
      </w:r>
    </w:p>
    <w:p w14:paraId="02EBD83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投标人根据设备报废参考因素，协助维保设备进行报废处理。</w:t>
      </w:r>
    </w:p>
    <w:p w14:paraId="3115C44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6.设备管理服务</w:t>
      </w:r>
    </w:p>
    <w:p w14:paraId="37F6BF0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（1）协助与配合采购人完成各类医疗设备的日常管理工作。</w:t>
      </w:r>
    </w:p>
    <w:p w14:paraId="581E437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7.设备使用及管理培训服务</w:t>
      </w:r>
    </w:p>
    <w:p w14:paraId="74FB538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（1）定期（或不定期）开展全院性质的设备使用、维护和管理培训。</w:t>
      </w:r>
    </w:p>
    <w:p w14:paraId="2BD8430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（四）维保技术人员配备及要求</w:t>
      </w:r>
    </w:p>
    <w:p w14:paraId="26818C4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提供2+1人员入驻，驻场工程师（周末及节假日可替代）实行365天×8小时驻场服务，夜间实行电话值守，有紧急情况须30分钟内赶往现场处理故障，技术负责人同国家法定工作日上下班。两边院区至少各配备1名设备维修工程师；在工作任务繁重时提供必要的备用工程师。</w:t>
      </w:r>
    </w:p>
    <w:p w14:paraId="47844E3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1、投标人驻场人员要求</w:t>
      </w:r>
    </w:p>
    <w:p w14:paraId="5E7E791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（1）投标人需自行承诺：派驻本项目的服务团队应具有机电、电子、超声、压力容器、生命支持类等设备相关维修能力。（提供相应证书）</w:t>
      </w:r>
    </w:p>
    <w:p w14:paraId="325B918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（2）投标人须承诺提供派驻本项目技术负责人1人，负责维保服务项目的全面管理。项目负责人为投标人常驻医院工作人员。</w:t>
      </w:r>
    </w:p>
    <w:p w14:paraId="5EF4B4A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（3）投标人须承诺至少提供派驻本项目的驻场服务工程师2人（投标人根据医院维保设备实际需求增加人员），负责日常设备维保工作。</w:t>
      </w:r>
    </w:p>
    <w:p w14:paraId="0670107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（4）投标人须承诺驻场工程师/质控检测人员经培训合格，具备医疗设备的维修资质和合法正规培训机构颁发的培训证书。（提供培训证书，格式自拟，并加盖公章）。</w:t>
      </w:r>
    </w:p>
    <w:p w14:paraId="513B0FE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（5）投标人与所有服务人员的一切事务及法律责任必须由投标人负责，医院不承担任何责任，投标人须与派驻服务人员签订正式劳动合同并购买五险。</w:t>
      </w:r>
    </w:p>
    <w:p w14:paraId="7F3D52B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（6）所有驻院工作人员必须统一管理。</w:t>
      </w:r>
    </w:p>
    <w:p w14:paraId="66ACE14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2、维保工程技术人员变更</w:t>
      </w:r>
    </w:p>
    <w:p w14:paraId="04438F3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（1）如投标人在服务过程中出现服务工程师人员变动，需提前15个日历日向院方提出书面申请及情况说明，院方对后续工程师资质以及相关资料认证后方可进行服务人员变更；</w:t>
      </w:r>
    </w:p>
    <w:p w14:paraId="6E097FE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（2）如投标人工程技术人员的维修技术水平未达到医院服务要求或考核要求的，医院有权要求更换工程技术人员，投标人需在7个日历日内补充工程技术人员。</w:t>
      </w:r>
    </w:p>
    <w:p w14:paraId="1C46D9E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p>
    <w:p w14:paraId="251F749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二、招标项目商务需求</w:t>
      </w:r>
    </w:p>
    <w:p w14:paraId="32E43EB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p>
    <w:p w14:paraId="06B1616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（一）、服务时间、地点及验收方式</w:t>
      </w:r>
    </w:p>
    <w:p w14:paraId="538AA7A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（一）实施时间：2年，如遇到不可抗原因（地震、疫情等自然灾害），必须根据设备停机时长或无法提供服务时长，顺延服务时间。 合同1年1签，第二年根据上一年合同履约情况决定是否续签。</w:t>
      </w:r>
    </w:p>
    <w:p w14:paraId="1EE4DD2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（二）实施地点：采购人指定地点。</w:t>
      </w:r>
    </w:p>
    <w:p w14:paraId="67A1EF9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（三）验收方式：</w:t>
      </w:r>
    </w:p>
    <w:p w14:paraId="687A479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1.投标人提供维保托管设备的维修记录、巡检记录、预防性维护记录、质控报告等资料，并梳理成对应总结分析报告。</w:t>
      </w:r>
    </w:p>
    <w:p w14:paraId="607A82E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2.采购人对项目周期内维保托管服务评价。每半年付款期，随机抽选不低于5个临床医技科室，对投标人服务开展打分评价（考核表A），综合得分平均分高于90分方可付全款。</w:t>
      </w:r>
    </w:p>
    <w:p w14:paraId="3190B82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3.所有设备完好、性能功能正常、正常使用为最终验收标准。</w:t>
      </w:r>
    </w:p>
    <w:p w14:paraId="4BB4511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（二）、报价要求</w:t>
      </w:r>
    </w:p>
    <w:p w14:paraId="5081EC5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次报价为人民币，包含成本（应包含工作人员工资及各项保险、节假日加班费、劳保费、合理利润、办公费、税费、物资费用、配件费、交通运输费等）、政策性文件规定及合同包含的所有风险、责任等各项应有费用包含在投标人总报价中。</w:t>
      </w:r>
    </w:p>
    <w:p w14:paraId="29F7408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（三）、付款方式</w:t>
      </w:r>
    </w:p>
    <w:p w14:paraId="47C3F76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1.每6个月支付合同年度费用的50%，服务达到采购方验收要求后，收到发票之日起5个工作日内启动付款程序。</w:t>
      </w:r>
    </w:p>
    <w:p w14:paraId="6CA1540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p>
    <w:p w14:paraId="2AE6E08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（四）、知识产权</w:t>
      </w:r>
    </w:p>
    <w:p w14:paraId="2088476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采购人在中华人民共和国境内使用竞标人提供的货物及服务时免受第三方提出的侵犯其专利权或其它知识产权的起诉。如果第三方提出侵权指控，中标人应承担由此而引起的一切法律责任和费用。</w:t>
      </w:r>
    </w:p>
    <w:p w14:paraId="40A83A9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（五）、其他</w:t>
      </w:r>
    </w:p>
    <w:p w14:paraId="2C33342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（一）供应商必须在投标文件中对以上条款和服务承诺明确列出，承诺内容必须达到本篇及招标文件其他条款的要求。</w:t>
      </w:r>
    </w:p>
    <w:p w14:paraId="17962A7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（二）违约责任：</w:t>
      </w:r>
    </w:p>
    <w:p w14:paraId="6128CF8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1.若投标人在合同期内出现5次及以上不能按要求履约，采购人有权立即停止合同，且医院（采购人）不支付任何费用。</w:t>
      </w:r>
    </w:p>
    <w:p w14:paraId="1D9E7EC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2.投标人的驻场人员须遵守采购人上下班规定，按照合同约定时间上下班，若出现迟到、早退、脱岗等情况，每出现一次扣维保款1000元。</w:t>
      </w:r>
    </w:p>
    <w:p w14:paraId="7EB4F17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3.若投标人出现1次无法按照合同约定，及时修复故障且为提供备用机情况（不可抗拒原因除外），每次扣除维保费2000元。</w:t>
      </w:r>
    </w:p>
    <w:p w14:paraId="62CBF86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4.若投标人未按合同规定频次及要求，开展安全巡检、预防性维护、设备质控的，每发现一次扣除维保费5000元。</w:t>
      </w:r>
    </w:p>
    <w:p w14:paraId="4337A52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5.因投标人工作疏忽导致采购人权益受到损害的，由投标人承担相应经济损失，上不封顶。</w:t>
      </w:r>
    </w:p>
    <w:p w14:paraId="339B1E7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（三）投标人的所有工作人员（包括驻场工程师）的健康、安全、权益保障、法律风险等均由投标人负责。</w:t>
      </w:r>
    </w:p>
    <w:p w14:paraId="098C4E9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（四）其他未尽事宜由供需双方在采购合同中详细约定。</w:t>
      </w:r>
    </w:p>
    <w:p w14:paraId="56A7EE92">
      <w:pPr>
        <w:rPr>
          <w:rFonts w:hint="eastAsia"/>
        </w:rPr>
      </w:pPr>
    </w:p>
    <w:p w14:paraId="389BB1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4F7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2026-01-12T11:02:01Z</dcterms:created>
  <dc:creator>Administrator</dc:creator>
  <cp:lastModifiedBy>kuangye</cp:lastModifiedBy>
  <dcterms:modified xsi:type="dcterms:W3CDTF">2026-01-12T11:04:24Z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eyJoZGlkIjoiZTFlMzQxMzFkMTkwMTYzYWM3ZWIyYTI3ZmFiZTU2MzAiLCJ1c2VySWQiOiI0MjI5MDgzMzYifQ==</vt:lpwstr>
  </property>
  <property fmtid="{D5CDD505-2E9C-101B-9397-08002B2CF9AE}" pid="4" name="ICV">
    <vt:lpwstr>6E300652EC524136917F65E2D3E91952_12</vt:lpwstr>
  </property>
</Properties>
</file>