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highlight w:val="none"/>
        </w:rPr>
        <w:t>多色单分子核酸检测系统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设备用途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基因分型检测、基因表达分析、基因甲基化检测、非编码RNA检测</w:t>
      </w:r>
      <w:r>
        <w:rPr>
          <w:rFonts w:hint="default" w:ascii="Times New Roman" w:hAnsi="Times New Roman" w:eastAsia="宋体" w:cs="Times New Roman"/>
          <w:sz w:val="24"/>
          <w:szCs w:val="24"/>
          <w:lang w:eastAsia="zh-Hans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二代测序结果验证、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测序文库质检等</w:t>
      </w:r>
      <w:r>
        <w:rPr>
          <w:rFonts w:hint="eastAsia" w:eastAsia="宋体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性能技术指标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全自动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操作一体化设计：在一台设备上实现全自动液滴生成、PCR扩增、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荧光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通道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阅读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检测分析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Hans"/>
        </w:rPr>
        <w:t>无需另配PCR扩增仪，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从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核酸样本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进到结果出实现无人值守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eastAsia="宋体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>2. 液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滴生成方式：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采用压力动力产生油包水液滴</w:t>
      </w:r>
      <w:r>
        <w:rPr>
          <w:rFonts w:hint="eastAsia" w:eastAsia="宋体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eastAsia="宋体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液滴检测方式：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高清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CMOS检测器。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检测通道数：≥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色荧光检测通道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液滴制备量：单个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Hans"/>
        </w:rPr>
        <w:t>测试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生成液滴数≥25000个，液滴体积：≤1nL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样本处理数：可同时分析处理≥32个样本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highlight w:val="none"/>
          <w:lang w:val="en-US"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7.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生物安全风险控制：检测过程全密封，上样后即可实现全自动操作，无需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振动注射、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开盖、封盖或封膜等复杂操作，避免污染。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8.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分析软件能够进行绝对定量分析、拷贝数变异分析，支持手动或自动划分阈值线，每个样本可单独设定阈值或者多样本并行划分阈值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质保期不低于5年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E69254"/>
    <w:multiLevelType w:val="singleLevel"/>
    <w:tmpl w:val="1FE692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D9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2025-10-31T02:43:57Z</dcterms:created>
  <dc:creator>Administrator</dc:creator>
  <cp:lastModifiedBy>谯淞源</cp:lastModifiedBy>
  <dcterms:modified xsi:type="dcterms:W3CDTF">2025-10-31T02:44:12Z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