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BA5A2">
      <w:pPr>
        <w:widowControl/>
        <w:spacing w:line="360" w:lineRule="auto"/>
        <w:jc w:val="center"/>
        <w:rPr>
          <w:rFonts w:ascii="宋体" w:hAnsi="宋体" w:eastAsia="宋体"/>
          <w:b/>
          <w:bCs/>
          <w:kern w:val="0"/>
          <w:sz w:val="44"/>
          <w:szCs w:val="44"/>
        </w:rPr>
      </w:pPr>
      <w:r>
        <w:rPr>
          <w:rFonts w:hint="eastAsia" w:ascii="宋体" w:hAnsi="宋体" w:eastAsia="宋体"/>
          <w:b/>
          <w:bCs/>
          <w:kern w:val="0"/>
          <w:sz w:val="44"/>
          <w:szCs w:val="44"/>
        </w:rPr>
        <w:t>儿童重症感染特色数据库及样本库概况及要求</w:t>
      </w:r>
    </w:p>
    <w:p w14:paraId="7B0A097D">
      <w:pPr>
        <w:spacing w:line="360" w:lineRule="auto"/>
      </w:pPr>
    </w:p>
    <w:p w14:paraId="3ED07556">
      <w:pPr>
        <w:widowControl/>
        <w:spacing w:after="200" w:line="360" w:lineRule="auto"/>
      </w:pPr>
      <w:r>
        <w:rPr>
          <w:rFonts w:hint="eastAsia" w:ascii="Cambria" w:hAnsi="Cambria" w:eastAsia="宋体"/>
          <w:b/>
          <w:bCs/>
          <w:kern w:val="0"/>
          <w:sz w:val="30"/>
          <w:szCs w:val="30"/>
        </w:rPr>
        <w:t>一、项目概况</w:t>
      </w:r>
    </w:p>
    <w:p w14:paraId="79A1860C">
      <w:pPr>
        <w:spacing w:line="360" w:lineRule="auto"/>
        <w:ind w:firstLine="420"/>
        <w:rPr>
          <w:rFonts w:ascii="Cambria" w:hAnsi="Cambria" w:eastAsia="宋体"/>
          <w:spacing w:val="-1"/>
          <w:kern w:val="0"/>
          <w:sz w:val="24"/>
        </w:rPr>
      </w:pPr>
      <w:r>
        <w:rPr>
          <w:rFonts w:hint="eastAsia" w:ascii="Cambria" w:hAnsi="Cambria" w:eastAsia="宋体"/>
          <w:spacing w:val="-1"/>
          <w:kern w:val="0"/>
          <w:sz w:val="24"/>
        </w:rPr>
        <w:t>儿童重症感染大数据平台建设至关重要，但当前面临临床数据录入标准化不足、数据库专病特色与多样性欠缺，以及数据共享与合作机制不完善等多重瓶颈。为有效应对这些挑战，本项目将通过开发一套基于深度学习的自然语言病历解读系统，以实现病历文本的智能标准化理解与全自动录入，从根本上解决当前病历数据录入的标准化与自动化难题。同时，本项目将深度整合多种类型患儿在治疗全过程中不同时间节点的临床诊疗数据与生物样本，借鉴并优化已有数据库建设经验，旨在打造一个兼具规范性、多样性、稀缺性和连续性的高质量儿童重症感染特色数据及样本资源库。这将为重症感染的深入研究、精准诊疗与创新药物研发提供坚实支撑</w:t>
      </w:r>
      <w:bookmarkStart w:id="0" w:name="_GoBack"/>
      <w:bookmarkEnd w:id="0"/>
      <w:r>
        <w:rPr>
          <w:rFonts w:hint="eastAsia" w:ascii="Cambria" w:hAnsi="Cambria" w:eastAsia="宋体"/>
          <w:spacing w:val="-1"/>
          <w:kern w:val="0"/>
          <w:sz w:val="24"/>
        </w:rPr>
        <w:t>。</w:t>
      </w:r>
    </w:p>
    <w:p w14:paraId="0C2AA852">
      <w:pPr>
        <w:spacing w:line="360" w:lineRule="auto"/>
      </w:pPr>
    </w:p>
    <w:p w14:paraId="170EE0DF">
      <w:pPr>
        <w:widowControl/>
        <w:spacing w:after="200" w:line="360" w:lineRule="auto"/>
        <w:rPr>
          <w:rFonts w:ascii="Cambria" w:hAnsi="Cambria" w:eastAsia="宋体"/>
          <w:b/>
          <w:bCs/>
          <w:kern w:val="0"/>
          <w:sz w:val="30"/>
          <w:szCs w:val="30"/>
        </w:rPr>
      </w:pPr>
      <w:r>
        <w:rPr>
          <w:rFonts w:hint="eastAsia" w:ascii="Cambria" w:hAnsi="Cambria" w:eastAsia="宋体"/>
          <w:b/>
          <w:bCs/>
          <w:kern w:val="0"/>
          <w:sz w:val="30"/>
          <w:szCs w:val="30"/>
        </w:rPr>
        <w:t>二、系统功能需求</w:t>
      </w:r>
    </w:p>
    <w:p w14:paraId="757A344D">
      <w:pPr>
        <w:tabs>
          <w:tab w:val="left" w:pos="312"/>
        </w:tabs>
        <w:spacing w:line="360" w:lineRule="auto"/>
        <w:jc w:val="left"/>
        <w:rPr>
          <w:rFonts w:asciiTheme="minorEastAsia" w:hAnsiTheme="minorEastAsia" w:cstheme="minorEastAsia"/>
          <w:b/>
          <w:color w:val="000000" w:themeColor="text1"/>
          <w:sz w:val="28"/>
          <w:szCs w:val="28"/>
          <w14:textFill>
            <w14:solidFill>
              <w14:schemeClr w14:val="tx1"/>
            </w14:solidFill>
          </w14:textFill>
        </w:rPr>
      </w:pPr>
      <w:r>
        <w:rPr>
          <w:rFonts w:hint="eastAsia" w:asciiTheme="minorEastAsia" w:hAnsiTheme="minorEastAsia" w:cstheme="minorEastAsia"/>
          <w:b/>
          <w:color w:val="000000" w:themeColor="text1"/>
          <w:sz w:val="28"/>
          <w:szCs w:val="28"/>
          <w14:textFill>
            <w14:solidFill>
              <w14:schemeClr w14:val="tx1"/>
            </w14:solidFill>
          </w14:textFill>
        </w:rPr>
        <w:t>1、</w:t>
      </w:r>
      <w:r>
        <w:rPr>
          <w:rFonts w:asciiTheme="minorEastAsia" w:hAnsiTheme="minorEastAsia" w:cstheme="minorEastAsia"/>
          <w:b/>
          <w:color w:val="000000" w:themeColor="text1"/>
          <w:sz w:val="28"/>
          <w:szCs w:val="28"/>
          <w14:textFill>
            <w14:solidFill>
              <w14:schemeClr w14:val="tx1"/>
            </w14:solidFill>
          </w14:textFill>
        </w:rPr>
        <w:t>回顾性数据标准化处理</w:t>
      </w:r>
    </w:p>
    <w:p w14:paraId="0F22078E">
      <w:pPr>
        <w:spacing w:line="360" w:lineRule="auto"/>
        <w:ind w:firstLine="420"/>
        <w:rPr>
          <w:rFonts w:ascii="Cambria" w:hAnsi="Cambria" w:eastAsia="宋体"/>
          <w:spacing w:val="-1"/>
          <w:kern w:val="0"/>
          <w:sz w:val="24"/>
        </w:rPr>
      </w:pPr>
      <w:r>
        <w:rPr>
          <w:rFonts w:ascii="Cambria" w:hAnsi="Cambria" w:eastAsia="宋体"/>
          <w:spacing w:val="-1"/>
          <w:kern w:val="0"/>
          <w:sz w:val="24"/>
        </w:rPr>
        <w:t>对接院内现有数据平台，依据临床诊疗规范，分别明确肺炎、脓毒症相关数据的纳入与排除标准；开展靶向数据采集，聚焦临床诊疗、检验检测、影像学检查、病程记录等核心维度，系统梳理并提取患者结局指标，其中主要结局为住院死亡率，次要结局包括 PICU 转入、PICU 住院时长、机械通气应用、器官支持种类（如血管活性药物、肾替代治疗等）及多器官功能障碍发生情况。</w:t>
      </w:r>
    </w:p>
    <w:p w14:paraId="278898A5">
      <w:pPr>
        <w:spacing w:line="360" w:lineRule="auto"/>
        <w:ind w:firstLine="420"/>
        <w:rPr>
          <w:rFonts w:ascii="Cambria" w:hAnsi="Cambria" w:eastAsia="宋体"/>
          <w:spacing w:val="-1"/>
          <w:kern w:val="0"/>
          <w:sz w:val="24"/>
        </w:rPr>
      </w:pPr>
      <w:r>
        <w:rPr>
          <w:rFonts w:ascii="Cambria" w:hAnsi="Cambria" w:eastAsia="宋体"/>
          <w:spacing w:val="-1"/>
          <w:kern w:val="0"/>
          <w:sz w:val="24"/>
        </w:rPr>
        <w:t>完成全流程数据清洗：开展数据去重、缺失值补全、异常值校正，明确异常值判定逻辑（区分临床合理范围判定与统计学离群值判定），并完整记录数据剔除与插补策略，保障研究模型可复现；同步实施分级脱敏处理，在严格保护患者隐私的前提下保留临床研究核心信息，最终按疾病类型分类归档至专用数据仓库。</w:t>
      </w:r>
    </w:p>
    <w:p w14:paraId="00265E1C">
      <w:pPr>
        <w:tabs>
          <w:tab w:val="left" w:pos="312"/>
        </w:tabs>
        <w:spacing w:line="360" w:lineRule="auto"/>
        <w:jc w:val="left"/>
        <w:rPr>
          <w:rFonts w:asciiTheme="minorEastAsia" w:hAnsiTheme="minorEastAsia" w:cstheme="minorEastAsia"/>
          <w:b/>
          <w:color w:val="000000" w:themeColor="text1"/>
          <w:sz w:val="28"/>
          <w:szCs w:val="28"/>
          <w14:textFill>
            <w14:solidFill>
              <w14:schemeClr w14:val="tx1"/>
            </w14:solidFill>
          </w14:textFill>
        </w:rPr>
      </w:pPr>
      <w:r>
        <w:rPr>
          <w:rFonts w:hint="eastAsia" w:asciiTheme="minorEastAsia" w:hAnsiTheme="minorEastAsia" w:cstheme="minorEastAsia"/>
          <w:b/>
          <w:color w:val="000000" w:themeColor="text1"/>
          <w:sz w:val="28"/>
          <w:szCs w:val="28"/>
          <w14:textFill>
            <w14:solidFill>
              <w14:schemeClr w14:val="tx1"/>
            </w14:solidFill>
          </w14:textFill>
        </w:rPr>
        <w:t>2、前瞻性数据实时化同步</w:t>
      </w:r>
    </w:p>
    <w:p w14:paraId="5ECA651A">
      <w:pPr>
        <w:spacing w:line="360" w:lineRule="auto"/>
        <w:ind w:firstLine="420"/>
        <w:rPr>
          <w:rFonts w:ascii="Cambria" w:hAnsi="Cambria" w:eastAsia="宋体"/>
          <w:spacing w:val="-1"/>
          <w:kern w:val="0"/>
          <w:sz w:val="24"/>
        </w:rPr>
      </w:pPr>
      <w:r>
        <w:rPr>
          <w:rFonts w:ascii="Cambria" w:hAnsi="Cambria" w:eastAsia="宋体"/>
          <w:spacing w:val="-1"/>
          <w:kern w:val="0"/>
          <w:sz w:val="24"/>
        </w:rPr>
        <w:t>构建肺炎、脓毒症前瞻性数据采集标准化体系，精准界定全流程数据采集节点（涵盖患者入院、诊疗全程、出院结算及长期随访阶段），系统覆盖核心采集维度 —— 包括患者基线基本信息、完整病历资料、全周期检验检查结果、多维度结局指标及 SOFA 评分等关键评估数据；明确 SOFA 评分动态采集频率（按每日常规监测或病情变化即时记录双轨制执行），规范抗生素等重点药物的使用时间、给药剂量、疗程方案等核心用药信息，同步划定各环节责任岗位，确保采集流程闭环管理。</w:t>
      </w:r>
    </w:p>
    <w:p w14:paraId="15957EE6">
      <w:pPr>
        <w:spacing w:line="360" w:lineRule="auto"/>
        <w:ind w:firstLine="420"/>
        <w:rPr>
          <w:rFonts w:ascii="Cambria" w:hAnsi="Cambria" w:eastAsia="宋体"/>
          <w:spacing w:val="-1"/>
          <w:kern w:val="0"/>
          <w:sz w:val="24"/>
        </w:rPr>
      </w:pPr>
      <w:r>
        <w:rPr>
          <w:rFonts w:ascii="Cambria" w:hAnsi="Cambria" w:eastAsia="宋体"/>
          <w:spacing w:val="-1"/>
          <w:kern w:val="0"/>
          <w:sz w:val="24"/>
        </w:rPr>
        <w:t>依托技术创新开发院内专属数据接口，实现与 HIS（医院信息系统）、LIS（检验信息系统）、PACS（影像归档和通信系统）等院内核心业务系统的无缝对接，搭建 “实时数据抓取 - 智能自动校验 - 分类精准入库” 的全链条前瞻性数据同步机制，从技术层面保障数据采集的时效性、完整性与准确性，为项目后续市场分析、疗效评估、方案优化及成果转化提供高质量数据支撑。</w:t>
      </w:r>
    </w:p>
    <w:p w14:paraId="65C31420">
      <w:pPr>
        <w:tabs>
          <w:tab w:val="left" w:pos="312"/>
        </w:tabs>
        <w:spacing w:line="360" w:lineRule="auto"/>
        <w:jc w:val="left"/>
        <w:rPr>
          <w:rFonts w:hint="eastAsia" w:asciiTheme="minorEastAsia" w:hAnsiTheme="minorEastAsia" w:cstheme="minorEastAsia"/>
          <w:b/>
          <w:color w:val="000000" w:themeColor="text1"/>
          <w:sz w:val="28"/>
          <w:szCs w:val="28"/>
          <w14:textFill>
            <w14:solidFill>
              <w14:schemeClr w14:val="tx1"/>
            </w14:solidFill>
          </w14:textFill>
        </w:rPr>
      </w:pPr>
      <w:r>
        <w:rPr>
          <w:rFonts w:hint="eastAsia" w:asciiTheme="minorEastAsia" w:hAnsiTheme="minorEastAsia" w:cstheme="minorEastAsia"/>
          <w:b/>
          <w:color w:val="000000" w:themeColor="text1"/>
          <w:sz w:val="28"/>
          <w:szCs w:val="28"/>
          <w14:textFill>
            <w14:solidFill>
              <w14:schemeClr w14:val="tx1"/>
            </w14:solidFill>
          </w14:textFill>
        </w:rPr>
        <w:t>3、样本数据一体化对接展示</w:t>
      </w:r>
    </w:p>
    <w:p w14:paraId="790E61B2">
      <w:pPr>
        <w:spacing w:line="360" w:lineRule="auto"/>
        <w:ind w:firstLine="420"/>
        <w:rPr>
          <w:rFonts w:ascii="Cambria" w:hAnsi="Cambria" w:eastAsia="宋体"/>
          <w:spacing w:val="-1"/>
          <w:kern w:val="0"/>
          <w:sz w:val="24"/>
        </w:rPr>
      </w:pPr>
      <w:r>
        <w:rPr>
          <w:rFonts w:ascii="Cambria" w:hAnsi="Cambria" w:eastAsia="宋体"/>
          <w:spacing w:val="-1"/>
          <w:kern w:val="0"/>
          <w:sz w:val="24"/>
        </w:rPr>
        <w:t>专项开发标本检测结果与数据队列平台的专属适配接口，实现病原学检测、生化分析、免疫指标等多维度检测数据的自动上传、分类智能关联与统一可视化展示；通过技术优化达成样本信息与临床诊疗数据的精准映射匹配，构建 “样本溯源 - 检测结果 - 临床诊疗” 全链条一体化数据链路，支持数据快速检索、多维度联动分析，大幅提升数据利用效率，为市场需求挖掘、诊疗方案对比分析提供高效数据工具。</w:t>
      </w:r>
    </w:p>
    <w:p w14:paraId="37C6E61F">
      <w:pPr>
        <w:spacing w:line="360" w:lineRule="auto"/>
        <w:ind w:firstLine="420"/>
        <w:rPr>
          <w:rFonts w:ascii="Cambria" w:hAnsi="Cambria" w:eastAsia="宋体"/>
          <w:spacing w:val="-1"/>
          <w:kern w:val="0"/>
          <w:sz w:val="24"/>
        </w:rPr>
      </w:pPr>
      <w:r>
        <w:rPr>
          <w:rFonts w:ascii="Cambria" w:hAnsi="Cambria" w:eastAsia="宋体"/>
          <w:spacing w:val="-1"/>
          <w:kern w:val="0"/>
          <w:sz w:val="24"/>
        </w:rPr>
        <w:t>创新设计样本 - 检测 - 临床时间轴精准对齐机制，通过时序数据校准技术明确检测结果与关键临床事件（如抗生素方案调整、病情加重 / 好转、治疗策略优化等）的时间先后逻辑关系，为临床因果推断、疗效关联分析及诊疗决策优化提供坚实的数据时序支撑，助力项目精准挖掘市场痛点、验证产品临床价值，强化成果转化的可行性与竞争力。</w:t>
      </w:r>
    </w:p>
    <w:p w14:paraId="3A745E71">
      <w:pPr>
        <w:spacing w:line="360" w:lineRule="auto"/>
        <w:rPr>
          <w:rFonts w:hint="eastAsia"/>
        </w:rPr>
      </w:pPr>
    </w:p>
    <w:p w14:paraId="2076ACFC">
      <w:pPr>
        <w:widowControl/>
        <w:numPr>
          <w:ilvl w:val="0"/>
          <w:numId w:val="1"/>
        </w:numPr>
        <w:spacing w:after="200" w:line="360" w:lineRule="auto"/>
        <w:rPr>
          <w:rFonts w:ascii="Cambria" w:hAnsi="Cambria" w:eastAsia="宋体"/>
          <w:b/>
          <w:bCs/>
          <w:kern w:val="0"/>
          <w:sz w:val="30"/>
          <w:szCs w:val="30"/>
        </w:rPr>
      </w:pPr>
      <w:r>
        <w:rPr>
          <w:rFonts w:hint="eastAsia" w:ascii="Cambria" w:hAnsi="Cambria" w:eastAsia="宋体"/>
          <w:b/>
          <w:bCs/>
          <w:kern w:val="0"/>
          <w:sz w:val="30"/>
          <w:szCs w:val="30"/>
        </w:rPr>
        <w:t>质保及报价要求</w:t>
      </w:r>
    </w:p>
    <w:p w14:paraId="281FEE9F">
      <w:pPr>
        <w:spacing w:line="360" w:lineRule="auto"/>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1.服务期限：合同签署后12个月内；</w:t>
      </w:r>
    </w:p>
    <w:p w14:paraId="459E1332">
      <w:pPr>
        <w:spacing w:line="360" w:lineRule="auto"/>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2.报价格式自拟，并加盖公章；</w:t>
      </w:r>
    </w:p>
    <w:p w14:paraId="51D161D0">
      <w:pPr>
        <w:spacing w:line="360" w:lineRule="auto"/>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3.报价须为人民币报价，包含但不限于：软件系统、内网部署及对接接口改造费用、服务费、车旅费、运输费（含装卸费）、保险费、安装调试费、税费、培训费、专用维修设备的使用费等所有费用；</w:t>
      </w:r>
    </w:p>
    <w:p w14:paraId="49F632C0">
      <w:pPr>
        <w:spacing w:line="360" w:lineRule="auto"/>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4.质保期：免费提供5年7*24质保服务及系统升级迭代维护。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F9831"/>
    <w:multiLevelType w:val="singleLevel"/>
    <w:tmpl w:val="8E4F983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4320B3"/>
    <w:rsid w:val="00015836"/>
    <w:rsid w:val="00941A3D"/>
    <w:rsid w:val="009D0DF8"/>
    <w:rsid w:val="00DF13AC"/>
    <w:rsid w:val="1C8F563F"/>
    <w:rsid w:val="218E623B"/>
    <w:rsid w:val="3188686A"/>
    <w:rsid w:val="3ECF6099"/>
    <w:rsid w:val="444320B3"/>
    <w:rsid w:val="5148193D"/>
    <w:rsid w:val="70A4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unhideWhenUsed/>
    <w:qFormat/>
    <w:uiPriority w:val="99"/>
    <w:pPr>
      <w:spacing w:after="120"/>
    </w:pPr>
  </w:style>
  <w:style w:type="paragraph" w:styleId="4">
    <w:name w:val="Normal (Web)"/>
    <w:basedOn w:val="1"/>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paragraph" w:customStyle="1" w:styleId="8">
    <w:name w:val="目录样式"/>
    <w:basedOn w:val="1"/>
    <w:qFormat/>
    <w:uiPriority w:val="0"/>
    <w:pPr>
      <w:tabs>
        <w:tab w:val="right" w:leader="dot" w:pos="8504"/>
      </w:tabs>
    </w:pPr>
    <w:rPr>
      <w:rFonts w:hint="eastAsia" w:ascii="黑体" w:hAnsi="黑体" w:eastAsia="黑体" w:cs="黑体"/>
      <w:b/>
      <w:snapToGrid w:val="0"/>
      <w:kern w:val="0"/>
      <w:sz w:val="24"/>
    </w:rPr>
  </w:style>
  <w:style w:type="paragraph" w:customStyle="1" w:styleId="9">
    <w:name w:val="方案正文"/>
    <w:basedOn w:val="1"/>
    <w:qFormat/>
    <w:uiPriority w:val="0"/>
    <w:pPr>
      <w:spacing w:before="120"/>
      <w:ind w:firstLine="425" w:firstLineChars="177"/>
    </w:pPr>
    <w:rPr>
      <w:rFonts w:ascii="华文细黑" w:hAnsi="华文细黑" w:eastAsia="华文细黑" w:cs="Times New Roman"/>
    </w:rPr>
  </w:style>
  <w:style w:type="paragraph" w:customStyle="1" w:styleId="10">
    <w:name w:val="Revision"/>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1427</Words>
  <Characters>1455</Characters>
  <Lines>9</Lines>
  <Paragraphs>2</Paragraphs>
  <TotalTime>224</TotalTime>
  <ScaleCrop>false</ScaleCrop>
  <LinksUpToDate>false</LinksUpToDate>
  <CharactersWithSpaces>1483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2026-03-26T06:20:00Z</dcterms:created>
  <dc:creator>Qinyuan Li</dc:creator>
  <cp:lastModifiedBy>Qinyuan Li</cp:lastModifiedBy>
  <dcterms:modified xsi:type="dcterms:W3CDTF">2026-03-26T13:44:15Z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740EDB7D47894B2A9D9B2633B07D24D8_13</vt:lpwstr>
  </property>
  <property fmtid="{D5CDD505-2E9C-101B-9397-08002B2CF9AE}" pid="4" name="KSOTemplateDocerSaveRecord">
    <vt:lpwstr>eyJoZGlkIjoiY2M5ZWJiNWRkMzc5YmQxODgxZTNkNmI5NjRjZWI4ODciLCJ1c2VySWQiOiIyNTk0MjM0MjUifQ==</vt:lpwstr>
  </property>
</Properties>
</file>