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0D47F6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重庆医科大学附属儿童医院</w:t>
      </w:r>
    </w:p>
    <w:p w:rsidR="000D47F6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临床研究</w:t>
      </w:r>
      <w:r>
        <w:rPr>
          <w:b/>
          <w:bCs/>
          <w:sz w:val="32"/>
          <w:szCs w:val="32"/>
        </w:rPr>
        <w:t>平台</w:t>
      </w:r>
      <w:r>
        <w:rPr>
          <w:rFonts w:hint="eastAsia"/>
          <w:b/>
          <w:bCs/>
          <w:sz w:val="32"/>
          <w:szCs w:val="32"/>
        </w:rPr>
        <w:t>超融合及存储设备</w:t>
      </w:r>
    </w:p>
    <w:p w:rsidR="000D47F6" w:rsidRDefault="00000000">
      <w:pPr>
        <w:pStyle w:val="1"/>
        <w:rPr>
          <w:rStyle w:val="af"/>
          <w:b/>
          <w:bCs/>
          <w:sz w:val="30"/>
          <w:szCs w:val="30"/>
        </w:rPr>
      </w:pPr>
      <w:r>
        <w:rPr>
          <w:rStyle w:val="af"/>
          <w:rFonts w:hint="eastAsia"/>
          <w:b/>
          <w:bCs/>
          <w:sz w:val="30"/>
          <w:szCs w:val="30"/>
        </w:rPr>
        <w:t>一、项目概况</w:t>
      </w:r>
    </w:p>
    <w:p w:rsidR="000D47F6" w:rsidRDefault="00000000">
      <w:pPr>
        <w:pStyle w:val="a3"/>
        <w:ind w:firstLine="480"/>
        <w:rPr>
          <w:sz w:val="24"/>
        </w:rPr>
      </w:pPr>
      <w:r>
        <w:rPr>
          <w:sz w:val="24"/>
        </w:rPr>
        <w:t>本项目旨在开展</w:t>
      </w:r>
      <w:r>
        <w:rPr>
          <w:rFonts w:hint="eastAsia"/>
          <w:sz w:val="24"/>
        </w:rPr>
        <w:t>临床研究</w:t>
      </w:r>
      <w:r>
        <w:rPr>
          <w:sz w:val="24"/>
        </w:rPr>
        <w:t>平台信息化</w:t>
      </w:r>
      <w:r>
        <w:rPr>
          <w:rFonts w:hint="eastAsia"/>
          <w:sz w:val="24"/>
        </w:rPr>
        <w:t>建设</w:t>
      </w:r>
      <w:r>
        <w:rPr>
          <w:sz w:val="24"/>
        </w:rPr>
        <w:t>市场调查，聚焦超融合</w:t>
      </w:r>
      <w:r>
        <w:rPr>
          <w:rFonts w:hint="eastAsia"/>
          <w:sz w:val="24"/>
        </w:rPr>
        <w:t>系统</w:t>
      </w:r>
      <w:r>
        <w:rPr>
          <w:sz w:val="24"/>
        </w:rPr>
        <w:t>、高性能存储及分布式存储等硬件设备采购。通过全面调研市场产品、供应商等情况，为</w:t>
      </w:r>
      <w:r>
        <w:rPr>
          <w:rFonts w:hint="eastAsia"/>
          <w:sz w:val="24"/>
        </w:rPr>
        <w:t>临床研究</w:t>
      </w:r>
      <w:r>
        <w:rPr>
          <w:sz w:val="24"/>
        </w:rPr>
        <w:t>平台信息化建设筛选适配硬件，满足</w:t>
      </w:r>
      <w:r>
        <w:rPr>
          <w:rFonts w:hint="eastAsia"/>
          <w:sz w:val="24"/>
        </w:rPr>
        <w:t>临床研究</w:t>
      </w:r>
      <w:r>
        <w:rPr>
          <w:sz w:val="24"/>
        </w:rPr>
        <w:t>平台数据高效存储、处理与共享需求，推动</w:t>
      </w:r>
      <w:r>
        <w:rPr>
          <w:rFonts w:hint="eastAsia"/>
          <w:sz w:val="24"/>
        </w:rPr>
        <w:t>临床研究</w:t>
      </w:r>
      <w:r>
        <w:rPr>
          <w:sz w:val="24"/>
        </w:rPr>
        <w:t>平台工作数字化发展</w:t>
      </w:r>
      <w:r>
        <w:rPr>
          <w:rFonts w:hint="eastAsia"/>
          <w:sz w:val="24"/>
        </w:rPr>
        <w:t>。</w:t>
      </w:r>
    </w:p>
    <w:p w:rsidR="000D47F6" w:rsidRDefault="00000000">
      <w:pPr>
        <w:pStyle w:val="1"/>
        <w:rPr>
          <w:sz w:val="30"/>
          <w:szCs w:val="30"/>
        </w:rPr>
      </w:pPr>
      <w:r>
        <w:rPr>
          <w:rFonts w:hint="eastAsia"/>
          <w:sz w:val="30"/>
          <w:szCs w:val="30"/>
        </w:rPr>
        <w:t>二、项目内容及总体要求</w:t>
      </w:r>
    </w:p>
    <w:p w:rsidR="000D47F6" w:rsidRDefault="00000000">
      <w:pPr>
        <w:pStyle w:val="1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项目内容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2315"/>
        <w:gridCol w:w="991"/>
        <w:gridCol w:w="1418"/>
        <w:gridCol w:w="2551"/>
        <w:gridCol w:w="2097"/>
      </w:tblGrid>
      <w:tr w:rsidR="000D47F6">
        <w:trPr>
          <w:trHeight w:val="285"/>
          <w:tblHeader/>
          <w:jc w:val="center"/>
        </w:trPr>
        <w:tc>
          <w:tcPr>
            <w:tcW w:w="51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107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474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67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项目子项内容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07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474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67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07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474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7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07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高性能存储</w:t>
            </w:r>
          </w:p>
        </w:tc>
        <w:tc>
          <w:tcPr>
            <w:tcW w:w="474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7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高性能存储设备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4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FC-SAN交换机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07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分布式对象存储</w:t>
            </w:r>
          </w:p>
        </w:tc>
        <w:tc>
          <w:tcPr>
            <w:tcW w:w="474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67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分布式对象存储设备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07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74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后端存储交换机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  <w:tr w:rsidR="000D47F6">
        <w:trPr>
          <w:trHeight w:val="285"/>
          <w:jc w:val="center"/>
        </w:trPr>
        <w:tc>
          <w:tcPr>
            <w:tcW w:w="51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07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474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678" w:type="pc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122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1003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</w:tr>
    </w:tbl>
    <w:p w:rsidR="000D47F6" w:rsidRDefault="00000000">
      <w:pPr>
        <w:pStyle w:val="1"/>
        <w:spacing w:before="200" w:after="200"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、总体要求</w:t>
      </w:r>
    </w:p>
    <w:p w:rsidR="000D47F6" w:rsidRDefault="00000000">
      <w:pPr>
        <w:pStyle w:val="a3"/>
        <w:ind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供应商应负责项目内容中所有设备的到货验收、上架安装、环境部署及调试工作。包括但不限于：相关设备的跳纤、跳线、线缆、机房内部布线，以及由此产生的施工、布放、整理和联调等全流程工作。供应商应确保整体布线规范、标识清晰，并满足项目性能与安全要求。施工过程中涉及的安装配件部件及耗材等费用均由供应商自行承担，计入报价中，采购人不额外支付安装及辅材相关费用。</w:t>
      </w:r>
    </w:p>
    <w:p w:rsidR="000D47F6" w:rsidRDefault="00000000">
      <w:pPr>
        <w:pStyle w:val="a3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ascii="Segoe UI" w:hAnsi="Segoe UI" w:cs="Segoe UI" w:hint="eastAsia"/>
          <w:shd w:val="clear" w:color="auto" w:fill="FFFFFF"/>
        </w:rPr>
        <w:t>、</w:t>
      </w:r>
      <w:r>
        <w:rPr>
          <w:sz w:val="24"/>
        </w:rPr>
        <w:t>本次</w:t>
      </w:r>
      <w:r>
        <w:rPr>
          <w:rFonts w:hint="eastAsia"/>
          <w:sz w:val="24"/>
        </w:rPr>
        <w:t>项目</w:t>
      </w:r>
      <w:r>
        <w:rPr>
          <w:sz w:val="24"/>
        </w:rPr>
        <w:t>涵盖超融合服务器、超融合软件、存储设备、数据</w:t>
      </w:r>
      <w:r>
        <w:rPr>
          <w:rFonts w:hint="eastAsia"/>
          <w:sz w:val="24"/>
        </w:rPr>
        <w:t>中心</w:t>
      </w:r>
      <w:r>
        <w:rPr>
          <w:sz w:val="24"/>
        </w:rPr>
        <w:t>交换机等核心产品，项目为一体化建设模式。为保障系统整体运行的稳定性、高效性与扩展性，所投全部产品须满足严格的兼容性要求，确保各组件间无缝适配、协同工作。</w:t>
      </w:r>
    </w:p>
    <w:p w:rsidR="000D47F6" w:rsidRDefault="00000000">
      <w:pPr>
        <w:pStyle w:val="1"/>
        <w:spacing w:before="200" w:after="200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三、项目技术需求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1686"/>
        <w:gridCol w:w="1564"/>
        <w:gridCol w:w="6775"/>
      </w:tblGrid>
      <w:tr w:rsidR="000D47F6">
        <w:trPr>
          <w:trHeight w:val="285"/>
        </w:trPr>
        <w:tc>
          <w:tcPr>
            <w:tcW w:w="206" w:type="pct"/>
            <w:vAlign w:val="center"/>
          </w:tcPr>
          <w:p w:rsidR="000D47F6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806" w:type="pct"/>
            <w:vAlign w:val="center"/>
          </w:tcPr>
          <w:p w:rsidR="000D47F6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48" w:type="pct"/>
            <w:vAlign w:val="center"/>
          </w:tcPr>
          <w:p w:rsidR="000D47F6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项目子项内容</w:t>
            </w:r>
          </w:p>
        </w:tc>
        <w:tc>
          <w:tcPr>
            <w:tcW w:w="3240" w:type="pct"/>
            <w:tcBorders>
              <w:bottom w:val="single" w:sz="4" w:space="0" w:color="auto"/>
            </w:tcBorders>
            <w:vAlign w:val="center"/>
          </w:tcPr>
          <w:p w:rsidR="000D47F6" w:rsidRDefault="0000000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技术需求参数</w:t>
            </w:r>
          </w:p>
        </w:tc>
      </w:tr>
      <w:tr w:rsidR="000D47F6">
        <w:trPr>
          <w:trHeight w:val="285"/>
        </w:trPr>
        <w:tc>
          <w:tcPr>
            <w:tcW w:w="206" w:type="pc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超融合服务器</w:t>
            </w:r>
          </w:p>
        </w:tc>
        <w:tc>
          <w:tcPr>
            <w:tcW w:w="748" w:type="pct"/>
            <w:tcBorders>
              <w:right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超融合服务器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1、规格：2U 机架式服务器，</w:t>
            </w:r>
            <w:r>
              <w:rPr>
                <w:rFonts w:ascii="宋体" w:hAnsi="宋体" w:cs="宋体" w:hint="eastAsia"/>
                <w:szCs w:val="21"/>
              </w:rPr>
              <w:t>所投产品的各硬件及套件须（国产）原厂设计、生产与制造，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非OEM或者贴牌产品。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2、处理器：配置≥2 颗</w:t>
            </w:r>
            <w:r w:rsidR="00786222" w:rsidRPr="00786222">
              <w:rPr>
                <w:rFonts w:ascii="宋体" w:hAnsi="宋体" w:cs="宋体" w:hint="eastAsia"/>
                <w:color w:val="000000"/>
                <w:kern w:val="0"/>
                <w:szCs w:val="21"/>
                <w:highlight w:val="yellow"/>
              </w:rPr>
              <w:t>国产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处理器，每颗处理器主频≥2.1Ghz，总物理核≥2*64核。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3、内存：配置≥16 条64G DDR5 内存，标机最大支持内存条数量≥32 根。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4、系统盘：配置≥2 块960GB SSD 硬盘，硬盘支持免开箱热插拔。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5、数据盘：配置≥8 块7.68TB NVME SSD，标机支持≥24个2.5NVME SSD 硬盘插槽。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6、RAID卡：配置≥2块独立RAID卡，缓存≥6GB，RAID卡支持硬盘直通模式，配置掉电保护模块。</w:t>
            </w:r>
          </w:p>
          <w:p w:rsidR="000D47F6" w:rsidRDefault="00000000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6、网卡：配置≥2个双口万兆光口网卡（配置配套万兆光模块）；</w:t>
            </w:r>
            <w:r>
              <w:rPr>
                <w:rFonts w:ascii="宋体" w:hAnsi="宋体" w:cs="宋体" w:hint="eastAsia"/>
                <w:szCs w:val="21"/>
              </w:rPr>
              <w:t>配置独立的带外管理网口，支持无代理系统管理。</w:t>
            </w:r>
          </w:p>
          <w:p w:rsidR="000D47F6" w:rsidRDefault="00000000"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电源及风扇：</w:t>
            </w:r>
            <w:r>
              <w:rPr>
                <w:rFonts w:ascii="宋体" w:hAnsi="宋体" w:cs="宋体" w:hint="eastAsia"/>
                <w:szCs w:val="21"/>
              </w:rPr>
              <w:t>配置可热插拔交流电源≥2个，可插拔风扇≥4 个，配置国标电源线。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质保要求：提供原厂7年质保，并提供7x24小时上门服务</w:t>
            </w:r>
          </w:p>
        </w:tc>
      </w:tr>
      <w:tr w:rsidR="000D47F6">
        <w:trPr>
          <w:trHeight w:val="285"/>
        </w:trPr>
        <w:tc>
          <w:tcPr>
            <w:tcW w:w="206" w:type="pc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超融合软件</w:t>
            </w:r>
          </w:p>
        </w:tc>
        <w:tc>
          <w:tcPr>
            <w:tcW w:w="748" w:type="pct"/>
            <w:tcBorders>
              <w:right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超融合软件</w:t>
            </w:r>
          </w:p>
        </w:tc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具备国产软件自主知识产权，超融合系统软件非OEM产品。支持通过X86、ARM、国产C86服务器节点构建超融合，支持现有市场上的主流品牌服务器，包含但不限于华为、华三、超聚变、联想、浪潮、中科可控、惠普、戴尔等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、支持接入外置集中式存储，集中式存储接入后，可执行创建虚拟化存储资源、管理数据存储、管理磁盘、管理文件系统和利用其资源创建虚拟机等操作。兼容现有市场上主流的存储阵列产品，存储阵列类型包括SAN、NAS和iSCSI等，存储阵列品牌包括但不限于EMC、HDS、Dell、华为等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3、支持纳管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Vmware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虚机，支持VMware虚拟机的在线迁移。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、采用分布式的软件定义存储架构，在通用服务器部署，把所有服务器硬盘组织成一个虚拟存储资源池；提供分布式存储服务，无需独立的元数据及控制器节点；使用超融合管理平台统一管理，无需在计算虚拟化平台上部署存储控制器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5、支持在统一管理界面中监控和管理计算、存储、交换机、虚拟化平台；支持一键式或定期自动输出系统健康巡检报告，包括CPU、内存、硬盘、RAID卡、系统与版本信息的健康状态便于主动识别潜在的风险。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6、支持多副本保护机制，可选择2-6副本，支持依据业务数据重要性进行灵活设置副本数量机制；支持灵活EC算法实现数据冗余存储，支持4+2,6+2,8+2等多种冗余配置.支持文件服务，并且支持文件共享服务管理。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7、内置容器引擎，单一界面提供虚拟化支与容器资源，容器的资源管理包括K8S集群、容器镜像、应用模板、应用实例，提供虚拟机热添加CPU和内存的功能，无需中断或停机即可根据需要向虚拟机添加CPU和内存，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提供HA功能，当集群中的主机硬件或虚拟化软件发生故障时，该主机上的虚拟机可以在集群之内的其它主机上自动重启，保障业务连续性。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8、支持异步远程复制主备容灾，支持主站点和容灾站点互为灾备，主站点故障后备战点可拉起业务。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9、提供≥12颗物理CPU 7年软件授权及技术支持和软件升级服务。</w:t>
            </w:r>
          </w:p>
        </w:tc>
      </w:tr>
      <w:tr w:rsidR="000D47F6">
        <w:trPr>
          <w:trHeight w:val="5459"/>
        </w:trPr>
        <w:tc>
          <w:tcPr>
            <w:tcW w:w="206" w:type="pct"/>
            <w:vMerge w:val="restar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3</w:t>
            </w:r>
          </w:p>
        </w:tc>
        <w:tc>
          <w:tcPr>
            <w:tcW w:w="806" w:type="pct"/>
            <w:vMerge w:val="restar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高性能存储</w:t>
            </w:r>
          </w:p>
        </w:tc>
        <w:tc>
          <w:tcPr>
            <w:tcW w:w="748" w:type="pct"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高性能存储设备</w:t>
            </w:r>
          </w:p>
        </w:tc>
        <w:tc>
          <w:tcPr>
            <w:tcW w:w="3240" w:type="pct"/>
            <w:tcBorders>
              <w:top w:val="single" w:sz="4" w:space="0" w:color="auto"/>
            </w:tcBorders>
            <w:vAlign w:val="center"/>
          </w:tcPr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投产品的各硬件及套件须（国产）原厂设计、生产与制造，非OEM及贴牌产品。双控全闪架构存储，控制器采用Active-Active架构,LUN不归属于某一个控制器，业务负载均衡到两个控制器。采用SAN、NAS和S3一体化存储，单个控制器可同时提供SAN、NAS和S3协议无需任何网关设备，支持在同一个存储池中同时分配SAN、NAS和S3三种服务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配置全闪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NVMe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 SSD磁盘，在采用RAID6且预留一块盘热备空间的基础上，无压缩无重删总可用容量≥500TB。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配置2个控制器，控制器采用多核处理器，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总一级缓存容量配置≥256GB（不含任何性能加速模块、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FlashCache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、PAM卡，SSD Cache、SCM等）。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配置≥2块4端口32Gbps FC接口（含以上所有接口的32Gb SFP模块），配置≥2块4端口千兆以太网接口，配置≥2块4端口万兆光口（含多模光纤模块）。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支持图形化的管理软件，包括：盘阵，卷管理软件，配置存储的图形化管理配置和监控软件；提供SSD寿命监控技术，并在系统中显示每一块SSD硬盘的磨损度以及预估剩余寿命。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配置SAN、CIFS、NFS、S3、NDMP数据备份/CDP实时备份、Thin精简磁盘、快照、远程复制、LUN克隆、双活存储、异构虚拟化、智能文件分层、多路径授权，多路径软件无主机数量限制。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1"/>
              </w:numPr>
              <w:ind w:left="0"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质保要求：提供原厂7年质保，并提供7x24小时上门服务</w:t>
            </w:r>
          </w:p>
        </w:tc>
      </w:tr>
      <w:tr w:rsidR="000D47F6">
        <w:trPr>
          <w:trHeight w:val="2145"/>
        </w:trPr>
        <w:tc>
          <w:tcPr>
            <w:tcW w:w="206" w:type="pct"/>
            <w:vMerge/>
            <w:noWrap/>
            <w:vAlign w:val="center"/>
          </w:tcPr>
          <w:p w:rsidR="000D47F6" w:rsidRDefault="000D47F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6" w:type="pct"/>
            <w:vMerge/>
            <w:noWrap/>
            <w:vAlign w:val="center"/>
          </w:tcPr>
          <w:p w:rsidR="000D47F6" w:rsidRDefault="000D47F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FC-SAN交换机</w:t>
            </w:r>
          </w:p>
        </w:tc>
        <w:tc>
          <w:tcPr>
            <w:tcW w:w="3240" w:type="pct"/>
            <w:tcBorders>
              <w:top w:val="single" w:sz="4" w:space="0" w:color="auto"/>
            </w:tcBorders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1、总体要求：配置2台FC-SAN交换机，单台配置如下：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1）规格：标准1U机架式设备，</w:t>
            </w:r>
            <w:r>
              <w:rPr>
                <w:rFonts w:ascii="宋体" w:hAnsi="宋体" w:cs="宋体" w:hint="eastAsia"/>
                <w:szCs w:val="21"/>
              </w:rPr>
              <w:t>所投产品的各硬件及套件须（国产）原厂设计、生产与制造，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支持≥48个端口，全双工模式下总带宽≥2 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Tbps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2）端口：本次激活≥24端口，含24个32Gb多模SFP光纤模块；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3）电源：≥2个冗余电源，带系统集成冷却风扇；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4）可管理性：支持SNMPv1/v2/v3、Telnet、Web管理/GUI界面；</w:t>
            </w:r>
          </w:p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2、质保要求：</w:t>
            </w:r>
            <w:r>
              <w:rPr>
                <w:rFonts w:ascii="宋体" w:hAnsi="宋体" w:cs="宋体" w:hint="eastAsia"/>
                <w:szCs w:val="21"/>
              </w:rPr>
              <w:t>提供原厂7年质保，并提供7x24小时上门服务</w:t>
            </w:r>
          </w:p>
        </w:tc>
      </w:tr>
      <w:tr w:rsidR="000D47F6">
        <w:trPr>
          <w:trHeight w:val="570"/>
        </w:trPr>
        <w:tc>
          <w:tcPr>
            <w:tcW w:w="206" w:type="pct"/>
            <w:vMerge w:val="restar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06" w:type="pct"/>
            <w:vMerge w:val="restart"/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分布式对象存储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0D47F6" w:rsidRDefault="00000000">
            <w:pPr>
              <w:pStyle w:val="af2"/>
              <w:widowControl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分布式对象存储设备</w:t>
            </w:r>
          </w:p>
        </w:tc>
        <w:tc>
          <w:tcPr>
            <w:tcW w:w="32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采用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全对称分布式架构</w:t>
            </w:r>
            <w:r>
              <w:rPr>
                <w:rFonts w:ascii="宋体" w:hAnsi="宋体" w:cs="宋体" w:hint="eastAsia"/>
                <w:szCs w:val="21"/>
              </w:rPr>
              <w:t>，软硬一体化设备（硬件和软件同一品牌）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szCs w:val="21"/>
              </w:rPr>
              <w:t>所投产品的各硬件及套件须（国产）原厂设计、生产与制造，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无独立元数据节点，性能、容量随节点数增加而线性增加，扩容过程中对业务无影响。支持在线缩容和扩容；支持存储软件在线升级，升级操作均不影响前端业务的连续性。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全套系统关键部件采用全冗余设计，各部件配置均不存在 任何单一故障失效点，单个存储节点失效不会导致数据丢失； 单节点故障对应用透明，不影响应用的正常读取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。为节省机房空间，单节点物理规格</w:t>
            </w:r>
            <w:r>
              <w:rPr>
                <w:rFonts w:ascii="宋体" w:hAnsi="宋体" w:cs="宋体" w:hint="eastAsia"/>
                <w:szCs w:val="21"/>
              </w:rPr>
              <w:t>≥4U，全套系统满足冗余配置后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整体可得容量≥7PB(非压缩容量)。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支持 GUI 图形化管理界面，支持容量、性能监控和故障告警， 管理界面内可查看各个存储池的信息，包括冗余策略、所属硬盘池等，支持对硬盘容量、硬盘负载、内存占用、CPU 占用的监控</w:t>
            </w:r>
            <w:r>
              <w:rPr>
                <w:rFonts w:ascii="宋体" w:hAnsi="宋体" w:cs="宋体" w:hint="eastAsia"/>
                <w:szCs w:val="21"/>
              </w:rPr>
              <w:t>。</w:t>
            </w:r>
            <w:r>
              <w:rPr>
                <w:rFonts w:ascii="宋体" w:hAnsi="宋体" w:cs="宋体"/>
                <w:szCs w:val="21"/>
              </w:rPr>
              <w:t>支持在线对配额进行设置，包括目录配额、用户配额、容量配额、文件数配额等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文件/大数据/对象服务均支持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Qos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功能，多服务共享一份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Qos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资源；支持基于租户、用户、用户组、命名空间（文件系统/桶）、目录或客户端进行配置；支持限定带宽和IOPS上限。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提供S3（要求支持S3 V2 REST API 以及S3 V4 RESTAPI）标准接口，支持put、get、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listobject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，对象ACL,桶的生命周期管理，对象的多版本，对象的自定义元数据、对象的多段上传接口。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支持在相同存储池内相同命名空间上同时开启文件/大数据/对象服务；支持设置NFS/CIFS/HDFS/S3/FTP/FTPS等访问协议访问同一存储池内的同一文件。</w:t>
            </w:r>
          </w:p>
          <w:p w:rsidR="000D47F6" w:rsidRDefault="00000000">
            <w:pPr>
              <w:pStyle w:val="af2"/>
              <w:widowControl/>
              <w:numPr>
                <w:ilvl w:val="0"/>
                <w:numId w:val="2"/>
              </w:numPr>
              <w:ind w:left="0" w:firstLineChars="0" w:firstLine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质保要求：原厂7年质保，并提供7x24小时上门服务</w:t>
            </w:r>
          </w:p>
        </w:tc>
      </w:tr>
      <w:tr w:rsidR="000D47F6">
        <w:trPr>
          <w:trHeight w:val="570"/>
        </w:trPr>
        <w:tc>
          <w:tcPr>
            <w:tcW w:w="206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D47F6" w:rsidRDefault="000D47F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6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D47F6" w:rsidRDefault="000D47F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0D47F6" w:rsidRDefault="00000000">
            <w:pPr>
              <w:pStyle w:val="af2"/>
              <w:widowControl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存储后端交换机</w:t>
            </w:r>
          </w:p>
        </w:tc>
        <w:tc>
          <w:tcPr>
            <w:tcW w:w="32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47F6" w:rsidRDefault="00000000">
            <w:pPr>
              <w:spacing w:line="400" w:lineRule="exact"/>
              <w:jc w:val="left"/>
              <w:outlineLvl w:val="2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总体要求：配置2台存储后端交换机，</w:t>
            </w:r>
            <w:r>
              <w:rPr>
                <w:rFonts w:ascii="宋体" w:hAnsi="宋体" w:cs="宋体" w:hint="eastAsia"/>
                <w:szCs w:val="21"/>
              </w:rPr>
              <w:t>所投产品的各硬件及套件须（国产）原厂设计、生产与制造，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单台要求如下：</w:t>
            </w:r>
          </w:p>
          <w:p w:rsidR="000D47F6" w:rsidRDefault="00000000">
            <w:pPr>
              <w:spacing w:line="400" w:lineRule="exact"/>
              <w:jc w:val="left"/>
              <w:outlineLvl w:val="2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1）配置要求：10G/25G 光口≥48个，100G 光口≥8个，配置交流电源≥2个，满配风扇，配置25G 多模光纤模块≥22个， 100G 多模光纤模块≥4个。1 条100G AOC 线缆用于Peer-Link。含SDN 纳管授权许可。</w:t>
            </w:r>
          </w:p>
          <w:p w:rsidR="000D47F6" w:rsidRDefault="00000000">
            <w:pPr>
              <w:spacing w:line="400" w:lineRule="exact"/>
              <w:jc w:val="left"/>
              <w:outlineLvl w:val="2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2）性能要求：交换容量≥8Tbps，包转发率≥2400Mpps，若存在双指标，则以低指标为准。</w:t>
            </w:r>
          </w:p>
          <w:p w:rsidR="000D47F6" w:rsidRDefault="00000000">
            <w:pPr>
              <w:spacing w:line="400" w:lineRule="exact"/>
              <w:jc w:val="left"/>
              <w:outlineLvl w:val="2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8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）硬件要求：25GE光（向下兼容10GE）端口数量≥48 个，40/100GE 光接口≥8 个，风扇及电源均可热插拔，标准前后风道。</w:t>
            </w:r>
          </w:p>
          <w:p w:rsidR="000D47F6" w:rsidRDefault="00000000">
            <w:pPr>
              <w:pStyle w:val="af2"/>
              <w:widowControl/>
              <w:ind w:firstLineChars="0" w:firstLine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2、质保要求：原厂7年质保，并提供7x24小时上门服务</w:t>
            </w:r>
          </w:p>
        </w:tc>
      </w:tr>
      <w:tr w:rsidR="000D47F6">
        <w:trPr>
          <w:trHeight w:val="285"/>
        </w:trPr>
        <w:tc>
          <w:tcPr>
            <w:tcW w:w="206" w:type="pct"/>
            <w:tcBorders>
              <w:bottom w:val="single" w:sz="4" w:space="0" w:color="auto"/>
            </w:tcBorders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noWrap/>
            <w:vAlign w:val="center"/>
          </w:tcPr>
          <w:p w:rsidR="000D47F6" w:rsidRDefault="0000000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数据中心交换机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0D47F6" w:rsidRDefault="00000000">
            <w:pPr>
              <w:pStyle w:val="af2"/>
              <w:spacing w:line="400" w:lineRule="exact"/>
              <w:ind w:firstLineChars="0" w:firstLine="0"/>
              <w:jc w:val="left"/>
              <w:outlineLvl w:val="2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数据中心交换机</w:t>
            </w:r>
          </w:p>
        </w:tc>
        <w:tc>
          <w:tcPr>
            <w:tcW w:w="3240" w:type="pct"/>
            <w:tcBorders>
              <w:bottom w:val="single" w:sz="4" w:space="0" w:color="auto"/>
            </w:tcBorders>
            <w:vAlign w:val="center"/>
          </w:tcPr>
          <w:p w:rsidR="000D47F6" w:rsidRDefault="00000000">
            <w:pPr>
              <w:pStyle w:val="af2"/>
              <w:numPr>
                <w:ilvl w:val="0"/>
                <w:numId w:val="3"/>
              </w:numPr>
              <w:spacing w:line="400" w:lineRule="exact"/>
              <w:ind w:left="0" w:firstLineChars="0" w:firstLine="0"/>
              <w:jc w:val="left"/>
              <w:outlineLvl w:val="2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配置要求：所投产品的各硬件及套件须（国产）原厂设计、生产与制造，10G光口≥48个，100G 光口≥8个，配置交流电源≥2个，满配风扇，配置10G 多模光纤模块≥24个， 100G 多模光纤模块≥4个。1 条100G AOC 线缆用于Peer-Link。含SDN 纳管授权许可。</w:t>
            </w:r>
          </w:p>
          <w:p w:rsidR="000D47F6" w:rsidRDefault="00000000">
            <w:pPr>
              <w:pStyle w:val="af2"/>
              <w:numPr>
                <w:ilvl w:val="0"/>
                <w:numId w:val="3"/>
              </w:numPr>
              <w:spacing w:line="400" w:lineRule="exact"/>
              <w:ind w:left="0" w:firstLineChars="0" w:firstLine="0"/>
              <w:jc w:val="left"/>
              <w:outlineLvl w:val="2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性能要求：交换容量≥4Tbps，包转发率≥2000Mpps；若存在双指标，则以低指标为准。（提供官网截图及链接加盖产品制造商及供应商鲜章）</w:t>
            </w:r>
          </w:p>
          <w:p w:rsidR="000D47F6" w:rsidRDefault="00000000">
            <w:pPr>
              <w:pStyle w:val="af2"/>
              <w:numPr>
                <w:ilvl w:val="0"/>
                <w:numId w:val="3"/>
              </w:numPr>
              <w:spacing w:line="400" w:lineRule="exact"/>
              <w:ind w:left="0" w:firstLineChars="0" w:firstLine="0"/>
              <w:jc w:val="left"/>
              <w:outlineLvl w:val="2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硬件要求：10GE 光口≥48 个，QSFP28 100G光口（兼容40G） ≥8 个，支持电源1+1 备份，风扇热插拔冗余，标准前后风道</w:t>
            </w:r>
          </w:p>
          <w:p w:rsidR="000D47F6" w:rsidRDefault="00000000">
            <w:pPr>
              <w:pStyle w:val="af2"/>
              <w:numPr>
                <w:ilvl w:val="0"/>
                <w:numId w:val="3"/>
              </w:numPr>
              <w:spacing w:line="400" w:lineRule="exact"/>
              <w:ind w:left="0" w:firstLineChars="0" w:firstLine="0"/>
              <w:jc w:val="left"/>
              <w:outlineLvl w:val="2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质保要求：原厂7年质保，并提供7x24小时上门服务。</w:t>
            </w:r>
          </w:p>
          <w:p w:rsidR="000D47F6" w:rsidRDefault="000D47F6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0D47F6" w:rsidRDefault="00000000">
      <w:pPr>
        <w:pStyle w:val="1"/>
        <w:spacing w:before="200" w:after="200"/>
        <w:rPr>
          <w:sz w:val="30"/>
          <w:szCs w:val="30"/>
        </w:rPr>
      </w:pPr>
      <w:r>
        <w:rPr>
          <w:rFonts w:hint="eastAsia"/>
          <w:sz w:val="30"/>
          <w:szCs w:val="30"/>
        </w:rPr>
        <w:t>四</w:t>
      </w:r>
      <w:r>
        <w:rPr>
          <w:sz w:val="30"/>
          <w:szCs w:val="30"/>
        </w:rPr>
        <w:t>、</w:t>
      </w:r>
      <w:r>
        <w:rPr>
          <w:rFonts w:hint="eastAsia"/>
          <w:sz w:val="30"/>
          <w:szCs w:val="30"/>
        </w:rPr>
        <w:t>报价要求</w:t>
      </w:r>
    </w:p>
    <w:p w:rsidR="000D47F6" w:rsidRDefault="00000000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1、按清单进行分别报价，如漏项则报价无效。报价时需有单价、总价，并盖公章。</w:t>
      </w:r>
    </w:p>
    <w:p w:rsidR="000D47F6" w:rsidRDefault="00000000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2、报价须为人民币报价，包含：服务费、车旅费、运输费（含装卸费）、保险费、安装调试费、税费、培训费、辅材费、专用维修设备的使用费等所有费用。</w:t>
      </w: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tbl>
      <w:tblPr>
        <w:tblpPr w:leftFromText="180" w:rightFromText="180" w:vertAnchor="text" w:horzAnchor="page" w:tblpX="1136" w:tblpY="259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1171"/>
        <w:gridCol w:w="663"/>
        <w:gridCol w:w="851"/>
        <w:gridCol w:w="1560"/>
        <w:gridCol w:w="701"/>
        <w:gridCol w:w="571"/>
        <w:gridCol w:w="280"/>
        <w:gridCol w:w="993"/>
        <w:gridCol w:w="1138"/>
        <w:gridCol w:w="993"/>
        <w:gridCol w:w="1100"/>
      </w:tblGrid>
      <w:tr w:rsidR="000D47F6">
        <w:trPr>
          <w:trHeight w:val="856"/>
        </w:trPr>
        <w:tc>
          <w:tcPr>
            <w:tcW w:w="5000" w:type="pct"/>
            <w:gridSpan w:val="12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临床研究平台超融合及存储设备项目报价表</w:t>
            </w:r>
          </w:p>
        </w:tc>
      </w:tr>
      <w:tr w:rsidR="000D47F6">
        <w:trPr>
          <w:trHeight w:val="856"/>
        </w:trPr>
        <w:tc>
          <w:tcPr>
            <w:tcW w:w="208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560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项目名称</w:t>
            </w:r>
          </w:p>
        </w:tc>
        <w:tc>
          <w:tcPr>
            <w:tcW w:w="31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40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项目子项内容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制造商</w:t>
            </w:r>
          </w:p>
        </w:tc>
        <w:tc>
          <w:tcPr>
            <w:tcW w:w="47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原产地</w:t>
            </w:r>
          </w:p>
        </w:tc>
        <w:tc>
          <w:tcPr>
            <w:tcW w:w="544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品牌、规格型号</w:t>
            </w:r>
          </w:p>
        </w:tc>
        <w:tc>
          <w:tcPr>
            <w:tcW w:w="47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单价</w:t>
            </w:r>
          </w:p>
        </w:tc>
        <w:tc>
          <w:tcPr>
            <w:tcW w:w="52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合计</w:t>
            </w:r>
          </w:p>
        </w:tc>
      </w:tr>
      <w:tr w:rsidR="000D47F6">
        <w:trPr>
          <w:trHeight w:val="538"/>
        </w:trPr>
        <w:tc>
          <w:tcPr>
            <w:tcW w:w="208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31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40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超融合服务器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31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0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超融合软件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0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高性能存储</w:t>
            </w:r>
          </w:p>
        </w:tc>
        <w:tc>
          <w:tcPr>
            <w:tcW w:w="317" w:type="pct"/>
            <w:vMerge w:val="restar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07" w:type="pct"/>
            <w:vMerge w:val="restar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高性能存储设备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pct"/>
            <w:vMerge/>
            <w:vAlign w:val="center"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7" w:type="pct"/>
            <w:vMerge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07" w:type="pct"/>
            <w:vMerge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FC-SAN交换机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pct"/>
            <w:vMerge w:val="restart"/>
            <w:vAlign w:val="center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分布式对象存储</w:t>
            </w:r>
          </w:p>
        </w:tc>
        <w:tc>
          <w:tcPr>
            <w:tcW w:w="317" w:type="pct"/>
            <w:vMerge w:val="restar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07" w:type="pct"/>
            <w:vMerge w:val="restar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套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分布式对象存储设备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  <w:vMerge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pct"/>
            <w:vMerge/>
          </w:tcPr>
          <w:p w:rsidR="000D47F6" w:rsidRDefault="000D47F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" w:type="pct"/>
            <w:vMerge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07" w:type="pct"/>
            <w:vMerge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存储后端交换机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208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60" w:type="pct"/>
          </w:tcPr>
          <w:p w:rsidR="000D47F6" w:rsidRDefault="0000000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31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407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台</w:t>
            </w:r>
          </w:p>
        </w:tc>
        <w:tc>
          <w:tcPr>
            <w:tcW w:w="746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数据中心交换机</w:t>
            </w:r>
          </w:p>
        </w:tc>
        <w:tc>
          <w:tcPr>
            <w:tcW w:w="335" w:type="pct"/>
            <w:vAlign w:val="center"/>
          </w:tcPr>
          <w:p w:rsidR="000D47F6" w:rsidRDefault="00000000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407" w:type="pct"/>
            <w:gridSpan w:val="2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44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475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  <w:tc>
          <w:tcPr>
            <w:tcW w:w="526" w:type="pct"/>
            <w:vAlign w:val="center"/>
          </w:tcPr>
          <w:p w:rsidR="000D47F6" w:rsidRDefault="000D47F6">
            <w:pPr>
              <w:jc w:val="center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0D47F6">
        <w:trPr>
          <w:trHeight w:val="506"/>
        </w:trPr>
        <w:tc>
          <w:tcPr>
            <w:tcW w:w="768" w:type="pct"/>
            <w:gridSpan w:val="2"/>
            <w:vAlign w:val="center"/>
          </w:tcPr>
          <w:p w:rsidR="000D47F6" w:rsidRDefault="00000000">
            <w:pPr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2078" w:type="pct"/>
            <w:gridSpan w:val="5"/>
            <w:vAlign w:val="center"/>
          </w:tcPr>
          <w:p w:rsidR="000D47F6" w:rsidRDefault="00000000">
            <w:pPr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hint="eastAsia"/>
              </w:rPr>
              <w:t>（小写）</w:t>
            </w:r>
            <w:r>
              <w:rPr>
                <w:rFonts w:hint="eastAsia"/>
              </w:rPr>
              <w:t xml:space="preserve">            </w:t>
            </w:r>
            <w:r>
              <w:t>元</w:t>
            </w:r>
          </w:p>
        </w:tc>
        <w:tc>
          <w:tcPr>
            <w:tcW w:w="2154" w:type="pct"/>
            <w:gridSpan w:val="5"/>
            <w:vAlign w:val="center"/>
          </w:tcPr>
          <w:p w:rsidR="000D47F6" w:rsidRDefault="00000000">
            <w:pPr>
              <w:rPr>
                <w:rFonts w:ascii="宋体" w:hAnsi="宋体" w:cs="宋体"/>
                <w:szCs w:val="21"/>
                <w:highlight w:val="yellow"/>
              </w:rPr>
            </w:pPr>
            <w:r>
              <w:rPr>
                <w:rFonts w:hint="eastAsia"/>
              </w:rPr>
              <w:t>（</w:t>
            </w:r>
            <w:r>
              <w:t>大写</w:t>
            </w:r>
            <w:r>
              <w:rPr>
                <w:rFonts w:hint="eastAsia"/>
              </w:rPr>
              <w:t>）</w:t>
            </w:r>
            <w:r>
              <w:t>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元</w:t>
            </w:r>
            <w:r>
              <w:t>整</w:t>
            </w:r>
          </w:p>
        </w:tc>
      </w:tr>
      <w:tr w:rsidR="000D47F6">
        <w:trPr>
          <w:trHeight w:val="538"/>
        </w:trPr>
        <w:tc>
          <w:tcPr>
            <w:tcW w:w="5000" w:type="pct"/>
            <w:gridSpan w:val="12"/>
          </w:tcPr>
          <w:p w:rsidR="000D47F6" w:rsidRDefault="00000000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 xml:space="preserve">        </w:t>
            </w:r>
          </w:p>
          <w:p w:rsidR="000D47F6" w:rsidRDefault="000D47F6">
            <w:pPr>
              <w:pStyle w:val="TOC1"/>
              <w:ind w:firstLine="428"/>
              <w:rPr>
                <w:b/>
              </w:rPr>
            </w:pPr>
          </w:p>
          <w:p w:rsidR="000D47F6" w:rsidRDefault="00000000">
            <w:pPr>
              <w:pStyle w:val="TOC1"/>
              <w:ind w:firstLine="428"/>
              <w:rPr>
                <w:b/>
              </w:rPr>
            </w:pPr>
            <w:r>
              <w:rPr>
                <w:rFonts w:hint="eastAsia"/>
                <w:b/>
              </w:rPr>
              <w:t>供应商名称（盖章）：</w:t>
            </w:r>
          </w:p>
          <w:p w:rsidR="000D47F6" w:rsidRDefault="000D47F6"/>
          <w:p w:rsidR="000D47F6" w:rsidRDefault="000D47F6">
            <w:pPr>
              <w:pStyle w:val="TOC1"/>
              <w:ind w:firstLine="420"/>
            </w:pPr>
          </w:p>
        </w:tc>
      </w:tr>
    </w:tbl>
    <w:p w:rsidR="000D47F6" w:rsidRDefault="000D47F6">
      <w:pPr>
        <w:spacing w:line="360" w:lineRule="auto"/>
        <w:ind w:firstLineChars="225" w:firstLine="473"/>
        <w:rPr>
          <w:rFonts w:ascii="宋体" w:hAnsi="宋体" w:cs="宋体"/>
          <w:szCs w:val="21"/>
        </w:rPr>
      </w:pPr>
    </w:p>
    <w:sectPr w:rsidR="000D47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82445" w:rsidRDefault="00182445">
      <w:r>
        <w:separator/>
      </w:r>
    </w:p>
  </w:endnote>
  <w:endnote w:type="continuationSeparator" w:id="0">
    <w:p w:rsidR="00182445" w:rsidRDefault="0018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华文细黑">
    <w:altName w:val="STXihe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0000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01320" cy="147955"/>
              <wp:effectExtent l="0" t="0" r="0" b="4445"/>
              <wp:wrapNone/>
              <wp:docPr id="1955036559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D47F6" w:rsidRDefault="000000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11.65pt;width:31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puPEHRAAAAAwEAAA8AAAAAAAAAAQAgAAAAIgAA&#10;AGRycy9kb3ducmV2LnhtbFBLAQIUABQAAAAIAIdO4kCyseGkDwIAAAsEAAAOAAAAAAAAAAEAIAAA&#10;ACA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89FDE21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82445" w:rsidRDefault="00182445">
      <w:r>
        <w:separator/>
      </w:r>
    </w:p>
  </w:footnote>
  <w:footnote w:type="continuationSeparator" w:id="0">
    <w:p w:rsidR="00182445" w:rsidRDefault="00182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D47F6" w:rsidRDefault="000D47F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D63EF5"/>
    <w:multiLevelType w:val="multilevel"/>
    <w:tmpl w:val="0FD63EF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D113BF1"/>
    <w:multiLevelType w:val="multilevel"/>
    <w:tmpl w:val="1D113BF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BA67C51"/>
    <w:multiLevelType w:val="multilevel"/>
    <w:tmpl w:val="6BA67C5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202393">
    <w:abstractNumId w:val="0"/>
  </w:num>
  <w:num w:numId="2" w16cid:durableId="218712690">
    <w:abstractNumId w:val="2"/>
  </w:num>
  <w:num w:numId="3" w16cid:durableId="397702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JhZjljMDY4YmE1M2E0ZGNlZmJiMWQ3ZTExYWI2ODkifQ=="/>
  </w:docVars>
  <w:rsids>
    <w:rsidRoot w:val="43DC0D6D"/>
    <w:rsid w:val="00002211"/>
    <w:rsid w:val="00012174"/>
    <w:rsid w:val="000123CC"/>
    <w:rsid w:val="00035458"/>
    <w:rsid w:val="00050915"/>
    <w:rsid w:val="00051FF3"/>
    <w:rsid w:val="000629B6"/>
    <w:rsid w:val="00062FBE"/>
    <w:rsid w:val="00064722"/>
    <w:rsid w:val="000854F5"/>
    <w:rsid w:val="000B26C3"/>
    <w:rsid w:val="000D47F6"/>
    <w:rsid w:val="000E10C8"/>
    <w:rsid w:val="000F7120"/>
    <w:rsid w:val="00110B90"/>
    <w:rsid w:val="00122D4D"/>
    <w:rsid w:val="00132D91"/>
    <w:rsid w:val="001372DA"/>
    <w:rsid w:val="00150C92"/>
    <w:rsid w:val="00154D7E"/>
    <w:rsid w:val="00154E9A"/>
    <w:rsid w:val="00160438"/>
    <w:rsid w:val="00161F00"/>
    <w:rsid w:val="00163EB7"/>
    <w:rsid w:val="00165D83"/>
    <w:rsid w:val="00171764"/>
    <w:rsid w:val="00182445"/>
    <w:rsid w:val="00183C8E"/>
    <w:rsid w:val="001A1DA9"/>
    <w:rsid w:val="001B4CFB"/>
    <w:rsid w:val="001C79BB"/>
    <w:rsid w:val="001E1294"/>
    <w:rsid w:val="001E6AFE"/>
    <w:rsid w:val="0021094B"/>
    <w:rsid w:val="00211CF3"/>
    <w:rsid w:val="00213086"/>
    <w:rsid w:val="0024691A"/>
    <w:rsid w:val="00250485"/>
    <w:rsid w:val="00255F90"/>
    <w:rsid w:val="00274575"/>
    <w:rsid w:val="002A252C"/>
    <w:rsid w:val="002B0ED9"/>
    <w:rsid w:val="002D5BF9"/>
    <w:rsid w:val="002E3094"/>
    <w:rsid w:val="002E50C9"/>
    <w:rsid w:val="002F768D"/>
    <w:rsid w:val="00325F0A"/>
    <w:rsid w:val="003304CD"/>
    <w:rsid w:val="003802BF"/>
    <w:rsid w:val="00383F10"/>
    <w:rsid w:val="003948C5"/>
    <w:rsid w:val="00396D0B"/>
    <w:rsid w:val="003A06CD"/>
    <w:rsid w:val="003C22A7"/>
    <w:rsid w:val="003C2CA2"/>
    <w:rsid w:val="003D0B81"/>
    <w:rsid w:val="003D16AD"/>
    <w:rsid w:val="003D3DD7"/>
    <w:rsid w:val="003D52B2"/>
    <w:rsid w:val="003E1DD4"/>
    <w:rsid w:val="003E5F5D"/>
    <w:rsid w:val="00402E6D"/>
    <w:rsid w:val="0041206F"/>
    <w:rsid w:val="00412413"/>
    <w:rsid w:val="00416252"/>
    <w:rsid w:val="00421CA1"/>
    <w:rsid w:val="00424565"/>
    <w:rsid w:val="004247EC"/>
    <w:rsid w:val="0044370B"/>
    <w:rsid w:val="00455696"/>
    <w:rsid w:val="00455DC0"/>
    <w:rsid w:val="00497D61"/>
    <w:rsid w:val="004D5960"/>
    <w:rsid w:val="00501F40"/>
    <w:rsid w:val="00504B25"/>
    <w:rsid w:val="00530964"/>
    <w:rsid w:val="0053495A"/>
    <w:rsid w:val="00535DE1"/>
    <w:rsid w:val="00546373"/>
    <w:rsid w:val="00547072"/>
    <w:rsid w:val="005A1441"/>
    <w:rsid w:val="005C5CA4"/>
    <w:rsid w:val="005F5C5F"/>
    <w:rsid w:val="00600147"/>
    <w:rsid w:val="006140F6"/>
    <w:rsid w:val="0062068E"/>
    <w:rsid w:val="00623FBE"/>
    <w:rsid w:val="006305D9"/>
    <w:rsid w:val="00634ADD"/>
    <w:rsid w:val="00643DAA"/>
    <w:rsid w:val="00644214"/>
    <w:rsid w:val="0065128B"/>
    <w:rsid w:val="0065254B"/>
    <w:rsid w:val="00667555"/>
    <w:rsid w:val="00670ABE"/>
    <w:rsid w:val="00685183"/>
    <w:rsid w:val="006878DA"/>
    <w:rsid w:val="006B6059"/>
    <w:rsid w:val="006B773D"/>
    <w:rsid w:val="006C0BB6"/>
    <w:rsid w:val="006C3CA1"/>
    <w:rsid w:val="006F5394"/>
    <w:rsid w:val="007039C9"/>
    <w:rsid w:val="0075035C"/>
    <w:rsid w:val="0076280E"/>
    <w:rsid w:val="00786222"/>
    <w:rsid w:val="007945AA"/>
    <w:rsid w:val="007A3EA3"/>
    <w:rsid w:val="007A5AA0"/>
    <w:rsid w:val="007A6E91"/>
    <w:rsid w:val="007B3CDD"/>
    <w:rsid w:val="007E387E"/>
    <w:rsid w:val="007F1325"/>
    <w:rsid w:val="007F5553"/>
    <w:rsid w:val="0080359A"/>
    <w:rsid w:val="008366A9"/>
    <w:rsid w:val="008861BE"/>
    <w:rsid w:val="008A2906"/>
    <w:rsid w:val="008A302F"/>
    <w:rsid w:val="008C1838"/>
    <w:rsid w:val="008D1419"/>
    <w:rsid w:val="008E3885"/>
    <w:rsid w:val="00924D7F"/>
    <w:rsid w:val="009440F4"/>
    <w:rsid w:val="0096250F"/>
    <w:rsid w:val="00964597"/>
    <w:rsid w:val="0097394D"/>
    <w:rsid w:val="00981A77"/>
    <w:rsid w:val="00983151"/>
    <w:rsid w:val="009A4771"/>
    <w:rsid w:val="009B0C26"/>
    <w:rsid w:val="009D0497"/>
    <w:rsid w:val="009D712A"/>
    <w:rsid w:val="009D7D6A"/>
    <w:rsid w:val="00A21E3A"/>
    <w:rsid w:val="00A221CC"/>
    <w:rsid w:val="00A25D5A"/>
    <w:rsid w:val="00A41AA9"/>
    <w:rsid w:val="00A4515B"/>
    <w:rsid w:val="00A65581"/>
    <w:rsid w:val="00A745D9"/>
    <w:rsid w:val="00AA41BE"/>
    <w:rsid w:val="00AB5074"/>
    <w:rsid w:val="00AC78D3"/>
    <w:rsid w:val="00AD4832"/>
    <w:rsid w:val="00AE108E"/>
    <w:rsid w:val="00AE353B"/>
    <w:rsid w:val="00AE695C"/>
    <w:rsid w:val="00AF170F"/>
    <w:rsid w:val="00B0615C"/>
    <w:rsid w:val="00B07CE0"/>
    <w:rsid w:val="00B346DA"/>
    <w:rsid w:val="00B553C1"/>
    <w:rsid w:val="00B642C7"/>
    <w:rsid w:val="00B75BED"/>
    <w:rsid w:val="00B77ABE"/>
    <w:rsid w:val="00B859F8"/>
    <w:rsid w:val="00B97E4A"/>
    <w:rsid w:val="00BA49E5"/>
    <w:rsid w:val="00BB1A17"/>
    <w:rsid w:val="00BE2892"/>
    <w:rsid w:val="00BE2D03"/>
    <w:rsid w:val="00BF20D7"/>
    <w:rsid w:val="00C123A1"/>
    <w:rsid w:val="00C145CB"/>
    <w:rsid w:val="00C16514"/>
    <w:rsid w:val="00C200B3"/>
    <w:rsid w:val="00C301F1"/>
    <w:rsid w:val="00C31FF1"/>
    <w:rsid w:val="00C372F7"/>
    <w:rsid w:val="00C37A8B"/>
    <w:rsid w:val="00C64505"/>
    <w:rsid w:val="00C81D02"/>
    <w:rsid w:val="00C905F9"/>
    <w:rsid w:val="00CA60D4"/>
    <w:rsid w:val="00CA6ED8"/>
    <w:rsid w:val="00CD78CF"/>
    <w:rsid w:val="00CE7943"/>
    <w:rsid w:val="00D07172"/>
    <w:rsid w:val="00D1516F"/>
    <w:rsid w:val="00D45A00"/>
    <w:rsid w:val="00D50363"/>
    <w:rsid w:val="00D63821"/>
    <w:rsid w:val="00D73858"/>
    <w:rsid w:val="00D75544"/>
    <w:rsid w:val="00D86C5B"/>
    <w:rsid w:val="00D976F6"/>
    <w:rsid w:val="00DB56FC"/>
    <w:rsid w:val="00DB75B3"/>
    <w:rsid w:val="00DE6107"/>
    <w:rsid w:val="00DF5D8A"/>
    <w:rsid w:val="00DF755C"/>
    <w:rsid w:val="00E01BF3"/>
    <w:rsid w:val="00E1062C"/>
    <w:rsid w:val="00E305EE"/>
    <w:rsid w:val="00E36153"/>
    <w:rsid w:val="00E3644B"/>
    <w:rsid w:val="00E4085D"/>
    <w:rsid w:val="00E50DE1"/>
    <w:rsid w:val="00E515FD"/>
    <w:rsid w:val="00E519EA"/>
    <w:rsid w:val="00E53293"/>
    <w:rsid w:val="00E63A83"/>
    <w:rsid w:val="00E66F08"/>
    <w:rsid w:val="00E85218"/>
    <w:rsid w:val="00E91C15"/>
    <w:rsid w:val="00EA2C51"/>
    <w:rsid w:val="00EB7237"/>
    <w:rsid w:val="00ED5565"/>
    <w:rsid w:val="00EF2D76"/>
    <w:rsid w:val="00EF310A"/>
    <w:rsid w:val="00EF34DA"/>
    <w:rsid w:val="00EF416E"/>
    <w:rsid w:val="00F26AC6"/>
    <w:rsid w:val="00F27541"/>
    <w:rsid w:val="00F50379"/>
    <w:rsid w:val="00F50FC1"/>
    <w:rsid w:val="00F61FC0"/>
    <w:rsid w:val="00F730ED"/>
    <w:rsid w:val="00FD669E"/>
    <w:rsid w:val="00FE536B"/>
    <w:rsid w:val="00FF0AB2"/>
    <w:rsid w:val="065435E7"/>
    <w:rsid w:val="066605B1"/>
    <w:rsid w:val="07F55F19"/>
    <w:rsid w:val="0C9475FE"/>
    <w:rsid w:val="0ED54FA7"/>
    <w:rsid w:val="117D5FBA"/>
    <w:rsid w:val="16DC6904"/>
    <w:rsid w:val="1BD85C34"/>
    <w:rsid w:val="1C62724B"/>
    <w:rsid w:val="1EAF6B6E"/>
    <w:rsid w:val="26494805"/>
    <w:rsid w:val="26D12CCB"/>
    <w:rsid w:val="26F7280B"/>
    <w:rsid w:val="2E4A5C2F"/>
    <w:rsid w:val="2F6C4C67"/>
    <w:rsid w:val="2F9B4539"/>
    <w:rsid w:val="2FD057C3"/>
    <w:rsid w:val="342E2B27"/>
    <w:rsid w:val="39E70D2F"/>
    <w:rsid w:val="3DB73C99"/>
    <w:rsid w:val="3DF81348"/>
    <w:rsid w:val="413C5593"/>
    <w:rsid w:val="42E2225C"/>
    <w:rsid w:val="43DC0D6D"/>
    <w:rsid w:val="4AA14B96"/>
    <w:rsid w:val="4E2A6D4B"/>
    <w:rsid w:val="5BD844BF"/>
    <w:rsid w:val="5C3563ED"/>
    <w:rsid w:val="5C56150A"/>
    <w:rsid w:val="5C8E394E"/>
    <w:rsid w:val="5C9B41FC"/>
    <w:rsid w:val="5DA930B5"/>
    <w:rsid w:val="61972682"/>
    <w:rsid w:val="61D50F91"/>
    <w:rsid w:val="62610A33"/>
    <w:rsid w:val="63515EFF"/>
    <w:rsid w:val="6EFC1923"/>
    <w:rsid w:val="6F156B86"/>
    <w:rsid w:val="734975EC"/>
    <w:rsid w:val="7C2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5389A"/>
  <w15:docId w15:val="{BD521EBC-E3AC-804A-92AA-85FD9BDAC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uiPriority="9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/>
    <w:lsdException w:name="Normal Indent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360" w:lineRule="auto"/>
      <w:ind w:firstLineChars="200" w:firstLine="200"/>
      <w:jc w:val="left"/>
    </w:pPr>
  </w:style>
  <w:style w:type="paragraph" w:styleId="a4">
    <w:name w:val="annotation text"/>
    <w:basedOn w:val="a"/>
    <w:link w:val="a5"/>
    <w:pPr>
      <w:jc w:val="left"/>
    </w:pPr>
    <w:rPr>
      <w:rFonts w:ascii="Times New Roman" w:hAnsi="Times New Roman"/>
    </w:rPr>
  </w:style>
  <w:style w:type="paragraph" w:styleId="a6">
    <w:name w:val="Body Text Indent"/>
    <w:basedOn w:val="a"/>
    <w:link w:val="a7"/>
    <w:pPr>
      <w:adjustRightInd w:val="0"/>
      <w:snapToGrid w:val="0"/>
      <w:spacing w:beforeLines="25" w:before="25" w:afterLines="25" w:after="25" w:line="360" w:lineRule="auto"/>
      <w:ind w:left="420" w:firstLineChars="200" w:firstLine="420"/>
    </w:pPr>
    <w:rPr>
      <w:rFonts w:ascii="宋体" w:eastAsia="DengXian" w:hAnsi="宋体"/>
      <w:sz w:val="24"/>
      <w:szCs w:val="22"/>
      <w:shd w:val="pct10" w:color="auto" w:fill="FFFFFF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autoRedefine/>
    <w:uiPriority w:val="39"/>
    <w:unhideWhenUsed/>
  </w:style>
  <w:style w:type="paragraph" w:styleId="aa">
    <w:name w:val="Subtitle"/>
    <w:basedOn w:val="a"/>
    <w:next w:val="a"/>
    <w:link w:val="ab"/>
    <w:qFormat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ac">
    <w:name w:val="Title"/>
    <w:basedOn w:val="a"/>
    <w:next w:val="a"/>
    <w:link w:val="ad"/>
    <w:qFormat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Emphasis"/>
    <w:qFormat/>
    <w:rPr>
      <w:i/>
      <w:iCs/>
    </w:rPr>
  </w:style>
  <w:style w:type="character" w:styleId="af1">
    <w:name w:val="annotation reference"/>
    <w:qFormat/>
    <w:rPr>
      <w:sz w:val="21"/>
      <w:szCs w:val="21"/>
    </w:rPr>
  </w:style>
  <w:style w:type="paragraph" w:customStyle="1" w:styleId="Char1">
    <w:name w:val="Char1"/>
    <w:basedOn w:val="a"/>
    <w:rPr>
      <w:rFonts w:ascii="Times New Roman" w:hAnsi="Times New Roman"/>
      <w:sz w:val="24"/>
    </w:rPr>
  </w:style>
  <w:style w:type="paragraph" w:customStyle="1" w:styleId="www">
    <w:name w:val="www正文"/>
    <w:basedOn w:val="a"/>
    <w:qFormat/>
    <w:pPr>
      <w:ind w:firstLineChars="200" w:firstLine="480"/>
    </w:pPr>
    <w:rPr>
      <w:rFonts w:ascii="Times New Roman" w:hAnsi="Times New Roman"/>
    </w:rPr>
  </w:style>
  <w:style w:type="paragraph" w:styleId="af2">
    <w:name w:val="List Paragraph"/>
    <w:basedOn w:val="a"/>
    <w:link w:val="af3"/>
    <w:uiPriority w:val="99"/>
    <w:qFormat/>
    <w:pPr>
      <w:ind w:firstLineChars="200" w:firstLine="420"/>
    </w:pPr>
  </w:style>
  <w:style w:type="character" w:customStyle="1" w:styleId="af3">
    <w:name w:val="列表段落 字符"/>
    <w:link w:val="af2"/>
    <w:uiPriority w:val="34"/>
    <w:qFormat/>
    <w:locked/>
    <w:rPr>
      <w:rFonts w:ascii="Calibri" w:hAnsi="Calibri"/>
      <w:kern w:val="2"/>
      <w:sz w:val="21"/>
      <w:szCs w:val="24"/>
    </w:rPr>
  </w:style>
  <w:style w:type="character" w:customStyle="1" w:styleId="40">
    <w:name w:val="标题 4 字符"/>
    <w:link w:val="4"/>
    <w:uiPriority w:val="9"/>
    <w:rPr>
      <w:rFonts w:ascii="等线 Light" w:eastAsia="等线 Light" w:hAnsi="等线 Light"/>
      <w:b/>
      <w:bCs/>
      <w:kern w:val="2"/>
      <w:sz w:val="28"/>
      <w:szCs w:val="28"/>
    </w:rPr>
  </w:style>
  <w:style w:type="character" w:customStyle="1" w:styleId="20">
    <w:name w:val="标题 2 字符"/>
    <w:link w:val="2"/>
    <w:uiPriority w:val="9"/>
    <w:rPr>
      <w:rFonts w:ascii="等线 Light" w:eastAsia="等线 Light" w:hAnsi="等线 Light"/>
      <w:b/>
      <w:bCs/>
      <w:kern w:val="2"/>
      <w:sz w:val="32"/>
      <w:szCs w:val="32"/>
    </w:rPr>
  </w:style>
  <w:style w:type="character" w:customStyle="1" w:styleId="a7">
    <w:name w:val="正文文本缩进 字符"/>
    <w:link w:val="a6"/>
    <w:rPr>
      <w:rFonts w:ascii="宋体" w:eastAsia="DengXian" w:hAnsi="宋体"/>
      <w:kern w:val="2"/>
      <w:sz w:val="24"/>
      <w:szCs w:val="22"/>
    </w:rPr>
  </w:style>
  <w:style w:type="character" w:customStyle="1" w:styleId="ad">
    <w:name w:val="标题 字符"/>
    <w:link w:val="ac"/>
    <w:rPr>
      <w:rFonts w:ascii="等线 Light" w:hAnsi="等线 Light" w:cs="Times New Roman"/>
      <w:b/>
      <w:bCs/>
      <w:kern w:val="2"/>
      <w:sz w:val="32"/>
      <w:szCs w:val="32"/>
    </w:rPr>
  </w:style>
  <w:style w:type="character" w:customStyle="1" w:styleId="10">
    <w:name w:val="标题 1 字符"/>
    <w:link w:val="1"/>
    <w:rPr>
      <w:rFonts w:ascii="Calibri" w:hAnsi="Calibri"/>
      <w:b/>
      <w:bCs/>
      <w:kern w:val="44"/>
      <w:sz w:val="44"/>
      <w:szCs w:val="44"/>
    </w:rPr>
  </w:style>
  <w:style w:type="character" w:customStyle="1" w:styleId="ab">
    <w:name w:val="副标题 字符"/>
    <w:link w:val="aa"/>
    <w:rPr>
      <w:rFonts w:ascii="等线 Light" w:hAnsi="等线 Light" w:cs="Times New Roman"/>
      <w:b/>
      <w:bCs/>
      <w:kern w:val="28"/>
      <w:sz w:val="32"/>
      <w:szCs w:val="32"/>
    </w:rPr>
  </w:style>
  <w:style w:type="paragraph" w:customStyle="1" w:styleId="af4">
    <w:name w:val="图例"/>
    <w:basedOn w:val="a"/>
    <w:pPr>
      <w:spacing w:before="120" w:after="120" w:line="360" w:lineRule="auto"/>
      <w:jc w:val="center"/>
    </w:pPr>
    <w:rPr>
      <w:rFonts w:ascii="Times New Roman" w:eastAsia="仿宋_GB2312" w:hAnsi="Times New Roman"/>
      <w:b/>
      <w:sz w:val="24"/>
      <w:szCs w:val="20"/>
    </w:rPr>
  </w:style>
  <w:style w:type="paragraph" w:customStyle="1" w:styleId="af5">
    <w:name w:val="方案正文"/>
    <w:basedOn w:val="a"/>
    <w:qFormat/>
    <w:pPr>
      <w:spacing w:before="120" w:line="360" w:lineRule="auto"/>
      <w:ind w:firstLineChars="177" w:firstLine="425"/>
    </w:pPr>
    <w:rPr>
      <w:rFonts w:ascii="华文细黑" w:eastAsia="华文细黑" w:hAnsi="华文细黑"/>
      <w:kern w:val="0"/>
      <w:sz w:val="24"/>
    </w:rPr>
  </w:style>
  <w:style w:type="character" w:customStyle="1" w:styleId="a5">
    <w:name w:val="批注文字 字符"/>
    <w:basedOn w:val="a0"/>
    <w:link w:val="a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689</Words>
  <Characters>3933</Characters>
  <Application>Microsoft Office Word</Application>
  <DocSecurity>0</DocSecurity>
  <Lines>32</Lines>
  <Paragraphs>9</Paragraphs>
  <ScaleCrop>false</ScaleCrop>
  <Company>Microsoft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前波 李</cp:lastModifiedBy>
  <cp:revision>2</cp:revision>
  <dcterms:created xsi:type="dcterms:W3CDTF">2026-03-20T05:43:00Z</dcterms:created>
  <dcterms:modified xsi:type="dcterms:W3CDTF">2026-03-20T05:43:00Z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480250ABEB754BBA9C6E09CEE482C4D9_13</vt:lpwstr>
  </property>
  <property fmtid="{D5CDD505-2E9C-101B-9397-08002B2CF9AE}" pid="4" name="KSOTemplateDocerSaveRecord">
    <vt:lpwstr>eyJoZGlkIjoiMDY5NmFjMmM4ZTljMGJiZDAxN2JmYTc0NGI0NmFiNDgiLCJ1c2VySWQiOiI1MjQwMTQwMDYifQ==</vt:lpwstr>
  </property>
</Properties>
</file>