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eastAsia="宋体"/>
          <w:lang w:eastAsia="zh-CN"/>
        </w:rPr>
      </w:pPr>
    </w:p>
    <w:p>
      <w:pPr>
        <w:jc w:val="center"/>
        <w:rPr>
          <w:rFonts w:hint="eastAsia" w:ascii="宋体" w:hAnsi="宋体" w:eastAsia="宋体"/>
          <w:lang w:eastAsia="zh-CN"/>
        </w:rPr>
      </w:pPr>
    </w:p>
    <w:p>
      <w:pPr>
        <w:spacing w:line="1600" w:lineRule="exact"/>
        <w:jc w:val="center"/>
        <w:outlineLvl w:val="0"/>
        <w:rPr>
          <w:rFonts w:hint="eastAsia" w:ascii="方正黑体_GBK" w:eastAsia="方正黑体_GBK"/>
          <w:sz w:val="100"/>
        </w:rPr>
      </w:pPr>
    </w:p>
    <w:p>
      <w:pPr>
        <w:jc w:val="center"/>
        <w:rPr>
          <w:rFonts w:hint="eastAsia" w:ascii="宋体" w:hAnsi="宋体"/>
        </w:rPr>
      </w:pP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rPr>
        <w:t>竞争性谈判</w:t>
      </w: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rPr>
        <w:t>文件</w:t>
      </w:r>
    </w:p>
    <w:p>
      <w:pPr>
        <w:pStyle w:val="66"/>
        <w:jc w:val="center"/>
        <w:rPr>
          <w:rFonts w:hint="eastAsia" w:ascii="黑体" w:eastAsia="黑体"/>
          <w:sz w:val="32"/>
        </w:rPr>
      </w:pPr>
    </w:p>
    <w:p>
      <w:pPr>
        <w:pStyle w:val="67"/>
        <w:rPr>
          <w:rFonts w:hint="eastAsia"/>
        </w:rPr>
      </w:pPr>
    </w:p>
    <w:p>
      <w:pPr>
        <w:spacing w:line="700" w:lineRule="exact"/>
        <w:jc w:val="center"/>
        <w:rPr>
          <w:rFonts w:hint="eastAsia" w:ascii="黑体" w:eastAsia="黑体"/>
          <w:sz w:val="32"/>
        </w:rPr>
      </w:pPr>
    </w:p>
    <w:p>
      <w:pPr>
        <w:spacing w:line="360" w:lineRule="auto"/>
        <w:ind w:firstLine="1080" w:firstLineChars="3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YHQ230059</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两院区潜污泵排水系统新增及维修工程</w:t>
      </w:r>
    </w:p>
    <w:p>
      <w:pPr>
        <w:spacing w:line="700" w:lineRule="exact"/>
        <w:jc w:val="center"/>
        <w:rPr>
          <w:rFonts w:hint="eastAsia" w:ascii="方正小标宋_GBK" w:hAnsi="宋体" w:eastAsia="方正小标宋_GBK"/>
          <w:b/>
          <w:sz w:val="36"/>
          <w:szCs w:val="36"/>
        </w:rPr>
      </w:pPr>
    </w:p>
    <w:p>
      <w:pPr>
        <w:spacing w:line="500" w:lineRule="exact"/>
        <w:jc w:val="both"/>
        <w:outlineLvl w:val="0"/>
        <w:rPr>
          <w:rFonts w:hint="eastAsia" w:ascii="方正小标宋_GBK" w:eastAsia="方正小标宋_GBK"/>
          <w:sz w:val="36"/>
          <w:szCs w:val="36"/>
        </w:rPr>
      </w:pPr>
    </w:p>
    <w:p>
      <w:pPr>
        <w:pStyle w:val="66"/>
        <w:rPr>
          <w:rFonts w:hint="eastAsia"/>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3</w:t>
      </w:r>
      <w:r>
        <w:rPr>
          <w:rFonts w:hint="eastAsia" w:ascii="方正小标宋_GBK" w:hAnsi="宋体" w:eastAsia="方正小标宋_GBK"/>
          <w:sz w:val="36"/>
          <w:szCs w:val="36"/>
        </w:rPr>
        <w:t>月</w:t>
      </w:r>
    </w:p>
    <w:p>
      <w:pPr>
        <w:spacing w:line="480" w:lineRule="exact"/>
        <w:outlineLvl w:val="0"/>
        <w:rPr>
          <w:rFonts w:ascii="方正黑体_GBK" w:eastAsia="方正黑体_GBK"/>
          <w:sz w:val="44"/>
          <w:szCs w:val="28"/>
        </w:rPr>
        <w:sectPr>
          <w:headerReference r:id="rId4" w:type="first"/>
          <w:footerReference r:id="rId6" w:type="first"/>
          <w:headerReference r:id="rId3" w:type="default"/>
          <w:footerReference r:id="rId5" w:type="even"/>
          <w:pgSz w:w="11907" w:h="16840"/>
          <w:pgMar w:top="1134" w:right="1191" w:bottom="1134" w:left="1304" w:header="851" w:footer="992" w:gutter="0"/>
          <w:pgNumType w:fmt="decimal"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_Toc9991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第一篇  竞争性谈判邀请书</w:t>
      </w:r>
      <w:r>
        <w:rPr>
          <w:sz w:val="24"/>
          <w:szCs w:val="24"/>
        </w:rPr>
        <w:tab/>
      </w:r>
      <w:r>
        <w:rPr>
          <w:sz w:val="24"/>
          <w:szCs w:val="24"/>
        </w:rPr>
        <w:fldChar w:fldCharType="begin"/>
      </w:r>
      <w:r>
        <w:rPr>
          <w:sz w:val="24"/>
          <w:szCs w:val="24"/>
        </w:rPr>
        <w:instrText xml:space="preserve"> PAGEREF _Toc9991 \h </w:instrText>
      </w:r>
      <w:r>
        <w:rPr>
          <w:sz w:val="24"/>
          <w:szCs w:val="24"/>
        </w:rPr>
        <w:fldChar w:fldCharType="separate"/>
      </w:r>
      <w:r>
        <w:rPr>
          <w:sz w:val="24"/>
          <w:szCs w:val="24"/>
        </w:rPr>
        <w:t>2</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_Toc8062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一、竞争性谈判内容</w:t>
      </w:r>
      <w:r>
        <w:rPr>
          <w:sz w:val="24"/>
          <w:szCs w:val="24"/>
        </w:rPr>
        <w:tab/>
      </w:r>
      <w:r>
        <w:rPr>
          <w:sz w:val="24"/>
          <w:szCs w:val="24"/>
        </w:rPr>
        <w:fldChar w:fldCharType="begin"/>
      </w:r>
      <w:r>
        <w:rPr>
          <w:sz w:val="24"/>
          <w:szCs w:val="24"/>
        </w:rPr>
        <w:instrText xml:space="preserve"> PAGEREF _Toc8062 \h </w:instrText>
      </w:r>
      <w:r>
        <w:rPr>
          <w:sz w:val="24"/>
          <w:szCs w:val="24"/>
        </w:rPr>
        <w:fldChar w:fldCharType="separate"/>
      </w:r>
      <w:r>
        <w:rPr>
          <w:sz w:val="24"/>
          <w:szCs w:val="24"/>
        </w:rPr>
        <w:t>2</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_Toc13719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_Toc13719 \h </w:instrText>
      </w:r>
      <w:r>
        <w:rPr>
          <w:sz w:val="24"/>
          <w:szCs w:val="24"/>
        </w:rPr>
        <w:fldChar w:fldCharType="separate"/>
      </w:r>
      <w:r>
        <w:rPr>
          <w:sz w:val="24"/>
          <w:szCs w:val="24"/>
        </w:rPr>
        <w:t>2</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_Toc5120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、谈判有关说明</w:t>
      </w:r>
      <w:r>
        <w:rPr>
          <w:sz w:val="24"/>
          <w:szCs w:val="24"/>
        </w:rPr>
        <w:tab/>
      </w:r>
      <w:r>
        <w:rPr>
          <w:sz w:val="24"/>
          <w:szCs w:val="24"/>
        </w:rPr>
        <w:fldChar w:fldCharType="begin"/>
      </w:r>
      <w:r>
        <w:rPr>
          <w:sz w:val="24"/>
          <w:szCs w:val="24"/>
        </w:rPr>
        <w:instrText xml:space="preserve"> PAGEREF _Toc5120 \h </w:instrText>
      </w:r>
      <w:r>
        <w:rPr>
          <w:sz w:val="24"/>
          <w:szCs w:val="24"/>
        </w:rPr>
        <w:fldChar w:fldCharType="separate"/>
      </w:r>
      <w:r>
        <w:rPr>
          <w:sz w:val="24"/>
          <w:szCs w:val="24"/>
        </w:rPr>
        <w:t>2</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_Toc30996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、保证金</w:t>
      </w:r>
      <w:r>
        <w:rPr>
          <w:rFonts w:hint="eastAsia" w:ascii="方正仿宋_GBK" w:hAnsi="宋体" w:eastAsia="方正仿宋_GBK"/>
          <w:sz w:val="24"/>
          <w:szCs w:val="24"/>
          <w:lang w:eastAsia="zh-CN"/>
        </w:rPr>
        <w:t>：</w:t>
      </w:r>
      <w:r>
        <w:rPr>
          <w:sz w:val="24"/>
          <w:szCs w:val="24"/>
        </w:rPr>
        <w:tab/>
      </w:r>
      <w:r>
        <w:rPr>
          <w:sz w:val="24"/>
          <w:szCs w:val="24"/>
        </w:rPr>
        <w:fldChar w:fldCharType="begin"/>
      </w:r>
      <w:r>
        <w:rPr>
          <w:sz w:val="24"/>
          <w:szCs w:val="24"/>
        </w:rPr>
        <w:instrText xml:space="preserve"> PAGEREF _Toc30996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_Toc24990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_Toc24990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_Toc22176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_Toc22176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_Toc18918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第二篇  工程技术需求</w:t>
      </w:r>
      <w:r>
        <w:rPr>
          <w:sz w:val="24"/>
          <w:szCs w:val="24"/>
        </w:rPr>
        <w:tab/>
      </w:r>
      <w:r>
        <w:rPr>
          <w:sz w:val="24"/>
          <w:szCs w:val="24"/>
        </w:rPr>
        <w:fldChar w:fldCharType="begin"/>
      </w:r>
      <w:r>
        <w:rPr>
          <w:sz w:val="24"/>
          <w:szCs w:val="24"/>
        </w:rPr>
        <w:instrText xml:space="preserve"> PAGEREF _Toc18918 \h </w:instrText>
      </w:r>
      <w:r>
        <w:rPr>
          <w:sz w:val="24"/>
          <w:szCs w:val="24"/>
        </w:rPr>
        <w:fldChar w:fldCharType="separate"/>
      </w:r>
      <w:r>
        <w:rPr>
          <w:sz w:val="24"/>
          <w:szCs w:val="24"/>
        </w:rPr>
        <w:t>4</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_Toc7844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一、项目基本概况介绍</w:t>
      </w:r>
      <w:r>
        <w:rPr>
          <w:sz w:val="24"/>
          <w:szCs w:val="24"/>
        </w:rPr>
        <w:tab/>
      </w:r>
      <w:r>
        <w:rPr>
          <w:sz w:val="24"/>
          <w:szCs w:val="24"/>
        </w:rPr>
        <w:fldChar w:fldCharType="begin"/>
      </w:r>
      <w:r>
        <w:rPr>
          <w:sz w:val="24"/>
          <w:szCs w:val="24"/>
        </w:rPr>
        <w:instrText xml:space="preserve"> PAGEREF _Toc7844 \h </w:instrText>
      </w:r>
      <w:r>
        <w:rPr>
          <w:sz w:val="24"/>
          <w:szCs w:val="24"/>
        </w:rPr>
        <w:fldChar w:fldCharType="separate"/>
      </w:r>
      <w:r>
        <w:rPr>
          <w:sz w:val="24"/>
          <w:szCs w:val="24"/>
        </w:rPr>
        <w:t>4</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_Toc25706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第三篇  商务需求</w:t>
      </w:r>
      <w:r>
        <w:rPr>
          <w:sz w:val="24"/>
          <w:szCs w:val="24"/>
        </w:rPr>
        <w:tab/>
      </w:r>
      <w:r>
        <w:rPr>
          <w:sz w:val="24"/>
          <w:szCs w:val="24"/>
        </w:rPr>
        <w:fldChar w:fldCharType="begin"/>
      </w:r>
      <w:r>
        <w:rPr>
          <w:sz w:val="24"/>
          <w:szCs w:val="24"/>
        </w:rPr>
        <w:instrText xml:space="preserve"> PAGEREF _Toc25706 \h </w:instrText>
      </w:r>
      <w:r>
        <w:rPr>
          <w:sz w:val="24"/>
          <w:szCs w:val="24"/>
        </w:rPr>
        <w:fldChar w:fldCharType="separate"/>
      </w:r>
      <w:r>
        <w:rPr>
          <w:sz w:val="24"/>
          <w:szCs w:val="24"/>
        </w:rPr>
        <w:t>7</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_Toc6152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第四篇  采购程序、评定成交的标准、无效谈判及采购终止</w:t>
      </w:r>
      <w:r>
        <w:rPr>
          <w:sz w:val="24"/>
          <w:szCs w:val="24"/>
        </w:rPr>
        <w:tab/>
      </w:r>
      <w:r>
        <w:rPr>
          <w:sz w:val="24"/>
          <w:szCs w:val="24"/>
        </w:rPr>
        <w:fldChar w:fldCharType="begin"/>
      </w:r>
      <w:r>
        <w:rPr>
          <w:sz w:val="24"/>
          <w:szCs w:val="24"/>
        </w:rPr>
        <w:instrText xml:space="preserve"> PAGEREF _Toc6152 \h </w:instrText>
      </w:r>
      <w:r>
        <w:rPr>
          <w:sz w:val="24"/>
          <w:szCs w:val="24"/>
        </w:rPr>
        <w:fldChar w:fldCharType="separate"/>
      </w:r>
      <w:r>
        <w:rPr>
          <w:sz w:val="24"/>
          <w:szCs w:val="24"/>
        </w:rPr>
        <w:t>8</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_Toc15242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一、采购程序</w:t>
      </w:r>
      <w:r>
        <w:rPr>
          <w:sz w:val="24"/>
          <w:szCs w:val="24"/>
        </w:rPr>
        <w:tab/>
      </w:r>
      <w:r>
        <w:rPr>
          <w:sz w:val="24"/>
          <w:szCs w:val="24"/>
        </w:rPr>
        <w:fldChar w:fldCharType="begin"/>
      </w:r>
      <w:r>
        <w:rPr>
          <w:sz w:val="24"/>
          <w:szCs w:val="24"/>
        </w:rPr>
        <w:instrText xml:space="preserve"> PAGEREF _Toc15242 \h </w:instrText>
      </w:r>
      <w:r>
        <w:rPr>
          <w:sz w:val="24"/>
          <w:szCs w:val="24"/>
        </w:rPr>
        <w:fldChar w:fldCharType="separate"/>
      </w:r>
      <w:r>
        <w:rPr>
          <w:sz w:val="24"/>
          <w:szCs w:val="24"/>
        </w:rPr>
        <w:t>8</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_Toc28258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二、评定成交的标准</w:t>
      </w:r>
      <w:r>
        <w:rPr>
          <w:sz w:val="24"/>
          <w:szCs w:val="24"/>
        </w:rPr>
        <w:tab/>
      </w:r>
      <w:r>
        <w:rPr>
          <w:sz w:val="24"/>
          <w:szCs w:val="24"/>
        </w:rPr>
        <w:fldChar w:fldCharType="begin"/>
      </w:r>
      <w:r>
        <w:rPr>
          <w:sz w:val="24"/>
          <w:szCs w:val="24"/>
        </w:rPr>
        <w:instrText xml:space="preserve"> PAGEREF _Toc28258 \h </w:instrText>
      </w:r>
      <w:r>
        <w:rPr>
          <w:sz w:val="24"/>
          <w:szCs w:val="24"/>
        </w:rPr>
        <w:fldChar w:fldCharType="separate"/>
      </w:r>
      <w:r>
        <w:rPr>
          <w:sz w:val="24"/>
          <w:szCs w:val="24"/>
        </w:rPr>
        <w:t>9</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_Toc13425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三、无效谈判</w:t>
      </w:r>
      <w:r>
        <w:rPr>
          <w:sz w:val="24"/>
          <w:szCs w:val="24"/>
        </w:rPr>
        <w:tab/>
      </w:r>
      <w:r>
        <w:rPr>
          <w:sz w:val="24"/>
          <w:szCs w:val="24"/>
        </w:rPr>
        <w:fldChar w:fldCharType="begin"/>
      </w:r>
      <w:r>
        <w:rPr>
          <w:sz w:val="24"/>
          <w:szCs w:val="24"/>
        </w:rPr>
        <w:instrText xml:space="preserve"> PAGEREF _Toc13425 \h </w:instrText>
      </w:r>
      <w:r>
        <w:rPr>
          <w:sz w:val="24"/>
          <w:szCs w:val="24"/>
        </w:rPr>
        <w:fldChar w:fldCharType="separate"/>
      </w:r>
      <w:r>
        <w:rPr>
          <w:sz w:val="24"/>
          <w:szCs w:val="24"/>
        </w:rPr>
        <w:t>10</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_Toc25202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四、采购终止</w:t>
      </w:r>
      <w:r>
        <w:rPr>
          <w:sz w:val="24"/>
          <w:szCs w:val="24"/>
        </w:rPr>
        <w:tab/>
      </w:r>
      <w:r>
        <w:rPr>
          <w:sz w:val="24"/>
          <w:szCs w:val="24"/>
        </w:rPr>
        <w:fldChar w:fldCharType="begin"/>
      </w:r>
      <w:r>
        <w:rPr>
          <w:sz w:val="24"/>
          <w:szCs w:val="24"/>
        </w:rPr>
        <w:instrText xml:space="preserve"> PAGEREF _Toc25202 \h </w:instrText>
      </w:r>
      <w:r>
        <w:rPr>
          <w:sz w:val="24"/>
          <w:szCs w:val="24"/>
        </w:rPr>
        <w:fldChar w:fldCharType="separate"/>
      </w:r>
      <w:r>
        <w:rPr>
          <w:sz w:val="24"/>
          <w:szCs w:val="24"/>
        </w:rPr>
        <w:t>10</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_Toc17430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第五篇  投标人须知</w:t>
      </w:r>
      <w:r>
        <w:rPr>
          <w:sz w:val="24"/>
          <w:szCs w:val="24"/>
        </w:rPr>
        <w:tab/>
      </w:r>
      <w:r>
        <w:rPr>
          <w:sz w:val="24"/>
          <w:szCs w:val="24"/>
        </w:rPr>
        <w:fldChar w:fldCharType="begin"/>
      </w:r>
      <w:r>
        <w:rPr>
          <w:sz w:val="24"/>
          <w:szCs w:val="24"/>
        </w:rPr>
        <w:instrText xml:space="preserve"> PAGEREF _Toc17430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_Toc22433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一、谈判费用</w:t>
      </w:r>
      <w:r>
        <w:rPr>
          <w:sz w:val="24"/>
          <w:szCs w:val="24"/>
        </w:rPr>
        <w:tab/>
      </w:r>
      <w:r>
        <w:rPr>
          <w:sz w:val="24"/>
          <w:szCs w:val="24"/>
        </w:rPr>
        <w:fldChar w:fldCharType="begin"/>
      </w:r>
      <w:r>
        <w:rPr>
          <w:sz w:val="24"/>
          <w:szCs w:val="24"/>
        </w:rPr>
        <w:instrText xml:space="preserve"> PAGEREF _Toc22433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_Toc16715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二、竞争性谈判文件</w:t>
      </w:r>
      <w:r>
        <w:rPr>
          <w:sz w:val="24"/>
          <w:szCs w:val="24"/>
        </w:rPr>
        <w:tab/>
      </w:r>
      <w:r>
        <w:rPr>
          <w:sz w:val="24"/>
          <w:szCs w:val="24"/>
        </w:rPr>
        <w:fldChar w:fldCharType="begin"/>
      </w:r>
      <w:r>
        <w:rPr>
          <w:sz w:val="24"/>
          <w:szCs w:val="24"/>
        </w:rPr>
        <w:instrText xml:space="preserve"> PAGEREF _Toc16715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_Toc28256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三、谈判要求</w:t>
      </w:r>
      <w:r>
        <w:rPr>
          <w:sz w:val="24"/>
          <w:szCs w:val="24"/>
        </w:rPr>
        <w:tab/>
      </w:r>
      <w:r>
        <w:rPr>
          <w:sz w:val="24"/>
          <w:szCs w:val="24"/>
        </w:rPr>
        <w:fldChar w:fldCharType="begin"/>
      </w:r>
      <w:r>
        <w:rPr>
          <w:sz w:val="24"/>
          <w:szCs w:val="24"/>
        </w:rPr>
        <w:instrText xml:space="preserve"> PAGEREF _Toc28256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_Toc25617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的确定和变更</w:t>
      </w:r>
      <w:r>
        <w:rPr>
          <w:sz w:val="24"/>
          <w:szCs w:val="24"/>
        </w:rPr>
        <w:tab/>
      </w:r>
      <w:r>
        <w:rPr>
          <w:sz w:val="24"/>
          <w:szCs w:val="24"/>
        </w:rPr>
        <w:fldChar w:fldCharType="begin"/>
      </w:r>
      <w:r>
        <w:rPr>
          <w:sz w:val="24"/>
          <w:szCs w:val="24"/>
        </w:rPr>
        <w:instrText xml:space="preserve"> PAGEREF _Toc25617 \h </w:instrText>
      </w:r>
      <w:r>
        <w:rPr>
          <w:sz w:val="24"/>
          <w:szCs w:val="24"/>
        </w:rPr>
        <w:fldChar w:fldCharType="separate"/>
      </w:r>
      <w:r>
        <w:rPr>
          <w:sz w:val="24"/>
          <w:szCs w:val="24"/>
        </w:rPr>
        <w:t>13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_Toc6813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_Toc6813 \h </w:instrText>
      </w:r>
      <w:r>
        <w:rPr>
          <w:sz w:val="24"/>
          <w:szCs w:val="24"/>
        </w:rPr>
        <w:fldChar w:fldCharType="separate"/>
      </w:r>
      <w:r>
        <w:rPr>
          <w:sz w:val="24"/>
          <w:szCs w:val="24"/>
        </w:rPr>
        <w:t>13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_Toc17617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_Toc17617 \h </w:instrText>
      </w:r>
      <w:r>
        <w:rPr>
          <w:sz w:val="24"/>
          <w:szCs w:val="24"/>
        </w:rPr>
        <w:fldChar w:fldCharType="separate"/>
      </w:r>
      <w:r>
        <w:rPr>
          <w:sz w:val="24"/>
          <w:szCs w:val="24"/>
        </w:rPr>
        <w:t>13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_Toc24220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_Toc24220 \h </w:instrText>
      </w:r>
      <w:r>
        <w:rPr>
          <w:sz w:val="24"/>
          <w:szCs w:val="24"/>
        </w:rPr>
        <w:fldChar w:fldCharType="separate"/>
      </w:r>
      <w:r>
        <w:rPr>
          <w:sz w:val="24"/>
          <w:szCs w:val="24"/>
        </w:rPr>
        <w:t>14</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_Toc561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第六篇  响应文件格式要求</w:t>
      </w:r>
      <w:r>
        <w:rPr>
          <w:sz w:val="24"/>
          <w:szCs w:val="24"/>
        </w:rPr>
        <w:tab/>
      </w:r>
      <w:r>
        <w:rPr>
          <w:sz w:val="24"/>
          <w:szCs w:val="24"/>
        </w:rPr>
        <w:fldChar w:fldCharType="begin"/>
      </w:r>
      <w:r>
        <w:rPr>
          <w:sz w:val="24"/>
          <w:szCs w:val="24"/>
        </w:rPr>
        <w:instrText xml:space="preserve"> PAGEREF _Toc561 \h </w:instrText>
      </w:r>
      <w:r>
        <w:rPr>
          <w:sz w:val="24"/>
          <w:szCs w:val="24"/>
        </w:rPr>
        <w:fldChar w:fldCharType="separate"/>
      </w:r>
      <w:r>
        <w:rPr>
          <w:sz w:val="24"/>
          <w:szCs w:val="24"/>
        </w:rPr>
        <w:t>15</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_Toc22019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_Toc22019 \h </w:instrText>
      </w:r>
      <w:r>
        <w:rPr>
          <w:sz w:val="24"/>
          <w:szCs w:val="24"/>
        </w:rPr>
        <w:fldChar w:fldCharType="separate"/>
      </w:r>
      <w:r>
        <w:rPr>
          <w:sz w:val="24"/>
          <w:szCs w:val="24"/>
        </w:rPr>
        <w:t>17</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_Toc10894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技术要求</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_Toc10894 \h </w:instrText>
      </w:r>
      <w:r>
        <w:rPr>
          <w:sz w:val="24"/>
          <w:szCs w:val="24"/>
        </w:rPr>
        <w:fldChar w:fldCharType="separate"/>
      </w:r>
      <w:r>
        <w:rPr>
          <w:sz w:val="24"/>
          <w:szCs w:val="24"/>
        </w:rPr>
        <w:t>21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_Toc23000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_Toc23000 \h </w:instrText>
      </w:r>
      <w:r>
        <w:rPr>
          <w:sz w:val="24"/>
          <w:szCs w:val="24"/>
        </w:rPr>
        <w:fldChar w:fldCharType="separate"/>
      </w:r>
      <w:r>
        <w:rPr>
          <w:sz w:val="24"/>
          <w:szCs w:val="24"/>
        </w:rPr>
        <w:t>23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_Toc11888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四、资格条件及其他</w:t>
      </w:r>
      <w:r>
        <w:rPr>
          <w:sz w:val="24"/>
          <w:szCs w:val="24"/>
        </w:rPr>
        <w:tab/>
      </w:r>
      <w:r>
        <w:rPr>
          <w:sz w:val="24"/>
          <w:szCs w:val="24"/>
        </w:rPr>
        <w:fldChar w:fldCharType="begin"/>
      </w:r>
      <w:r>
        <w:rPr>
          <w:sz w:val="24"/>
          <w:szCs w:val="24"/>
        </w:rPr>
        <w:instrText xml:space="preserve"> PAGEREF _Toc11888 \h </w:instrText>
      </w:r>
      <w:r>
        <w:rPr>
          <w:sz w:val="24"/>
          <w:szCs w:val="24"/>
        </w:rPr>
        <w:fldChar w:fldCharType="separate"/>
      </w:r>
      <w:r>
        <w:rPr>
          <w:sz w:val="24"/>
          <w:szCs w:val="24"/>
        </w:rPr>
        <w:t>25</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02"/>
        </w:tabs>
        <w:spacing w:line="480" w:lineRule="exact"/>
        <w:ind w:left="560"/>
        <w:rPr>
          <w:rFonts w:ascii="方正仿宋_GBK" w:hAnsi="Calibri" w:eastAsia="方正仿宋_GBK"/>
          <w:sz w:val="24"/>
          <w:szCs w:val="24"/>
        </w:rPr>
        <w:sectPr>
          <w:footerReference r:id="rId7" w:type="default"/>
          <w:pgSz w:w="11907" w:h="16840"/>
          <w:pgMar w:top="1134" w:right="1191" w:bottom="1134" w:left="1304" w:header="851" w:footer="992" w:gutter="0"/>
          <w:pgNumType w:fmt="decimal" w:start="1"/>
          <w:cols w:space="720" w:num="1"/>
          <w:docGrid w:linePitch="381" w:charSpace="-5735"/>
        </w:sectPr>
      </w:pPr>
      <w:r>
        <w:rPr>
          <w:rFonts w:hint="eastAsia" w:ascii="方正仿宋_GBK" w:hAnsi="宋体" w:eastAsia="方正仿宋_GBK"/>
          <w:sz w:val="24"/>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0" w:name="_Toc24173"/>
      <w:bookmarkStart w:id="1" w:name="_Toc11641050"/>
      <w:bookmarkStart w:id="2" w:name="_Toc65660329"/>
      <w:bookmarkStart w:id="3" w:name="_Toc15726"/>
      <w:bookmarkStart w:id="4" w:name="_Toc12789052"/>
      <w:bookmarkStart w:id="5" w:name="_Toc9991"/>
      <w:r>
        <w:rPr>
          <w:rFonts w:hint="eastAsia" w:ascii="方正仿宋_GBK" w:hAnsi="Times New Roman" w:eastAsia="方正仿宋_GBK" w:cs="Times New Roman"/>
          <w:b/>
          <w:sz w:val="44"/>
          <w:szCs w:val="20"/>
          <w:lang w:val="en-US" w:eastAsia="zh-CN"/>
        </w:rPr>
        <w:t>第一篇  竞争性谈判邀请书</w:t>
      </w:r>
      <w:bookmarkEnd w:id="0"/>
      <w:bookmarkEnd w:id="1"/>
      <w:bookmarkEnd w:id="2"/>
      <w:bookmarkEnd w:id="3"/>
      <w:bookmarkEnd w:id="4"/>
      <w:bookmarkEnd w:id="5"/>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重庆医科大学附属儿童医院</w:t>
      </w:r>
      <w:r>
        <w:rPr>
          <w:rFonts w:hint="eastAsia" w:ascii="方正仿宋_GBK" w:hAnsi="宋体" w:eastAsia="方正仿宋_GBK"/>
          <w:sz w:val="24"/>
          <w:szCs w:val="24"/>
        </w:rPr>
        <w:t>对</w:t>
      </w:r>
      <w:r>
        <w:rPr>
          <w:rFonts w:hint="eastAsia" w:ascii="方正仿宋_GBK" w:hAnsi="宋体" w:eastAsia="方正仿宋_GBK"/>
          <w:sz w:val="24"/>
          <w:szCs w:val="24"/>
          <w:u w:val="single"/>
          <w:lang w:val="en-US" w:eastAsia="zh-CN"/>
        </w:rPr>
        <w:t>两院区潜污泵排水系统新增及维修工程</w:t>
      </w:r>
      <w:r>
        <w:rPr>
          <w:rFonts w:hint="eastAsia" w:ascii="方正仿宋_GBK" w:hAnsi="宋体" w:eastAsia="方正仿宋_GBK"/>
          <w:sz w:val="24"/>
          <w:szCs w:val="24"/>
        </w:rPr>
        <w:t>项目进行竞争性谈判采购。欢迎有资格的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前来参加谈判。</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7758"/>
      <w:bookmarkStart w:id="7" w:name="_Toc65660330"/>
      <w:bookmarkStart w:id="8" w:name="_Toc8062"/>
      <w:bookmarkStart w:id="9" w:name="_Toc313893526"/>
      <w:bookmarkStart w:id="10" w:name="_Toc317775175"/>
      <w:bookmarkStart w:id="11" w:name="_Toc18246"/>
      <w:r>
        <w:rPr>
          <w:rFonts w:hint="eastAsia" w:ascii="方正仿宋_GBK" w:hAnsi="宋体" w:eastAsia="方正仿宋_GBK"/>
          <w:sz w:val="24"/>
        </w:rPr>
        <w:t>一、竞争性谈判内容</w:t>
      </w:r>
      <w:bookmarkEnd w:id="6"/>
      <w:bookmarkEnd w:id="7"/>
      <w:bookmarkEnd w:id="8"/>
      <w:bookmarkEnd w:id="9"/>
      <w:bookmarkEnd w:id="10"/>
      <w:bookmarkEnd w:id="11"/>
    </w:p>
    <w:tbl>
      <w:tblPr>
        <w:tblStyle w:val="57"/>
        <w:tblW w:w="43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2360"/>
        <w:gridCol w:w="1391"/>
        <w:gridCol w:w="1450"/>
        <w:gridCol w:w="17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05" w:type="pct"/>
            <w:tcBorders>
              <w:top w:val="single" w:color="auto" w:sz="4" w:space="0"/>
              <w:left w:val="single" w:color="auto" w:sz="4" w:space="0"/>
              <w:right w:val="single" w:color="auto" w:sz="4" w:space="0"/>
            </w:tcBorders>
            <w:noWrap w:val="0"/>
            <w:vAlign w:val="center"/>
          </w:tcPr>
          <w:p>
            <w:pPr>
              <w:widowControl/>
              <w:jc w:val="center"/>
              <w:rPr>
                <w:rFonts w:hint="default" w:ascii="方正仿宋_GBK" w:hAnsi="宋体" w:eastAsia="方正仿宋_GBK" w:cs="宋体"/>
                <w:b/>
                <w:bCs/>
                <w:kern w:val="0"/>
                <w:sz w:val="21"/>
                <w:szCs w:val="24"/>
                <w:lang w:val="en-US" w:eastAsia="zh-CN"/>
              </w:rPr>
            </w:pPr>
            <w:r>
              <w:rPr>
                <w:rFonts w:hint="eastAsia" w:ascii="方正仿宋_GBK" w:hAnsi="宋体" w:eastAsia="方正仿宋_GBK" w:cs="宋体"/>
                <w:b/>
                <w:bCs/>
                <w:kern w:val="0"/>
                <w:sz w:val="21"/>
                <w:szCs w:val="24"/>
                <w:lang w:val="en-US" w:eastAsia="zh-CN"/>
              </w:rPr>
              <w:t>项目编号</w:t>
            </w:r>
          </w:p>
        </w:tc>
        <w:tc>
          <w:tcPr>
            <w:tcW w:w="1423"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val="en-US" w:eastAsia="zh-CN"/>
              </w:rPr>
              <w:t>项目</w:t>
            </w:r>
            <w:r>
              <w:rPr>
                <w:rFonts w:hint="eastAsia" w:ascii="方正仿宋_GBK" w:hAnsi="宋体" w:eastAsia="方正仿宋_GBK" w:cs="宋体"/>
                <w:b/>
                <w:bCs/>
                <w:kern w:val="0"/>
                <w:sz w:val="21"/>
                <w:szCs w:val="24"/>
              </w:rPr>
              <w:t>名称</w:t>
            </w:r>
          </w:p>
        </w:tc>
        <w:tc>
          <w:tcPr>
            <w:tcW w:w="843"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最高限价（万元）</w:t>
            </w:r>
          </w:p>
        </w:tc>
        <w:tc>
          <w:tcPr>
            <w:tcW w:w="878"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048" w:type="pct"/>
            <w:tcBorders>
              <w:top w:val="single" w:color="auto" w:sz="4" w:space="0"/>
              <w:left w:val="single" w:color="auto" w:sz="4" w:space="0"/>
              <w:right w:val="single" w:color="auto" w:sz="4" w:space="0"/>
            </w:tcBorders>
            <w:noWrap w:val="0"/>
            <w:vAlign w:val="center"/>
          </w:tcPr>
          <w:p>
            <w:pPr>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05"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方正仿宋_GBK" w:hAnsi="宋体" w:eastAsia="方正仿宋_GBK" w:cs="宋体"/>
                <w:kern w:val="0"/>
                <w:sz w:val="21"/>
                <w:szCs w:val="24"/>
                <w:lang w:val="en-US" w:eastAsia="zh-CN"/>
              </w:rPr>
            </w:pPr>
            <w:bookmarkStart w:id="12" w:name="_Hlk344477914"/>
            <w:r>
              <w:rPr>
                <w:rFonts w:hint="eastAsia" w:ascii="方正仿宋_GBK" w:hAnsi="宋体" w:eastAsia="方正仿宋_GBK" w:cs="宋体"/>
                <w:kern w:val="0"/>
                <w:sz w:val="21"/>
                <w:szCs w:val="24"/>
                <w:lang w:val="en-US" w:eastAsia="zh-CN"/>
              </w:rPr>
              <w:t>YHQ230059</w:t>
            </w:r>
          </w:p>
        </w:tc>
        <w:tc>
          <w:tcPr>
            <w:tcW w:w="1423"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两院区潜污泵排水系统新增及维修工程</w:t>
            </w:r>
          </w:p>
        </w:tc>
        <w:tc>
          <w:tcPr>
            <w:tcW w:w="843"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34</w:t>
            </w:r>
          </w:p>
        </w:tc>
        <w:tc>
          <w:tcPr>
            <w:tcW w:w="8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04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bookmarkEnd w:id="12"/>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 w:name="_Toc18548"/>
      <w:bookmarkStart w:id="14" w:name="_Toc13541"/>
      <w:bookmarkStart w:id="15" w:name="_Toc13719"/>
      <w:bookmarkStart w:id="16" w:name="_Toc64731996"/>
      <w:bookmarkStart w:id="17" w:name="_Toc65660332"/>
      <w:bookmarkStart w:id="18" w:name="_Toc373860293"/>
      <w:bookmarkStart w:id="19" w:name="_Toc317775178"/>
      <w:r>
        <w:rPr>
          <w:rFonts w:hint="eastAsia" w:ascii="方正仿宋_GBK" w:hAnsi="宋体" w:eastAsia="方正仿宋_GBK"/>
          <w:sz w:val="24"/>
          <w:lang w:val="en-US" w:eastAsia="zh-CN"/>
        </w:rPr>
        <w:t>二</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资格条件</w:t>
      </w:r>
      <w:bookmarkEnd w:id="13"/>
      <w:bookmarkEnd w:id="14"/>
      <w:bookmarkEnd w:id="15"/>
      <w:bookmarkEnd w:id="16"/>
      <w:bookmarkEnd w:id="1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（二）本项目的特定资格要求：</w:t>
      </w:r>
    </w:p>
    <w:p>
      <w:pPr>
        <w:spacing w:line="400" w:lineRule="exact"/>
        <w:ind w:firstLine="480" w:firstLineChars="200"/>
        <w:rPr>
          <w:rFonts w:hint="eastAsia" w:ascii="方正仿宋_GBK" w:hAnsi="宋体" w:eastAsia="方正仿宋_GBK"/>
          <w:sz w:val="24"/>
          <w:szCs w:val="24"/>
        </w:rPr>
      </w:pPr>
      <w:bookmarkStart w:id="158" w:name="_GoBack"/>
      <w:bookmarkEnd w:id="158"/>
      <w:r>
        <w:rPr>
          <w:rFonts w:hint="eastAsia" w:ascii="方正仿宋_GBK" w:hAnsi="宋体" w:eastAsia="方正仿宋_GBK"/>
          <w:sz w:val="24"/>
          <w:szCs w:val="24"/>
        </w:rPr>
        <w:t>建筑施工工程总承包三级资质以上含三级</w:t>
      </w:r>
      <w:r>
        <w:rPr>
          <w:rFonts w:hint="eastAsia" w:ascii="方正仿宋_GBK" w:hAnsi="宋体" w:eastAsia="方正仿宋_GBK"/>
          <w:sz w:val="24"/>
          <w:szCs w:val="24"/>
          <w:lang w:eastAsia="zh-CN"/>
        </w:rPr>
        <w:t>。</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0" w:name="_Toc11908"/>
      <w:bookmarkStart w:id="21" w:name="_Toc1386"/>
      <w:bookmarkStart w:id="22" w:name="_Toc5120"/>
      <w:bookmarkStart w:id="23" w:name="_Toc65660333"/>
      <w:r>
        <w:rPr>
          <w:rFonts w:hint="eastAsia" w:ascii="方正仿宋_GBK" w:hAnsi="宋体" w:eastAsia="方正仿宋_GBK"/>
          <w:sz w:val="24"/>
          <w:lang w:val="en-US" w:eastAsia="zh-CN"/>
        </w:rPr>
        <w:t>三</w:t>
      </w:r>
      <w:r>
        <w:rPr>
          <w:rFonts w:hint="eastAsia" w:ascii="方正仿宋_GBK" w:hAnsi="宋体" w:eastAsia="方正仿宋_GBK"/>
          <w:sz w:val="24"/>
        </w:rPr>
        <w:t>、谈判有关说明</w:t>
      </w:r>
      <w:bookmarkEnd w:id="18"/>
      <w:bookmarkEnd w:id="20"/>
      <w:bookmarkEnd w:id="21"/>
      <w:bookmarkEnd w:id="22"/>
      <w:bookmarkEnd w:id="23"/>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zbb.chcmu.com</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进行注册和报名</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（二）凡有意参加谈判的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下载本项目竞争性谈判文件以及</w:t>
      </w:r>
      <w:r>
        <w:rPr>
          <w:rFonts w:hint="eastAsia" w:ascii="方正仿宋_GBK" w:hAnsi="宋体" w:eastAsia="方正仿宋_GBK"/>
          <w:sz w:val="24"/>
          <w:szCs w:val="24"/>
          <w:lang w:val="en-US" w:eastAsia="zh-CN"/>
        </w:rPr>
        <w:t>其他</w:t>
      </w:r>
      <w:r>
        <w:rPr>
          <w:rFonts w:hint="eastAsia" w:ascii="方正仿宋_GBK" w:hAnsi="宋体" w:eastAsia="方正仿宋_GBK"/>
          <w:sz w:val="24"/>
          <w:szCs w:val="24"/>
        </w:rPr>
        <w:t>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下载与否，均视为已知晓所有谈判实质性要求内容。</w:t>
      </w:r>
    </w:p>
    <w:p>
      <w:pPr>
        <w:spacing w:line="400" w:lineRule="exact"/>
        <w:ind w:firstLine="480" w:firstLineChars="200"/>
        <w:rPr>
          <w:rFonts w:hint="default" w:ascii="方正仿宋_GBK" w:hAnsi="宋体" w:eastAsia="方正仿宋_GBK"/>
          <w:color w:val="FF0000"/>
          <w:sz w:val="24"/>
          <w:szCs w:val="24"/>
          <w:lang w:val="en-US" w:eastAsia="zh-CN"/>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三</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投标文件后才视为完成项目报名；当投标人的电子版投标文件与现场提交的纸质版投标文件出现内容上的出入时，以提交的纸质版投标文件作为谈判依据</w:t>
      </w:r>
      <w:r>
        <w:rPr>
          <w:rFonts w:hint="eastAsia" w:ascii="方正仿宋_GBK" w:hAnsi="宋体" w:eastAsia="方正仿宋_GBK"/>
          <w:color w:val="FF0000"/>
          <w:sz w:val="24"/>
          <w:szCs w:val="24"/>
          <w:lang w:val="en-US" w:eastAsia="zh-CN"/>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）竞争性谈判公告期限</w:t>
      </w:r>
      <w:r>
        <w:rPr>
          <w:rFonts w:hint="eastAsia" w:ascii="方正仿宋_GBK" w:hAnsi="宋体" w:eastAsia="方正仿宋_GBK"/>
          <w:sz w:val="24"/>
          <w:szCs w:val="24"/>
          <w:lang w:val="en-US" w:eastAsia="zh-CN"/>
        </w:rPr>
        <w:t>及报名截止期限</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谈判地点：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）谈判开始时间：</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keepNext w:val="0"/>
        <w:keepLines w:val="0"/>
        <w:pageBreakBefore w:val="0"/>
        <w:widowControl w:val="0"/>
        <w:tabs>
          <w:tab w:val="left" w:pos="1635"/>
        </w:tabs>
        <w:kinsoku/>
        <w:wordWrap/>
        <w:overflowPunct/>
        <w:topLinePunct w:val="0"/>
        <w:autoSpaceDE/>
        <w:autoSpaceDN/>
        <w:bidi w:val="0"/>
        <w:adjustRightInd/>
        <w:snapToGrid/>
        <w:spacing w:line="400" w:lineRule="atLeast"/>
        <w:ind w:firstLine="480" w:firstLineChars="200"/>
        <w:textAlignment w:val="auto"/>
        <w:outlineLvl w:val="1"/>
        <w:rPr>
          <w:rFonts w:hint="default" w:ascii="方正仿宋_GBK" w:hAnsi="宋体" w:eastAsia="方正仿宋_GBK"/>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以上</w:t>
      </w:r>
      <w:r>
        <w:rPr>
          <w:rFonts w:hint="eastAsia" w:ascii="方正仿宋_GBK" w:hAnsi="宋体" w:eastAsia="方正仿宋_GBK" w:cs="Times New Roman"/>
          <w:sz w:val="24"/>
          <w:szCs w:val="24"/>
          <w:lang w:val="en-US" w:eastAsia="zh-CN"/>
        </w:rPr>
        <w:t>内容若在挂网公示后有所变更，投标人注册手机号码将会收到相关短信通知，请及时查收。</w:t>
      </w:r>
    </w:p>
    <w:bookmarkEnd w:id="19"/>
    <w:p>
      <w:pPr>
        <w:pStyle w:val="4"/>
        <w:adjustRightInd w:val="0"/>
        <w:snapToGrid w:val="0"/>
        <w:spacing w:before="0" w:after="0" w:line="400" w:lineRule="exact"/>
        <w:ind w:firstLine="480" w:firstLineChars="200"/>
        <w:rPr>
          <w:rFonts w:hint="default" w:ascii="方正仿宋_GBK" w:hAnsi="宋体" w:eastAsia="方正仿宋_GBK"/>
          <w:color w:val="C00000"/>
          <w:sz w:val="24"/>
          <w:lang w:val="en-US" w:eastAsia="zh-CN"/>
        </w:rPr>
      </w:pPr>
      <w:bookmarkStart w:id="24" w:name="_Toc521053053"/>
      <w:bookmarkStart w:id="25" w:name="_Toc525047161"/>
      <w:bookmarkStart w:id="26" w:name="_Toc6178"/>
      <w:bookmarkStart w:id="27" w:name="_Toc11956"/>
      <w:bookmarkStart w:id="28" w:name="_Toc373860294"/>
      <w:bookmarkStart w:id="29" w:name="_Toc65660334"/>
      <w:bookmarkStart w:id="30" w:name="_Toc30996"/>
      <w:r>
        <w:rPr>
          <w:rFonts w:hint="eastAsia" w:ascii="方正仿宋_GBK" w:hAnsi="宋体" w:eastAsia="方正仿宋_GBK"/>
          <w:sz w:val="24"/>
          <w:lang w:val="en-US" w:eastAsia="zh-CN"/>
        </w:rPr>
        <w:t>四</w:t>
      </w:r>
      <w:r>
        <w:rPr>
          <w:rFonts w:hint="eastAsia" w:ascii="方正仿宋_GBK" w:hAnsi="宋体" w:eastAsia="方正仿宋_GBK"/>
          <w:sz w:val="24"/>
        </w:rPr>
        <w:t>、保证金</w:t>
      </w:r>
      <w:bookmarkEnd w:id="24"/>
      <w:bookmarkEnd w:id="25"/>
      <w:bookmarkEnd w:id="26"/>
      <w:bookmarkEnd w:id="27"/>
      <w:bookmarkEnd w:id="28"/>
      <w:bookmarkEnd w:id="29"/>
      <w:r>
        <w:rPr>
          <w:rFonts w:hint="eastAsia" w:ascii="方正仿宋_GBK" w:hAnsi="宋体" w:eastAsia="方正仿宋_GBK"/>
          <w:sz w:val="24"/>
          <w:lang w:eastAsia="zh-CN"/>
        </w:rPr>
        <w:t>：</w:t>
      </w:r>
      <w:r>
        <w:rPr>
          <w:rFonts w:hint="eastAsia" w:ascii="方正仿宋_GBK" w:hAnsi="宋体" w:eastAsia="方正仿宋_GBK"/>
          <w:color w:val="C00000"/>
          <w:sz w:val="24"/>
          <w:lang w:val="en-US" w:eastAsia="zh-CN"/>
        </w:rPr>
        <w:t>2000元</w:t>
      </w:r>
      <w:bookmarkEnd w:id="30"/>
    </w:p>
    <w:p>
      <w:pPr>
        <w:snapToGrid w:val="0"/>
        <w:spacing w:line="400" w:lineRule="exact"/>
        <w:ind w:firstLine="480" w:firstLineChars="200"/>
        <w:outlineLvl w:val="2"/>
        <w:rPr>
          <w:rFonts w:hint="eastAsia" w:ascii="方正仿宋_GBK" w:hAnsi="宋体" w:eastAsia="方正仿宋_GBK"/>
          <w:sz w:val="24"/>
          <w:szCs w:val="24"/>
        </w:rPr>
      </w:pPr>
      <w:r>
        <w:rPr>
          <w:rFonts w:hint="eastAsia" w:ascii="方正仿宋_GBK" w:hAnsi="宋体" w:eastAsia="方正仿宋_GBK"/>
          <w:sz w:val="24"/>
          <w:szCs w:val="24"/>
        </w:rPr>
        <w:t>（一）保证金递交</w:t>
      </w:r>
    </w:p>
    <w:p>
      <w:pPr>
        <w:pStyle w:val="33"/>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应足额交纳保证金（保证金金额详见本篇，一、竞争性谈判内容），并</w:t>
      </w:r>
      <w:r>
        <w:rPr>
          <w:rFonts w:hint="eastAsia" w:ascii="方正仿宋_GBK" w:hAnsi="宋体" w:eastAsia="方正仿宋_GBK"/>
          <w:sz w:val="24"/>
          <w:szCs w:val="24"/>
          <w:lang w:val="en-US" w:eastAsia="zh-CN"/>
        </w:rPr>
        <w:t>通过银行转账的方式直接转入重庆医科大学附属儿童医院对公账户</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（单位：重庆医科大学附属儿童医院，开户行：中国建设银行股份有限公司重庆渝中区观音岩支行，账号：50050101380000000168），并备注项目编号、项目名称（例：YXX220001服务器项目投标保证金）。</w:t>
      </w:r>
    </w:p>
    <w:p>
      <w:pPr>
        <w:pStyle w:val="33"/>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2.保证金须在响应文件上传前缴纳，并上传缴纳凭据至重庆医科大学附属儿童医院电子招投标平台。</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bookmarkStart w:id="31" w:name="_Toc4355"/>
      <w:bookmarkStart w:id="32" w:name="_Toc479668114"/>
      <w:bookmarkStart w:id="33" w:name="_Toc2945"/>
      <w:bookmarkStart w:id="34" w:name="_Toc521053054"/>
      <w:bookmarkStart w:id="35" w:name="_Toc525047162"/>
      <w:bookmarkStart w:id="36" w:name="_Toc65660335"/>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的保证金，在成交通知书发放后45个日历日内退还至项目报名时所填写的投标单位对公账户。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的保证金，将在与我院完成签订本项目合同并提交招标办公室（将合同扫描文件发送至zbb63632469@qq.com）之后45个日历日内，无息退还至项目报名时所填写</w:t>
      </w:r>
      <w:r>
        <w:rPr>
          <w:rFonts w:hint="eastAsia" w:ascii="方正仿宋_GBK" w:hAnsi="宋体" w:eastAsia="方正仿宋_GBK"/>
          <w:sz w:val="24"/>
          <w:szCs w:val="24"/>
          <w:lang w:val="en-US" w:eastAsia="zh-CN"/>
        </w:rPr>
        <w:t>指定</w:t>
      </w:r>
      <w:r>
        <w:rPr>
          <w:rFonts w:hint="eastAsia" w:ascii="方正仿宋_GBK" w:hAnsi="宋体" w:eastAsia="方正仿宋_GBK"/>
          <w:sz w:val="24"/>
          <w:szCs w:val="24"/>
        </w:rPr>
        <w:t>的投标单位对公账户。</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37" w:name="_Toc24990"/>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1"/>
      <w:bookmarkEnd w:id="32"/>
      <w:bookmarkEnd w:id="33"/>
      <w:bookmarkEnd w:id="34"/>
      <w:bookmarkEnd w:id="35"/>
      <w:bookmarkEnd w:id="36"/>
      <w:bookmarkStart w:id="38" w:name="_Toc525047163"/>
      <w:bookmarkStart w:id="39" w:name="_Toc6563"/>
      <w:bookmarkStart w:id="40" w:name="_Toc521053055"/>
      <w:bookmarkStart w:id="41" w:name="_Toc16269"/>
      <w:bookmarkStart w:id="42" w:name="_Toc65660336"/>
      <w:r>
        <w:rPr>
          <w:rFonts w:hint="eastAsia" w:ascii="方正仿宋_GBK" w:hAnsi="宋体" w:eastAsia="方正仿宋_GBK"/>
          <w:sz w:val="24"/>
        </w:rPr>
        <w:t>其它</w:t>
      </w:r>
      <w:bookmarkEnd w:id="37"/>
      <w:bookmarkEnd w:id="38"/>
      <w:bookmarkEnd w:id="39"/>
      <w:bookmarkEnd w:id="40"/>
      <w:bookmarkEnd w:id="41"/>
      <w:bookmarkEnd w:id="42"/>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（一）采购人所作出的一切书面通知、修改、补充说明、答疑等内容，都是采购文件不可分割的组成部分。</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二）投标人如对本邀标文件有任何实质性疑问，应当以书面形式向采购人提出质疑，并须将该质疑文件纸质版（须加盖提出质疑单位的公章确认）在投标截止时间前送达重庆医科大学附属儿童医院招标办公室，否则即视为完全放弃对本邀标文件的质疑权利。如采购人认为上述质疑有回复必要，将以书面形式将回复内容通知所有投标方。</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（三）投标人应仔细阅读和检查邀标文件的全部内容。如发现缺页或附件不全，应及时提出，以便补齐。如有疑问，请在投标截止日前向招标单位提出，超过此时间规定，招标单位不再受理对于邀标文件的疑问。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43" w:name="_Toc521053056"/>
      <w:bookmarkStart w:id="44" w:name="_Toc22176"/>
      <w:bookmarkStart w:id="45" w:name="_Toc10415"/>
      <w:bookmarkStart w:id="46" w:name="_Toc1733"/>
      <w:bookmarkStart w:id="47" w:name="_Toc65660337"/>
      <w:bookmarkStart w:id="48" w:name="_Toc525047164"/>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3"/>
      <w:bookmarkEnd w:id="44"/>
      <w:bookmarkEnd w:id="45"/>
      <w:bookmarkEnd w:id="46"/>
      <w:bookmarkEnd w:id="47"/>
      <w:bookmarkEnd w:id="48"/>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联系人：</w:t>
      </w:r>
      <w:r>
        <w:rPr>
          <w:rFonts w:hint="eastAsia" w:ascii="方正仿宋_GBK" w:hAnsi="宋体" w:eastAsia="方正仿宋_GBK"/>
          <w:sz w:val="24"/>
          <w:szCs w:val="24"/>
          <w:lang w:val="en-US" w:eastAsia="zh-CN"/>
        </w:rPr>
        <w:t>招标办公室周老师</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电  话：023-</w:t>
      </w:r>
      <w:r>
        <w:rPr>
          <w:rFonts w:hint="eastAsia" w:ascii="方正仿宋_GBK" w:hAnsi="宋体" w:eastAsia="方正仿宋_GBK"/>
          <w:sz w:val="24"/>
          <w:szCs w:val="24"/>
          <w:lang w:val="en-US" w:eastAsia="zh-CN"/>
        </w:rPr>
        <w:t>63632469</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邮  箱：zbb63633469@qq.com</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地  址：</w:t>
      </w:r>
      <w:r>
        <w:rPr>
          <w:rFonts w:hint="eastAsia" w:ascii="方正仿宋_GBK" w:hAnsi="宋体" w:eastAsia="方正仿宋_GBK"/>
          <w:color w:val="0000FF"/>
          <w:sz w:val="24"/>
          <w:szCs w:val="24"/>
        </w:rPr>
        <w:t>重庆市</w:t>
      </w:r>
      <w:r>
        <w:rPr>
          <w:rFonts w:hint="eastAsia" w:ascii="方正仿宋_GBK" w:hAnsi="宋体" w:eastAsia="方正仿宋_GBK"/>
          <w:color w:val="0000FF"/>
          <w:sz w:val="24"/>
          <w:szCs w:val="24"/>
          <w:lang w:val="en-US" w:eastAsia="zh-CN"/>
        </w:rPr>
        <w:t>两江新区金渝大道20号重庆医科大学附属儿童医院两江院区科教楼630招标办公室</w:t>
      </w:r>
    </w:p>
    <w:p>
      <w:pPr>
        <w:pStyle w:val="67"/>
        <w:rPr>
          <w:rFonts w:hint="default"/>
          <w:lang w:val="en-US" w:eastAsia="zh-CN"/>
        </w:rPr>
      </w:pPr>
    </w:p>
    <w:p>
      <w:pPr>
        <w:pStyle w:val="66"/>
        <w:rPr>
          <w:rFonts w:hint="default"/>
          <w:lang w:val="en-US" w:eastAsia="zh-CN"/>
        </w:rPr>
      </w:pPr>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49" w:name="_Toc1292"/>
      <w:bookmarkStart w:id="50" w:name="_Toc14516"/>
      <w:bookmarkStart w:id="51" w:name="_Toc18918"/>
      <w:bookmarkStart w:id="52" w:name="_Toc65660338"/>
      <w:bookmarkStart w:id="53" w:name="_Toc102227313"/>
      <w:r>
        <w:rPr>
          <w:rFonts w:hint="eastAsia" w:ascii="方正仿宋_GBK" w:hAnsi="Times New Roman" w:eastAsia="方正仿宋_GBK" w:cs="Times New Roman"/>
          <w:b/>
          <w:sz w:val="44"/>
          <w:szCs w:val="20"/>
          <w:lang w:val="en-US" w:eastAsia="zh-CN"/>
        </w:rPr>
        <w:t>第二篇  工程技术需求</w:t>
      </w:r>
      <w:bookmarkEnd w:id="49"/>
      <w:bookmarkEnd w:id="50"/>
      <w:bookmarkEnd w:id="51"/>
      <w:bookmarkEnd w:id="52"/>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54" w:name="_Toc18470"/>
      <w:bookmarkStart w:id="55" w:name="_Toc106030879"/>
      <w:bookmarkStart w:id="56" w:name="_Toc7844"/>
      <w:bookmarkStart w:id="57" w:name="_Toc21068"/>
      <w:bookmarkStart w:id="58" w:name="_Toc76462325"/>
      <w:r>
        <w:rPr>
          <w:rFonts w:hint="eastAsia" w:ascii="方正仿宋_GBK" w:hAnsi="宋体" w:eastAsia="方正仿宋_GBK"/>
          <w:sz w:val="24"/>
        </w:rPr>
        <w:t>一、项目基本概况介绍</w:t>
      </w:r>
      <w:bookmarkEnd w:id="54"/>
      <w:bookmarkEnd w:id="55"/>
      <w:bookmarkEnd w:id="56"/>
      <w:bookmarkEnd w:id="57"/>
      <w:bookmarkEnd w:id="58"/>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2"/>
        <w:gridCol w:w="2268"/>
        <w:gridCol w:w="45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1455" w:type="pct"/>
            <w:noWrap w:val="0"/>
            <w:vAlign w:val="center"/>
          </w:tcPr>
          <w:p>
            <w:pPr>
              <w:spacing w:line="240" w:lineRule="auto"/>
              <w:jc w:val="center"/>
              <w:rPr>
                <w:rFonts w:ascii="方正仿宋_GBK" w:hAnsi="宋体" w:eastAsia="方正仿宋_GBK"/>
                <w:sz w:val="24"/>
                <w:szCs w:val="24"/>
              </w:rPr>
            </w:pPr>
            <w:r>
              <w:rPr>
                <w:rFonts w:hint="eastAsia" w:ascii="方正仿宋_GBK" w:hAnsi="宋体" w:eastAsia="方正仿宋_GBK"/>
                <w:sz w:val="24"/>
                <w:szCs w:val="24"/>
              </w:rPr>
              <w:t>项目名称</w:t>
            </w:r>
          </w:p>
        </w:tc>
        <w:tc>
          <w:tcPr>
            <w:tcW w:w="1178" w:type="pct"/>
            <w:noWrap w:val="0"/>
            <w:vAlign w:val="center"/>
          </w:tcPr>
          <w:p>
            <w:pPr>
              <w:spacing w:line="240" w:lineRule="auto"/>
              <w:jc w:val="center"/>
              <w:rPr>
                <w:rFonts w:hint="eastAsia" w:ascii="方正仿宋_GBK" w:hAnsi="宋体" w:eastAsia="方正仿宋_GBK"/>
                <w:sz w:val="24"/>
                <w:szCs w:val="24"/>
              </w:rPr>
            </w:pPr>
            <w:r>
              <w:rPr>
                <w:rFonts w:hint="eastAsia" w:ascii="方正仿宋_GBK" w:hAnsi="宋体" w:eastAsia="方正仿宋_GBK"/>
                <w:sz w:val="24"/>
                <w:szCs w:val="24"/>
              </w:rPr>
              <w:t>数量/单位</w:t>
            </w:r>
          </w:p>
        </w:tc>
        <w:tc>
          <w:tcPr>
            <w:tcW w:w="2367" w:type="pct"/>
            <w:noWrap w:val="0"/>
            <w:vAlign w:val="center"/>
          </w:tcPr>
          <w:p>
            <w:pPr>
              <w:spacing w:line="240" w:lineRule="auto"/>
              <w:jc w:val="center"/>
              <w:rPr>
                <w:rFonts w:ascii="方正仿宋_GBK" w:hAnsi="宋体" w:eastAsia="方正仿宋_GBK"/>
                <w:sz w:val="24"/>
                <w:szCs w:val="24"/>
              </w:rPr>
            </w:pPr>
            <w:r>
              <w:rPr>
                <w:rFonts w:hint="eastAsia" w:ascii="方正仿宋_GBK" w:hAnsi="宋体" w:eastAsia="方正仿宋_GBK"/>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pct"/>
            <w:noWrap w:val="0"/>
            <w:vAlign w:val="center"/>
          </w:tcPr>
          <w:p>
            <w:pPr>
              <w:spacing w:line="240" w:lineRule="auto"/>
              <w:jc w:val="center"/>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两院区潜污泵排水系统新增及维修工程</w:t>
            </w:r>
          </w:p>
        </w:tc>
        <w:tc>
          <w:tcPr>
            <w:tcW w:w="1178" w:type="pct"/>
            <w:noWrap w:val="0"/>
            <w:vAlign w:val="center"/>
          </w:tcPr>
          <w:p>
            <w:pPr>
              <w:spacing w:line="240" w:lineRule="auto"/>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1项</w:t>
            </w:r>
          </w:p>
        </w:tc>
        <w:tc>
          <w:tcPr>
            <w:tcW w:w="2367" w:type="pct"/>
            <w:noWrap w:val="0"/>
            <w:vAlign w:val="center"/>
          </w:tcPr>
          <w:p>
            <w:pPr>
              <w:spacing w:line="240" w:lineRule="auto"/>
              <w:jc w:val="left"/>
              <w:rPr>
                <w:rFonts w:hint="default" w:ascii="方正仿宋_GBK" w:hAnsi="宋体" w:eastAsia="方正仿宋_GBK"/>
                <w:sz w:val="24"/>
                <w:szCs w:val="24"/>
                <w:lang w:val="en-US" w:eastAsia="zh-CN"/>
              </w:rPr>
            </w:pPr>
            <w:r>
              <w:rPr>
                <w:rFonts w:hint="eastAsia" w:ascii="方正仿宋_GBK" w:hAnsi="宋体" w:eastAsia="方正仿宋_GBK" w:cs="Times New Roman"/>
                <w:sz w:val="24"/>
                <w:szCs w:val="24"/>
                <w:lang w:val="en-US" w:eastAsia="zh-CN"/>
              </w:rPr>
              <w:t>1.渝中院区景观池喷水修复；2.光彩大厦附4楼污水井改造；3.两江院区门诊楼LG层潜污泵系统损坏更换维修；4.渝中院区4号楼化粪池渗漏处理及潜污泵安装；5.科教楼负3楼集水坑水泵更换。</w:t>
            </w:r>
          </w:p>
        </w:tc>
      </w:tr>
    </w:tbl>
    <w:p>
      <w:pPr>
        <w:numPr>
          <w:ilvl w:val="0"/>
          <w:numId w:val="0"/>
        </w:numPr>
        <w:spacing w:line="400" w:lineRule="exact"/>
        <w:ind w:firstLine="480" w:firstLineChars="200"/>
        <w:rPr>
          <w:rFonts w:hint="eastAsia" w:ascii="方正仿宋_GBK" w:hAnsi="宋体" w:eastAsia="方正仿宋_GBK" w:cs="Times New Roman"/>
          <w:b/>
          <w:bCs/>
          <w:sz w:val="24"/>
          <w:szCs w:val="24"/>
          <w:lang w:val="en-US" w:eastAsia="zh-CN"/>
        </w:rPr>
      </w:pPr>
      <w:r>
        <w:rPr>
          <w:rFonts w:hint="eastAsia" w:ascii="方正仿宋_GBK" w:hAnsi="宋体" w:eastAsia="方正仿宋_GBK" w:cs="Times New Roman"/>
          <w:b/>
          <w:bCs/>
          <w:sz w:val="24"/>
          <w:szCs w:val="24"/>
          <w:lang w:val="en-US" w:eastAsia="zh-CN"/>
        </w:rPr>
        <w:t>二、工程量清单</w:t>
      </w:r>
    </w:p>
    <w:tbl>
      <w:tblPr>
        <w:tblStyle w:val="57"/>
        <w:tblW w:w="5410" w:type="pct"/>
        <w:tblInd w:w="-1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1"/>
        <w:gridCol w:w="2715"/>
        <w:gridCol w:w="958"/>
        <w:gridCol w:w="644"/>
        <w:gridCol w:w="53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00" w:type="pct"/>
            <w:gridSpan w:val="5"/>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渝中院区景观池喷水修复工程量清单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center"/>
              <w:rPr>
                <w:rFonts w:hint="eastAsia" w:ascii="方正仿宋_GBK" w:hAnsi="宋体" w:eastAsia="方正仿宋_GBK" w:cs="Times New Roman"/>
                <w:sz w:val="21"/>
                <w:szCs w:val="21"/>
                <w:lang w:val="en-US" w:eastAsia="zh-CN"/>
              </w:rPr>
            </w:pPr>
            <w:bookmarkStart w:id="59" w:name="_Toc13356"/>
            <w:bookmarkStart w:id="60" w:name="_Toc15492"/>
            <w:bookmarkStart w:id="61" w:name="_Toc65660341"/>
            <w:r>
              <w:rPr>
                <w:rFonts w:hint="eastAsia" w:ascii="方正仿宋_GBK" w:hAnsi="宋体" w:eastAsia="方正仿宋_GBK" w:cs="Times New Roman"/>
                <w:sz w:val="21"/>
                <w:szCs w:val="21"/>
                <w:lang w:val="en-US" w:eastAsia="zh-CN"/>
              </w:rPr>
              <w:t>序号</w:t>
            </w:r>
          </w:p>
        </w:tc>
        <w:tc>
          <w:tcPr>
            <w:tcW w:w="1303" w:type="pct"/>
            <w:noWrap w:val="0"/>
            <w:vAlign w:val="center"/>
          </w:tcPr>
          <w:p>
            <w:pPr>
              <w:spacing w:line="240" w:lineRule="auto"/>
              <w:jc w:val="center"/>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项目名称</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单位</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数量</w:t>
            </w:r>
          </w:p>
        </w:tc>
        <w:tc>
          <w:tcPr>
            <w:tcW w:w="2575"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材料说明及施工工艺描述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旧水泵拆除</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台</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安装水泵电源线路</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米</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20</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原有1条线路现需加装1条线路埋设地下(可能需开挖埋设，如开挖需恢复地面原貌）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电缆JHS 3*2.5</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米</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20</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Φ120管道改造</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米</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4</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Φ120不锈钢三通</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个</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5</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Φ120不锈钢法兰盘</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个</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7</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基础池改造</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改造后可以供一用一备泵安装使用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8</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32A3P空开</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个</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施耐德、ABB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9</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32A接触器</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个</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施耐德、ABB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10</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喷泉泵QSP65-7-2.2KW</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个</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11</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喷泉泵安装</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个</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小计</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00" w:type="pct"/>
            <w:gridSpan w:val="5"/>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光彩大厦附4楼污水井改造工程量清单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序号</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项目名称</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单位</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数量</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材料说明及施工工艺描述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304不锈钢蓄水池</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立方</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8</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304不锈钢、与原有蓄水池相连共同蓄水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蓄水池地基、基座</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平方米</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8</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能满足蓄水池满载承重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水泵控制柜</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套</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可以控制11KW双泵、支持485远程监控、液晶显示面板、双电源自动切换、一用一备、不锈钢箱体、控制器原件（施耐德.ABB、西门子）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4</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无堵塞切割式潜污泵污、耦合器</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台</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要求扬程20米及以上、流量40m3/h以上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5</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Ø100水泵管道</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米</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10</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镀锌管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6</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小计</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00" w:type="pct"/>
            <w:gridSpan w:val="5"/>
            <w:noWrap w:val="0"/>
            <w:vAlign w:val="center"/>
          </w:tcPr>
          <w:p>
            <w:pPr>
              <w:spacing w:line="240" w:lineRule="auto"/>
              <w:jc w:val="center"/>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两江院区门诊楼LG层潜污泵系统损坏维修工程量清单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序号</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项目名称</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单位</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数量</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材料说明及施工工艺描述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集水坑抽水、清理</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带切刀潜污泵采购安装</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套</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威乐  FAG 100C 32.55/55Cutter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一用一备潜污泵控制箱</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套</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电气元件推荐施耐德、西门子、ABB.超声波液位控制器，需要带485远传接口。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4</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潜污泵耦合导轨</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套</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威乐泵配套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5</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小计</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00" w:type="pct"/>
            <w:gridSpan w:val="5"/>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渝中院区4号楼化粪池渗漏处理及潜污泵安装工程量清单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序号</w:t>
            </w:r>
          </w:p>
        </w:tc>
        <w:tc>
          <w:tcPr>
            <w:tcW w:w="1303" w:type="pct"/>
            <w:noWrap/>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项目名称</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单位</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数量</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材料说明及施工工艺描述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1303" w:type="pct"/>
            <w:noWrap/>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施工围挡</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平方米</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60</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将施工区域封闭，施工区域摆放警示标志等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化粪池抽水</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小时</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240</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抽水引流至小区污水管网，注意避免污水散流。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化粪池清理</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打捞漂浮物、沉淀物打包装袋外运及池内技术处理。清掏后化粪池排放标准必须符合国家标准和要求。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4</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进入该化粪池的污水井及污水管道清理</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使用钢带将污水管道内的堆积物拉出，注入清水，确保管道畅通。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5</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排查、处理化粪池泄漏点</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化粪池抽干厚排查处理漏水点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6</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开挖土方及回填</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立方米</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17</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预埋排水管道沟、化粪池表面覆土等。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7</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拆除原有污水井砌体，切割化粪池顶板</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增大井口，便于安装潜污泵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8</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砌筑污水井</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座</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将原有700污水井盖换成1000*1000方形铸铁井盖，安装铸铁爬梯。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9</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池底现浇混凝土水泵基础</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250高素混凝土基础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10</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带切刀潜污泵采购安装</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套</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威乐  FAG 100C 32.55/55Cutter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11</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一用一备潜污泵控制箱</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套</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电气元件推荐施耐德、西门子、ABB.超声波液位控制器，需要带485远传接口。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12</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潜污泵耦合导轨</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套</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威乐泵配套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13</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DN100无缝镀锌管安装</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米</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95</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国标厚度4.0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14</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DN100静音止回阀</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个</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15</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铸铁沟槽管件</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批</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16</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热镀锌50角钢管道支架</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个</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70</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17</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潜污泵控制系统主电缆</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米</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40</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YJV 5*10电缆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18</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建渣出渣及外运</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车</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19</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小计</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00" w:type="pct"/>
            <w:gridSpan w:val="5"/>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科教楼负3楼集水坑水泵更换工程量清单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序号</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项目名称</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单位</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数量</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材料说明及施工工艺描述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水泵控制柜</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套</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可以控制11KW双泵、支持485远程监控、液晶显示面板、双电源自动切换、一用一备、不锈钢箱体、控制器原件（施耐德.ABB、西门子）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无堵塞切割式潜污泵污、耦合器</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台</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要求扬程20米及以上、流量40m3/h以上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4</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Ø100水泵管道</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米</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10</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镀锌管</w:t>
            </w:r>
          </w:p>
        </w:tc>
      </w:tr>
    </w:tbl>
    <w:p>
      <w:pPr>
        <w:rPr>
          <w:rFonts w:hint="eastAsia" w:ascii="方正仿宋_GBK" w:hAnsi="Times New Roman" w:eastAsia="方正仿宋_GBK" w:cs="Times New Roman"/>
          <w:b/>
          <w:sz w:val="44"/>
          <w:szCs w:val="20"/>
          <w:lang w:val="en-US" w:eastAsia="zh-CN"/>
        </w:rPr>
      </w:pPr>
      <w:r>
        <w:rPr>
          <w:rFonts w:hint="eastAsia" w:ascii="方正仿宋_GBK" w:hAnsi="Times New Roman" w:eastAsia="方正仿宋_GBK" w:cs="Times New Roman"/>
          <w:b/>
          <w:sz w:val="44"/>
          <w:szCs w:val="20"/>
          <w:lang w:val="en-US" w:eastAsia="zh-CN"/>
        </w:rPr>
        <w:br w:type="page"/>
      </w:r>
    </w:p>
    <w:p>
      <w:pPr>
        <w:pStyle w:val="4"/>
        <w:spacing w:before="0" w:after="0" w:line="360" w:lineRule="auto"/>
        <w:jc w:val="center"/>
        <w:rPr>
          <w:rFonts w:hint="eastAsia" w:ascii="方正仿宋_GBK" w:hAnsi="Times New Roman" w:eastAsia="方正仿宋_GBK" w:cs="Times New Roman"/>
          <w:b/>
          <w:sz w:val="44"/>
          <w:szCs w:val="20"/>
          <w:lang w:val="en-US" w:eastAsia="zh-CN"/>
        </w:rPr>
      </w:pPr>
      <w:bookmarkStart w:id="62" w:name="_Toc25706"/>
      <w:r>
        <w:rPr>
          <w:rFonts w:hint="eastAsia" w:ascii="方正仿宋_GBK" w:hAnsi="Times New Roman" w:eastAsia="方正仿宋_GBK" w:cs="Times New Roman"/>
          <w:b/>
          <w:sz w:val="44"/>
          <w:szCs w:val="20"/>
          <w:lang w:val="en-US" w:eastAsia="zh-CN"/>
        </w:rPr>
        <w:t xml:space="preserve">第三篇  </w:t>
      </w:r>
      <w:bookmarkEnd w:id="53"/>
      <w:bookmarkEnd w:id="59"/>
      <w:bookmarkEnd w:id="60"/>
      <w:bookmarkEnd w:id="61"/>
      <w:r>
        <w:rPr>
          <w:rFonts w:hint="eastAsia" w:ascii="方正仿宋_GBK" w:hAnsi="Times New Roman" w:eastAsia="方正仿宋_GBK" w:cs="Times New Roman"/>
          <w:b/>
          <w:sz w:val="44"/>
          <w:szCs w:val="20"/>
          <w:lang w:val="en-US" w:eastAsia="zh-CN"/>
        </w:rPr>
        <w:t>商务需求</w:t>
      </w:r>
      <w:bookmarkEnd w:id="62"/>
    </w:p>
    <w:tbl>
      <w:tblPr>
        <w:tblStyle w:val="57"/>
        <w:tblW w:w="5544" w:type="pct"/>
        <w:tblInd w:w="-4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4"/>
        <w:gridCol w:w="9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kinsoku/>
              <w:wordWrap/>
              <w:overflowPunct/>
              <w:topLinePunct w:val="0"/>
              <w:autoSpaceDE/>
              <w:autoSpaceDN/>
              <w:bidi w:val="0"/>
              <w:adjustRightInd/>
              <w:snapToGrid/>
              <w:spacing w:line="400" w:lineRule="exact"/>
              <w:ind w:firstLine="560" w:firstLineChars="200"/>
              <w:jc w:val="center"/>
              <w:textAlignment w:val="auto"/>
              <w:rPr>
                <w:rFonts w:hint="eastAsia" w:ascii="方正仿宋_GBK" w:hAnsi="宋体" w:eastAsia="方正仿宋_GBK" w:cs="Times New Roman"/>
                <w:sz w:val="24"/>
                <w:szCs w:val="24"/>
                <w:lang w:val="en-US" w:eastAsia="zh-CN"/>
              </w:rPr>
            </w:pPr>
            <w:bookmarkStart w:id="63" w:name="_Toc12935"/>
            <w:bookmarkStart w:id="64" w:name="_Toc13555"/>
            <w:bookmarkStart w:id="65" w:name="_Toc65660342"/>
            <w:bookmarkStart w:id="66" w:name="_Toc342913389"/>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81"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施工期限、施工地点及验收方式</w:t>
            </w:r>
          </w:p>
        </w:tc>
        <w:tc>
          <w:tcPr>
            <w:tcW w:w="4318" w:type="pct"/>
            <w:vAlign w:val="center"/>
          </w:tcPr>
          <w:p>
            <w:pPr>
              <w:pStyle w:val="143"/>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施工期限：</w:t>
            </w:r>
            <w:r>
              <w:rPr>
                <w:rFonts w:hint="eastAsia" w:ascii="方正仿宋_GBK" w:hAnsi="宋体" w:eastAsia="方正仿宋_GBK"/>
                <w:sz w:val="24"/>
                <w:szCs w:val="24"/>
                <w:lang w:val="en-US" w:eastAsia="zh-CN"/>
              </w:rPr>
              <w:t>中标通知书发出后60个日历日内</w:t>
            </w:r>
            <w:r>
              <w:rPr>
                <w:rFonts w:hint="eastAsia" w:ascii="方正仿宋_GBK" w:hAnsi="宋体" w:eastAsia="方正仿宋_GBK"/>
                <w:sz w:val="24"/>
                <w:szCs w:val="24"/>
              </w:rPr>
              <w:t>。</w:t>
            </w:r>
          </w:p>
          <w:p>
            <w:pPr>
              <w:pStyle w:val="143"/>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default"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交货地点：重庆医科大学附属儿童医院两江院区及渝中院区</w:t>
            </w:r>
          </w:p>
          <w:p>
            <w:pPr>
              <w:pStyle w:val="143"/>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b w:val="0"/>
                <w:bCs w:val="0"/>
                <w:kern w:val="2"/>
                <w:sz w:val="24"/>
                <w:szCs w:val="24"/>
                <w:lang w:val="en-US" w:eastAsia="zh-CN" w:bidi="ar-SA"/>
              </w:rPr>
              <w:t>验收方式：施工完成后后勤管理处现场验收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81" w:type="pct"/>
            <w:vAlign w:val="center"/>
          </w:tcPr>
          <w:p>
            <w:pPr>
              <w:pStyle w:val="143"/>
              <w:widowControl/>
              <w:adjustRightInd w:val="0"/>
              <w:snapToGrid w:val="0"/>
              <w:spacing w:line="400" w:lineRule="exact"/>
              <w:ind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质量保证及售后服务</w:t>
            </w:r>
          </w:p>
        </w:tc>
        <w:tc>
          <w:tcPr>
            <w:tcW w:w="4318" w:type="pct"/>
            <w:vAlign w:val="center"/>
          </w:tcPr>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工程</w:t>
            </w:r>
            <w:r>
              <w:rPr>
                <w:rFonts w:hint="eastAsia" w:ascii="方正仿宋_GBK" w:hAnsi="宋体" w:eastAsia="方正仿宋_GBK"/>
                <w:sz w:val="24"/>
                <w:szCs w:val="24"/>
              </w:rPr>
              <w:t>质量保证期：自验收合格之日起，提供</w:t>
            </w:r>
            <w:r>
              <w:rPr>
                <w:rFonts w:hint="eastAsia" w:ascii="方正仿宋_GBK" w:hAnsi="宋体" w:eastAsia="方正仿宋_GBK"/>
                <w:sz w:val="24"/>
                <w:szCs w:val="24"/>
                <w:lang w:val="en-US" w:eastAsia="zh-CN"/>
              </w:rPr>
              <w:t>两</w:t>
            </w:r>
            <w:r>
              <w:rPr>
                <w:rFonts w:hint="eastAsia" w:ascii="方正仿宋_GBK" w:hAnsi="宋体" w:eastAsia="方正仿宋_GBK"/>
                <w:sz w:val="24"/>
                <w:szCs w:val="24"/>
              </w:rPr>
              <w:t>年的免费质保期</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含工程量清单内所有设备</w:t>
            </w:r>
            <w:r>
              <w:rPr>
                <w:rFonts w:hint="eastAsia" w:ascii="方正仿宋_GBK" w:hAnsi="宋体" w:eastAsia="方正仿宋_GBK"/>
                <w:sz w:val="24"/>
                <w:szCs w:val="24"/>
                <w:lang w:eastAsia="zh-CN"/>
              </w:rPr>
              <w:t>）</w:t>
            </w:r>
            <w:r>
              <w:rPr>
                <w:rFonts w:hint="eastAsia" w:ascii="方正仿宋_GBK" w:hAnsi="宋体" w:eastAsia="方正仿宋_GBK"/>
                <w:sz w:val="24"/>
                <w:szCs w:val="24"/>
              </w:rPr>
              <w:t>。</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rPr>
              <w:t>（二）售后服务内容</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在质量保证期内应当为采购人提供以下技术支持服务：</w:t>
            </w:r>
          </w:p>
          <w:p>
            <w:pPr>
              <w:spacing w:line="400" w:lineRule="exact"/>
              <w:ind w:firstLine="240" w:firstLineChars="100"/>
              <w:outlineLvl w:val="2"/>
              <w:rPr>
                <w:rFonts w:hint="eastAsia" w:ascii="方正仿宋_GBK" w:hAnsi="宋体" w:eastAsia="方正仿宋_GBK"/>
                <w:sz w:val="24"/>
                <w:szCs w:val="24"/>
              </w:rPr>
            </w:pPr>
            <w:r>
              <w:rPr>
                <w:rFonts w:hint="eastAsia" w:ascii="方正仿宋_GBK" w:hAnsi="宋体" w:eastAsia="方正仿宋_GBK"/>
                <w:sz w:val="24"/>
                <w:szCs w:val="24"/>
              </w:rPr>
              <w:t>1.质量保证期内服务要求</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1.1电话咨询</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应当为用户提供技术援助电话，解答用户在</w:t>
            </w:r>
            <w:r>
              <w:rPr>
                <w:rFonts w:hint="eastAsia" w:ascii="方正仿宋_GBK" w:hAnsi="宋体" w:eastAsia="方正仿宋_GBK"/>
                <w:sz w:val="24"/>
                <w:szCs w:val="24"/>
                <w:lang w:val="en-US" w:eastAsia="zh-CN"/>
              </w:rPr>
              <w:t>质保期内</w:t>
            </w:r>
            <w:r>
              <w:rPr>
                <w:rFonts w:hint="eastAsia" w:ascii="方正仿宋_GBK" w:hAnsi="宋体" w:eastAsia="方正仿宋_GBK"/>
                <w:sz w:val="24"/>
                <w:szCs w:val="24"/>
              </w:rPr>
              <w:t>中遇到的问题，及时为用户提出解决问题的建议。</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1.2现场响应</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用户遇到使用及技术问题，电话咨询不能解决的，</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应在</w:t>
            </w:r>
            <w:r>
              <w:rPr>
                <w:rFonts w:hint="eastAsia" w:ascii="方正仿宋_GBK" w:hAnsi="宋体" w:eastAsia="方正仿宋_GBK"/>
                <w:sz w:val="24"/>
                <w:szCs w:val="24"/>
                <w:lang w:val="en-US" w:eastAsia="zh-CN"/>
              </w:rPr>
              <w:t>8</w:t>
            </w:r>
            <w:r>
              <w:rPr>
                <w:rFonts w:hint="eastAsia" w:ascii="方正仿宋_GBK" w:hAnsi="宋体" w:eastAsia="方正仿宋_GBK"/>
                <w:sz w:val="24"/>
                <w:szCs w:val="24"/>
              </w:rPr>
              <w:t>小时内采取相应响应措施；无法在</w:t>
            </w:r>
            <w:r>
              <w:rPr>
                <w:rFonts w:hint="eastAsia" w:ascii="方正仿宋_GBK" w:hAnsi="宋体" w:eastAsia="方正仿宋_GBK"/>
                <w:sz w:val="24"/>
                <w:szCs w:val="24"/>
                <w:lang w:val="en-US" w:eastAsia="zh-CN"/>
              </w:rPr>
              <w:t>8</w:t>
            </w:r>
            <w:r>
              <w:rPr>
                <w:rFonts w:hint="eastAsia" w:ascii="方正仿宋_GBK" w:hAnsi="宋体" w:eastAsia="方正仿宋_GBK"/>
                <w:sz w:val="24"/>
                <w:szCs w:val="24"/>
              </w:rPr>
              <w:t>小时内解决的，应在</w:t>
            </w:r>
            <w:r>
              <w:rPr>
                <w:rFonts w:hint="eastAsia" w:ascii="方正仿宋_GBK" w:hAnsi="宋体" w:eastAsia="方正仿宋_GBK"/>
                <w:sz w:val="24"/>
                <w:szCs w:val="24"/>
                <w:lang w:val="en-US" w:eastAsia="zh-CN"/>
              </w:rPr>
              <w:t>24</w:t>
            </w:r>
            <w:r>
              <w:rPr>
                <w:rFonts w:hint="eastAsia" w:ascii="方正仿宋_GBK" w:hAnsi="宋体" w:eastAsia="方正仿宋_GBK"/>
                <w:sz w:val="24"/>
                <w:szCs w:val="24"/>
              </w:rPr>
              <w:t>小时内派出专业人员进行技术支持。</w:t>
            </w:r>
          </w:p>
          <w:p>
            <w:pPr>
              <w:spacing w:line="400" w:lineRule="exact"/>
              <w:ind w:firstLine="240" w:firstLineChars="100"/>
              <w:outlineLvl w:val="2"/>
              <w:rPr>
                <w:rFonts w:hint="eastAsia" w:ascii="方正仿宋_GBK" w:hAnsi="宋体" w:eastAsia="方正仿宋_GBK"/>
                <w:sz w:val="24"/>
                <w:szCs w:val="24"/>
              </w:rPr>
            </w:pPr>
            <w:r>
              <w:rPr>
                <w:rFonts w:hint="eastAsia" w:ascii="方正仿宋_GBK" w:hAnsi="宋体" w:eastAsia="方正仿宋_GBK"/>
                <w:sz w:val="24"/>
                <w:szCs w:val="24"/>
              </w:rPr>
              <w:t>2.质保期外服务要求</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2.1质量保证期过后，</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应同样提供免费电话咨询服务，并应承诺提供产品上门维护服务。</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2.2质量保证期过后，采购人需要继续由原</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提供售后服务的，</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应以优惠价格提供售后服务。</w:t>
            </w:r>
          </w:p>
          <w:p>
            <w:pPr>
              <w:snapToGrid w:val="0"/>
              <w:spacing w:line="400" w:lineRule="exact"/>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（三）备品备件及易损件</w:t>
            </w:r>
          </w:p>
          <w:p>
            <w:pPr>
              <w:pStyle w:val="14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方正仿宋_GBK" w:hAnsi="宋体" w:eastAsia="方正仿宋_GBK"/>
                <w:sz w:val="24"/>
                <w:szCs w:val="24"/>
                <w:lang w:eastAsia="zh-CN"/>
              </w:rPr>
            </w:pP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售后服务中，维修使用的备品备件及易损件应为原厂配件，未经采购人同意不得使用非原厂配件。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81"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318" w:type="pct"/>
            <w:vAlign w:val="center"/>
          </w:tcPr>
          <w:p>
            <w:pPr>
              <w:pStyle w:val="143"/>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rPr>
              <w:t>谈判报价</w:t>
            </w:r>
            <w:r>
              <w:rPr>
                <w:rFonts w:hint="eastAsia" w:ascii="方正仿宋_GBK" w:hAnsi="宋体" w:eastAsia="方正仿宋_GBK" w:cs="宋体"/>
                <w:kern w:val="0"/>
                <w:sz w:val="24"/>
                <w:szCs w:val="24"/>
              </w:rPr>
              <w:t>须为人民币报价</w:t>
            </w:r>
            <w:r>
              <w:rPr>
                <w:rFonts w:hint="eastAsia" w:ascii="方正仿宋_GBK" w:hAnsi="宋体" w:eastAsia="方正仿宋_GBK"/>
                <w:sz w:val="24"/>
                <w:szCs w:val="24"/>
              </w:rPr>
              <w:t>，包括完成本项目所需</w:t>
            </w:r>
            <w:r>
              <w:rPr>
                <w:rFonts w:hint="eastAsia" w:ascii="方正仿宋_GBK" w:hAnsi="宋体" w:eastAsia="方正仿宋_GBK"/>
                <w:sz w:val="24"/>
                <w:szCs w:val="24"/>
                <w:lang w:val="en-US" w:eastAsia="zh-CN"/>
              </w:rPr>
              <w:t>的所有费用</w:t>
            </w:r>
            <w:r>
              <w:rPr>
                <w:rFonts w:hint="eastAsia" w:ascii="方正仿宋_GBK" w:hAnsi="宋体" w:eastAsia="方正仿宋_GBK"/>
                <w:sz w:val="24"/>
                <w:szCs w:val="24"/>
              </w:rPr>
              <w:t>及各种应纳的税费。因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81"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318" w:type="pct"/>
            <w:vAlign w:val="center"/>
          </w:tcPr>
          <w:p>
            <w:pPr>
              <w:pStyle w:val="143"/>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（一）合同完成签订后，</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向采购人开具发票，采购人</w:t>
            </w:r>
            <w:r>
              <w:rPr>
                <w:rFonts w:hint="eastAsia" w:ascii="方正仿宋_GBK" w:hAnsi="宋体" w:eastAsia="方正仿宋_GBK"/>
                <w:sz w:val="24"/>
                <w:szCs w:val="24"/>
                <w:lang w:val="en-US" w:eastAsia="zh-CN"/>
              </w:rPr>
              <w:t>收到发票后2个月内</w:t>
            </w:r>
            <w:r>
              <w:rPr>
                <w:rFonts w:hint="eastAsia" w:ascii="方正仿宋_GBK" w:hAnsi="宋体" w:eastAsia="方正仿宋_GBK"/>
                <w:sz w:val="24"/>
                <w:szCs w:val="24"/>
              </w:rPr>
              <w:t>以转账方式向</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支付</w:t>
            </w:r>
            <w:r>
              <w:rPr>
                <w:rFonts w:hint="eastAsia" w:ascii="方正仿宋_GBK" w:hAnsi="宋体" w:eastAsia="方正仿宋_GBK"/>
                <w:sz w:val="24"/>
                <w:szCs w:val="24"/>
                <w:lang w:val="en-US" w:eastAsia="zh-CN"/>
              </w:rPr>
              <w:t>合同金额95%；</w:t>
            </w:r>
          </w:p>
          <w:p>
            <w:pPr>
              <w:pStyle w:val="143"/>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lang w:val="en-US" w:eastAsia="zh-CN"/>
              </w:rPr>
            </w:pPr>
            <w:r>
              <w:rPr>
                <w:rFonts w:hint="eastAsia" w:ascii="方正仿宋_GBK" w:hAnsi="宋体" w:eastAsia="方正仿宋_GBK"/>
                <w:sz w:val="24"/>
                <w:szCs w:val="24"/>
                <w:lang w:val="en-US" w:eastAsia="zh-CN"/>
              </w:rPr>
              <w:t>（二）剩余5%在质保期结束后10个工作日内无息支付。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81"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318" w:type="pct"/>
            <w:vAlign w:val="center"/>
          </w:tcPr>
          <w:p>
            <w:pPr>
              <w:pStyle w:val="143"/>
              <w:snapToGrid w:val="0"/>
              <w:spacing w:line="400" w:lineRule="exact"/>
              <w:ind w:firstLine="0" w:firstLineChars="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（一）</w:t>
            </w:r>
            <w:r>
              <w:rPr>
                <w:rFonts w:hint="eastAsia" w:ascii="方正仿宋_GBK" w:hAnsi="宋体" w:eastAsia="方正仿宋_GBK" w:cs="Times New Roman"/>
                <w:sz w:val="24"/>
                <w:szCs w:val="24"/>
                <w:lang w:eastAsia="zh-CN"/>
              </w:rPr>
              <w:t>投标人</w:t>
            </w:r>
            <w:r>
              <w:rPr>
                <w:rFonts w:hint="eastAsia" w:ascii="方正仿宋_GBK" w:hAnsi="宋体" w:eastAsia="方正仿宋_GBK" w:cs="Times New Roman"/>
                <w:sz w:val="24"/>
                <w:szCs w:val="24"/>
              </w:rPr>
              <w:t>必须在响应文件中对以上条款和服务承诺明确列出，承诺内容必须达到本篇及</w:t>
            </w:r>
            <w:r>
              <w:rPr>
                <w:rFonts w:hint="eastAsia" w:ascii="方正仿宋_GBK" w:hAnsi="宋体" w:eastAsia="方正仿宋_GBK" w:cs="Times New Roman"/>
                <w:sz w:val="24"/>
                <w:szCs w:val="24"/>
                <w:lang w:val="en-US" w:eastAsia="zh-CN"/>
              </w:rPr>
              <w:t>协商</w:t>
            </w:r>
            <w:r>
              <w:rPr>
                <w:rFonts w:hint="eastAsia" w:ascii="方正仿宋_GBK" w:hAnsi="宋体" w:eastAsia="方正仿宋_GBK" w:cs="Times New Roman"/>
                <w:sz w:val="24"/>
                <w:szCs w:val="24"/>
              </w:rPr>
              <w:t>文件其他条款的要求。</w:t>
            </w:r>
          </w:p>
          <w:p>
            <w:pPr>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sz w:val="24"/>
                <w:szCs w:val="24"/>
                <w:lang w:val="en-US" w:eastAsia="zh-CN"/>
              </w:rPr>
              <w:t>（二）</w:t>
            </w:r>
            <w:r>
              <w:rPr>
                <w:rFonts w:hint="eastAsia" w:ascii="方正仿宋_GBK" w:hAnsi="宋体" w:eastAsia="方正仿宋_GBK" w:cs="Times New Roman"/>
                <w:sz w:val="24"/>
                <w:szCs w:val="24"/>
              </w:rPr>
              <w:t>其他未尽事宜由供需双方在采购合同中详细约定。</w:t>
            </w:r>
          </w:p>
        </w:tc>
      </w:tr>
      <w:bookmarkEnd w:id="63"/>
      <w:bookmarkEnd w:id="64"/>
      <w:bookmarkEnd w:id="65"/>
    </w:tbl>
    <w:p>
      <w:pPr>
        <w:pStyle w:val="4"/>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方正仿宋_GBK" w:hAnsi="Times New Roman" w:eastAsia="方正仿宋_GBK" w:cs="Times New Roman"/>
          <w:b/>
          <w:kern w:val="2"/>
          <w:sz w:val="44"/>
          <w:lang w:val="en-US" w:eastAsia="zh-CN" w:bidi="ar-SA"/>
        </w:rPr>
      </w:pPr>
      <w:r>
        <w:rPr>
          <w:rFonts w:ascii="方正小标宋_GBK" w:eastAsia="方正小标宋_GBK"/>
          <w:b w:val="0"/>
          <w:sz w:val="36"/>
          <w:szCs w:val="30"/>
        </w:rPr>
        <w:br w:type="page"/>
      </w:r>
      <w:bookmarkStart w:id="67" w:name="_Toc65660349"/>
      <w:bookmarkStart w:id="68" w:name="_Toc6152"/>
      <w:bookmarkStart w:id="69" w:name="_Toc24195"/>
      <w:bookmarkStart w:id="70" w:name="_Toc16123"/>
      <w:r>
        <w:rPr>
          <w:rFonts w:hint="eastAsia" w:ascii="方正仿宋_GBK" w:hAnsi="Times New Roman" w:eastAsia="方正仿宋_GBK" w:cs="Times New Roman"/>
          <w:b/>
          <w:sz w:val="44"/>
          <w:szCs w:val="20"/>
          <w:lang w:val="en-US" w:eastAsia="zh-CN"/>
        </w:rPr>
        <w:t>第四篇  采购程序、评定成交的标准、无效谈判及采购终止</w:t>
      </w:r>
      <w:bookmarkEnd w:id="67"/>
      <w:bookmarkEnd w:id="68"/>
      <w:bookmarkEnd w:id="69"/>
      <w:bookmarkEnd w:id="70"/>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1" w:name="_Toc5167"/>
      <w:bookmarkStart w:id="72" w:name="_Toc64732012"/>
      <w:bookmarkStart w:id="73" w:name="_Toc9361"/>
      <w:bookmarkStart w:id="74" w:name="_Toc15242"/>
      <w:bookmarkStart w:id="75" w:name="_Toc65660350"/>
      <w:r>
        <w:rPr>
          <w:rFonts w:hint="eastAsia" w:ascii="方正仿宋_GBK" w:hAnsi="宋体" w:eastAsia="方正仿宋_GBK"/>
          <w:sz w:val="24"/>
        </w:rPr>
        <w:t>一、采购程序</w:t>
      </w:r>
      <w:bookmarkEnd w:id="71"/>
      <w:bookmarkEnd w:id="72"/>
      <w:bookmarkEnd w:id="73"/>
      <w:bookmarkEnd w:id="74"/>
      <w:bookmarkEnd w:id="75"/>
    </w:p>
    <w:p>
      <w:pPr>
        <w:pStyle w:val="33"/>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（一）谈判按竞争性谈判文件规定的时间和地点进行。</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须有法定代表人（或其授权代表）或自然人参加。</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（二）竞争性谈判以抽签的形式确定谈判顺序，由本项目谈判小组分别与各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进行谈判。在谈判前，对各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的资格条件进行审查。 </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sz w:val="24"/>
          <w:szCs w:val="24"/>
        </w:rPr>
        <w:t>依据法律法规和竞争性谈判文件的规定，对响应文件中的资格证明材料、保证金等进行审查。资格性审查内容如下：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2835"/>
        <w:gridCol w:w="5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544"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52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5267"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5267" w:type="dxa"/>
            <w:vMerge w:val="restart"/>
            <w:noWrap w:val="0"/>
            <w:vAlign w:val="center"/>
          </w:tcPr>
          <w:p>
            <w:pPr>
              <w:rPr>
                <w:rFonts w:hint="eastAsia" w:ascii="方正仿宋_GBK" w:hAnsi="仿宋" w:eastAsia="方正仿宋_GBK"/>
                <w:b/>
                <w:sz w:val="21"/>
                <w:szCs w:val="21"/>
              </w:rPr>
            </w:pP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5267" w:type="dxa"/>
            <w:vMerge w:val="continue"/>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5267" w:type="dxa"/>
            <w:vMerge w:val="continue"/>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5267" w:type="dxa"/>
            <w:vMerge w:val="continue"/>
            <w:noWrap w:val="0"/>
            <w:vAlign w:val="center"/>
          </w:tcPr>
          <w:p>
            <w:pPr>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5267" w:type="dxa"/>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5267"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top"/>
          </w:tcPr>
          <w:p>
            <w:pPr>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3544" w:type="dxa"/>
            <w:gridSpan w:val="2"/>
            <w:noWrap w:val="0"/>
            <w:vAlign w:val="top"/>
          </w:tcPr>
          <w:p>
            <w:pPr>
              <w:jc w:val="left"/>
              <w:rPr>
                <w:rFonts w:hint="eastAsia" w:ascii="方正仿宋_GBK" w:hAnsi="仿宋" w:eastAsia="方正仿宋_GBK"/>
                <w:sz w:val="21"/>
                <w:szCs w:val="21"/>
              </w:rPr>
            </w:pPr>
            <w:r>
              <w:rPr>
                <w:rFonts w:hint="eastAsia" w:ascii="方正仿宋_GBK" w:hAnsi="仿宋" w:eastAsia="方正仿宋_GBK"/>
                <w:sz w:val="21"/>
                <w:szCs w:val="21"/>
              </w:rPr>
              <w:t>保证金</w:t>
            </w:r>
          </w:p>
        </w:tc>
        <w:tc>
          <w:tcPr>
            <w:tcW w:w="5267" w:type="dxa"/>
            <w:noWrap w:val="0"/>
            <w:vAlign w:val="top"/>
          </w:tcPr>
          <w:p>
            <w:pPr>
              <w:rPr>
                <w:rFonts w:hint="eastAsia" w:ascii="方正仿宋_GBK" w:hAnsi="仿宋" w:eastAsia="方正仿宋_GBK"/>
                <w:sz w:val="21"/>
                <w:szCs w:val="21"/>
              </w:rPr>
            </w:pPr>
            <w:r>
              <w:rPr>
                <w:rFonts w:hint="eastAsia" w:ascii="方正仿宋_GBK" w:hAnsi="仿宋" w:eastAsia="方正仿宋_GBK"/>
                <w:sz w:val="21"/>
                <w:szCs w:val="21"/>
              </w:rPr>
              <w:t>按照竞争性谈判文件要求足额交纳所参与包的保证金。</w:t>
            </w:r>
          </w:p>
        </w:tc>
      </w:tr>
    </w:tbl>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w:t>
      </w:r>
    </w:p>
    <w:p>
      <w:pPr>
        <w:snapToGrid w:val="0"/>
        <w:spacing w:line="400" w:lineRule="exact"/>
        <w:ind w:firstLine="480" w:firstLineChars="200"/>
        <w:rPr>
          <w:rFonts w:hint="eastAsia" w:ascii="方正仿宋_GBK" w:hAnsi="宋体" w:eastAsia="方正仿宋_GBK" w:cs="宋体"/>
          <w:kern w:val="0"/>
          <w:sz w:val="24"/>
          <w:szCs w:val="24"/>
        </w:rPr>
      </w:pPr>
      <w:r>
        <w:rPr>
          <w:rFonts w:ascii="方正仿宋_GBK" w:hAnsi="宋体" w:eastAsia="方正仿宋_GBK" w:cs="宋体"/>
          <w:kern w:val="0"/>
          <w:sz w:val="24"/>
          <w:szCs w:val="24"/>
        </w:rPr>
        <w:fldChar w:fldCharType="begin"/>
      </w:r>
      <w:r>
        <w:rPr>
          <w:rFonts w:ascii="方正仿宋_GBK" w:hAnsi="宋体" w:eastAsia="方正仿宋_GBK" w:cs="宋体"/>
          <w:kern w:val="0"/>
          <w:sz w:val="24"/>
          <w:szCs w:val="24"/>
        </w:rPr>
        <w:instrText xml:space="preserve"> </w:instrText>
      </w:r>
      <w:r>
        <w:rPr>
          <w:rFonts w:hint="eastAsia" w:ascii="方正仿宋_GBK" w:hAnsi="宋体" w:eastAsia="方正仿宋_GBK" w:cs="宋体"/>
          <w:kern w:val="0"/>
          <w:sz w:val="24"/>
          <w:szCs w:val="24"/>
        </w:rPr>
        <w:instrText xml:space="preserve">eq \o\ac(○,</w:instrText>
      </w:r>
      <w:r>
        <w:rPr>
          <w:rFonts w:hint="eastAsia" w:ascii="宋体" w:hAnsi="宋体" w:eastAsia="方正仿宋_GBK" w:cs="宋体"/>
          <w:kern w:val="0"/>
          <w:position w:val="3"/>
          <w:sz w:val="16"/>
          <w:szCs w:val="24"/>
        </w:rPr>
        <w:instrText xml:space="preserve">1</w:instrText>
      </w:r>
      <w:r>
        <w:rPr>
          <w:rFonts w:hint="eastAsia" w:ascii="方正仿宋_GBK" w:hAnsi="宋体" w:eastAsia="方正仿宋_GBK" w:cs="宋体"/>
          <w:kern w:val="0"/>
          <w:sz w:val="24"/>
          <w:szCs w:val="24"/>
        </w:rPr>
        <w:instrText xml:space="preserve">)</w:instrText>
      </w:r>
      <w:r>
        <w:rPr>
          <w:rFonts w:ascii="方正仿宋_GBK" w:hAnsi="宋体" w:eastAsia="方正仿宋_GBK" w:cs="宋体"/>
          <w:kern w:val="0"/>
          <w:sz w:val="24"/>
          <w:szCs w:val="24"/>
        </w:rPr>
        <w:fldChar w:fldCharType="end"/>
      </w:r>
      <w:r>
        <w:rPr>
          <w:rFonts w:hint="eastAsia" w:ascii="方正仿宋_GBK" w:hAnsi="宋体" w:eastAsia="方正仿宋_GBK" w:cs="宋体"/>
          <w:kern w:val="0"/>
          <w:sz w:val="24"/>
          <w:szCs w:val="24"/>
        </w:rPr>
        <w:t>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snapToGrid w:val="0"/>
        <w:spacing w:line="400" w:lineRule="exact"/>
        <w:ind w:firstLine="480" w:firstLineChars="200"/>
        <w:rPr>
          <w:rFonts w:hint="eastAsia" w:ascii="方正仿宋_GBK" w:hAnsi="宋体" w:eastAsia="方正仿宋_GBK" w:cs="宋体"/>
          <w:kern w:val="0"/>
          <w:sz w:val="24"/>
          <w:szCs w:val="24"/>
        </w:rPr>
      </w:pPr>
      <w:r>
        <w:rPr>
          <w:rFonts w:ascii="方正仿宋_GBK" w:hAnsi="宋体" w:eastAsia="方正仿宋_GBK" w:cs="宋体"/>
          <w:kern w:val="0"/>
          <w:sz w:val="24"/>
          <w:szCs w:val="24"/>
        </w:rPr>
        <w:fldChar w:fldCharType="begin"/>
      </w:r>
      <w:r>
        <w:rPr>
          <w:rFonts w:ascii="方正仿宋_GBK" w:hAnsi="宋体" w:eastAsia="方正仿宋_GBK" w:cs="宋体"/>
          <w:kern w:val="0"/>
          <w:sz w:val="24"/>
          <w:szCs w:val="24"/>
        </w:rPr>
        <w:instrText xml:space="preserve"> </w:instrText>
      </w:r>
      <w:r>
        <w:rPr>
          <w:rFonts w:hint="eastAsia" w:ascii="方正仿宋_GBK" w:hAnsi="宋体" w:eastAsia="方正仿宋_GBK" w:cs="宋体"/>
          <w:kern w:val="0"/>
          <w:sz w:val="24"/>
          <w:szCs w:val="24"/>
        </w:rPr>
        <w:instrText xml:space="preserve">eq \o\ac(○,</w:instrText>
      </w:r>
      <w:r>
        <w:rPr>
          <w:rFonts w:hint="eastAsia" w:ascii="宋体" w:hAnsi="宋体" w:eastAsia="方正仿宋_GBK" w:cs="宋体"/>
          <w:kern w:val="0"/>
          <w:position w:val="3"/>
          <w:sz w:val="16"/>
          <w:szCs w:val="24"/>
        </w:rPr>
        <w:instrText xml:space="preserve">2</w:instrText>
      </w:r>
      <w:r>
        <w:rPr>
          <w:rFonts w:hint="eastAsia" w:ascii="方正仿宋_GBK" w:hAnsi="宋体" w:eastAsia="方正仿宋_GBK" w:cs="宋体"/>
          <w:kern w:val="0"/>
          <w:sz w:val="24"/>
          <w:szCs w:val="24"/>
        </w:rPr>
        <w:instrText xml:space="preserve">)</w:instrText>
      </w:r>
      <w:r>
        <w:rPr>
          <w:rFonts w:ascii="方正仿宋_GBK" w:hAnsi="宋体" w:eastAsia="方正仿宋_GBK" w:cs="宋体"/>
          <w:kern w:val="0"/>
          <w:sz w:val="24"/>
          <w:szCs w:val="24"/>
        </w:rPr>
        <w:fldChar w:fldCharType="end"/>
      </w:r>
      <w:r>
        <w:rPr>
          <w:rFonts w:hint="eastAsia" w:ascii="方正仿宋_GBK" w:hAnsi="宋体" w:eastAsia="方正仿宋_GBK" w:cs="宋体"/>
          <w:kern w:val="0"/>
          <w:sz w:val="24"/>
          <w:szCs w:val="24"/>
        </w:rPr>
        <w:t>以联合体形式参与谈判的，共同联合协议中应确定主办方（主体），</w:t>
      </w:r>
      <w:r>
        <w:rPr>
          <w:rFonts w:hint="eastAsia" w:ascii="方正仿宋_GBK" w:hAnsi="宋体" w:eastAsia="方正仿宋_GBK"/>
          <w:sz w:val="24"/>
        </w:rPr>
        <w:t>代表联合体进行谈判和澄清。</w:t>
      </w:r>
      <w:r>
        <w:rPr>
          <w:rFonts w:hint="eastAsia" w:ascii="方正仿宋_GBK" w:hAnsi="宋体" w:eastAsia="方正仿宋_GBK" w:cs="宋体"/>
          <w:kern w:val="0"/>
          <w:sz w:val="24"/>
          <w:szCs w:val="24"/>
        </w:rPr>
        <w:t>联合体各方均应满足</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资格要求（详见“第一篇”）。</w:t>
      </w:r>
    </w:p>
    <w:p>
      <w:pPr>
        <w:snapToGrid w:val="0"/>
        <w:spacing w:line="400" w:lineRule="exact"/>
        <w:ind w:firstLine="480" w:firstLineChars="200"/>
        <w:rPr>
          <w:rFonts w:hint="eastAsia" w:ascii="方正仿宋_GBK" w:hAnsi="宋体" w:eastAsia="方正仿宋_GBK" w:cs="宋体"/>
          <w:kern w:val="0"/>
          <w:sz w:val="24"/>
          <w:szCs w:val="24"/>
        </w:rPr>
      </w:pPr>
      <w:r>
        <w:rPr>
          <w:rFonts w:ascii="方正仿宋_GBK" w:hAnsi="宋体" w:eastAsia="方正仿宋_GBK" w:cs="宋体"/>
          <w:kern w:val="0"/>
          <w:sz w:val="24"/>
          <w:szCs w:val="24"/>
        </w:rPr>
        <w:fldChar w:fldCharType="begin"/>
      </w:r>
      <w:r>
        <w:rPr>
          <w:rFonts w:ascii="方正仿宋_GBK" w:hAnsi="宋体" w:eastAsia="方正仿宋_GBK" w:cs="宋体"/>
          <w:kern w:val="0"/>
          <w:sz w:val="24"/>
          <w:szCs w:val="24"/>
        </w:rPr>
        <w:instrText xml:space="preserve"> </w:instrText>
      </w:r>
      <w:r>
        <w:rPr>
          <w:rFonts w:hint="eastAsia" w:ascii="方正仿宋_GBK" w:hAnsi="宋体" w:eastAsia="方正仿宋_GBK" w:cs="宋体"/>
          <w:kern w:val="0"/>
          <w:sz w:val="24"/>
          <w:szCs w:val="24"/>
        </w:rPr>
        <w:instrText xml:space="preserve">eq \o\ac(○,</w:instrText>
      </w:r>
      <w:r>
        <w:rPr>
          <w:rFonts w:hint="eastAsia" w:ascii="宋体" w:hAnsi="宋体" w:eastAsia="方正仿宋_GBK" w:cs="宋体"/>
          <w:kern w:val="0"/>
          <w:position w:val="3"/>
          <w:sz w:val="16"/>
          <w:szCs w:val="24"/>
        </w:rPr>
        <w:instrText xml:space="preserve">3</w:instrText>
      </w:r>
      <w:r>
        <w:rPr>
          <w:rFonts w:hint="eastAsia" w:ascii="方正仿宋_GBK" w:hAnsi="宋体" w:eastAsia="方正仿宋_GBK" w:cs="宋体"/>
          <w:kern w:val="0"/>
          <w:sz w:val="24"/>
          <w:szCs w:val="24"/>
        </w:rPr>
        <w:instrText xml:space="preserve">)</w:instrText>
      </w:r>
      <w:r>
        <w:rPr>
          <w:rFonts w:ascii="方正仿宋_GBK" w:hAnsi="宋体" w:eastAsia="方正仿宋_GBK" w:cs="宋体"/>
          <w:kern w:val="0"/>
          <w:sz w:val="24"/>
          <w:szCs w:val="24"/>
        </w:rPr>
        <w:fldChar w:fldCharType="end"/>
      </w:r>
      <w:r>
        <w:rPr>
          <w:rFonts w:hint="eastAsia" w:ascii="方正仿宋_GBK" w:hAnsi="宋体" w:eastAsia="方正仿宋_GBK"/>
          <w:sz w:val="24"/>
        </w:rPr>
        <w:t>以联合体形式参加本项目的，联合体各方均为中小企业的，联合体视同中小企业（其中，联合体各方均为小微企业的，联合体视同小微企业</w:t>
      </w:r>
      <w:r>
        <w:rPr>
          <w:rFonts w:hint="eastAsia" w:ascii="方正仿宋_GBK" w:hAnsi="宋体" w:eastAsia="方正仿宋_GBK" w:cs="宋体"/>
          <w:kern w:val="0"/>
          <w:sz w:val="24"/>
          <w:szCs w:val="24"/>
        </w:rPr>
        <w:t>）。</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（三）谈判小组在对响应文件的有效性、完整性和响应程度进行审查时，可以要求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对响应文件中含义不明确、同类问题表述不一致或者有明显文字和计算错误的内容等作出必要的澄清、说明或者更正。</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的澄清、说明或者更正不得超出响应文件的范围或者改变响应文件的实质性内容。</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谈判小组要求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澄清、说明或者更正响应文件应当以书面形式作出。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的澄清、说明或者更正应当由法定代表人（或其授权代表）或自然人（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为自然人）签署或者加盖公章。由授权代表签署的，应当附法定代表人授权书。</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为自然人的，应当由本人签署并附身份证明。</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（四）在谈判过程中谈判的任何一方不得向他人透露与谈判有关的技术资料、价格或其他信息。</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在谈判过程中，谈判小组可以根据竞争性谈判文件和谈判情况实质性变动采购需求中的技术（质量）、服务要求以及合同草案条款，但不得变动竞争性谈判文件中的其他内容。实质性变动的内容，须经采购人代表确认。对竞争性谈判文件作出的实质性变动是竞争性谈判文件的有效组成部分，谈判小组应当及时通知所有参加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应当按照谈判文件的变动情况和谈判小组的要求重新提交响应文件，并由其法定代表人或授权代表签字或者加盖公章。由授权代表签字的，应当附法定代表人授权书。</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为自然人的，应当由本人签字并附身份证明。</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在谈判时作出的所有书面承诺须由法定代表人（或其授权代表）或自然人（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（七）谈判结束后，谈判小组要求所有参加正式谈判的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在规定时间内书面提交《</w:t>
      </w:r>
      <w:r>
        <w:rPr>
          <w:rFonts w:hint="eastAsia" w:ascii="方正仿宋_GBK" w:hAnsi="宋体" w:eastAsia="方正仿宋_GBK"/>
          <w:sz w:val="24"/>
          <w:szCs w:val="24"/>
          <w:lang w:val="en-US" w:eastAsia="zh-CN"/>
        </w:rPr>
        <w:t>开标现场最终报价表</w:t>
      </w:r>
      <w:r>
        <w:rPr>
          <w:rFonts w:hint="eastAsia" w:ascii="方正仿宋_GBK" w:hAnsi="宋体" w:eastAsia="方正仿宋_GBK"/>
          <w:sz w:val="24"/>
          <w:szCs w:val="24"/>
        </w:rPr>
        <w:t>》。</w:t>
      </w:r>
      <w:r>
        <w:rPr>
          <w:rFonts w:ascii="方正仿宋_GBK" w:hAnsi="宋体" w:eastAsia="方正仿宋_GBK"/>
          <w:sz w:val="24"/>
          <w:szCs w:val="24"/>
        </w:rPr>
        <w:t>已提交响应文件</w:t>
      </w:r>
      <w:r>
        <w:rPr>
          <w:rFonts w:hint="eastAsia" w:ascii="方正仿宋_GBK" w:hAnsi="宋体" w:eastAsia="方正仿宋_GBK"/>
          <w:sz w:val="24"/>
          <w:szCs w:val="24"/>
        </w:rPr>
        <w:t>但未在规定时间内进行最后报价</w:t>
      </w:r>
      <w:r>
        <w:rPr>
          <w:rFonts w:ascii="方正仿宋_GBK" w:hAnsi="宋体" w:eastAsia="方正仿宋_GBK"/>
          <w:sz w:val="24"/>
          <w:szCs w:val="24"/>
        </w:rPr>
        <w:t>的</w:t>
      </w:r>
      <w:r>
        <w:rPr>
          <w:rFonts w:hint="eastAsia" w:ascii="方正仿宋_GBK" w:hAnsi="宋体" w:eastAsia="方正仿宋_GBK"/>
          <w:sz w:val="24"/>
          <w:szCs w:val="24"/>
          <w:lang w:eastAsia="zh-CN"/>
        </w:rPr>
        <w:t>投标人</w:t>
      </w:r>
      <w:r>
        <w:rPr>
          <w:rFonts w:ascii="方正仿宋_GBK" w:hAnsi="宋体" w:eastAsia="方正仿宋_GBK"/>
          <w:sz w:val="24"/>
          <w:szCs w:val="24"/>
        </w:rPr>
        <w:t>，</w:t>
      </w:r>
      <w:r>
        <w:rPr>
          <w:rFonts w:hint="eastAsia" w:ascii="方正仿宋_GBK" w:hAnsi="宋体" w:eastAsia="方正仿宋_GBK"/>
          <w:sz w:val="24"/>
          <w:szCs w:val="24"/>
        </w:rPr>
        <w:t>视为放弃最后报价，以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响应文件中的报价为准。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6" w:name="_Toc65660351"/>
      <w:bookmarkStart w:id="77" w:name="_Toc64732013"/>
      <w:bookmarkStart w:id="78" w:name="_Toc30639"/>
      <w:bookmarkStart w:id="79" w:name="_Toc28258"/>
      <w:bookmarkStart w:id="80" w:name="_Toc11713"/>
      <w:r>
        <w:rPr>
          <w:rFonts w:hint="eastAsia" w:ascii="方正仿宋_GBK" w:hAnsi="宋体" w:eastAsia="方正仿宋_GBK"/>
          <w:sz w:val="24"/>
        </w:rPr>
        <w:t>二、评定成交的标准</w:t>
      </w:r>
      <w:bookmarkEnd w:id="76"/>
      <w:bookmarkEnd w:id="77"/>
      <w:bookmarkEnd w:id="78"/>
      <w:bookmarkEnd w:id="79"/>
      <w:bookmarkEnd w:id="80"/>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（一）谈判小组将依照本竞争性谈判文件相关规定对技术（质量）和服务均能满足竞争性谈判实质性响应要求的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所提交的最后报价</w:t>
      </w:r>
      <w:r>
        <w:rPr>
          <w:rFonts w:hint="eastAsia" w:ascii="方正仿宋_GBK" w:hAnsi="宋体" w:eastAsia="方正仿宋_GBK"/>
          <w:sz w:val="24"/>
          <w:szCs w:val="24"/>
          <w:lang w:eastAsia="zh-CN"/>
        </w:rPr>
        <w:t>，</w:t>
      </w:r>
      <w:r>
        <w:rPr>
          <w:rFonts w:hint="eastAsia" w:ascii="方正仿宋_GBK" w:hAnsi="宋体" w:eastAsia="方正仿宋_GBK"/>
          <w:sz w:val="24"/>
          <w:szCs w:val="24"/>
        </w:rPr>
        <w:t>按照由低到高的顺序提出3名成交候选人。</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的最后报价相同，按技术（质量）的优劣顺序排列；以上都相同的，按服务条款的优劣顺序排列。</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（三）成交价格=</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的最后报价。</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1" w:name="_Toc12644"/>
      <w:bookmarkStart w:id="82" w:name="_Toc29113"/>
      <w:bookmarkStart w:id="83" w:name="_Toc13425"/>
      <w:bookmarkStart w:id="84" w:name="_Toc65660352"/>
      <w:r>
        <w:rPr>
          <w:rFonts w:hint="eastAsia" w:ascii="方正仿宋_GBK" w:hAnsi="宋体" w:eastAsia="方正仿宋_GBK"/>
          <w:sz w:val="24"/>
        </w:rPr>
        <w:t>三、</w:t>
      </w:r>
      <w:r>
        <w:rPr>
          <w:rFonts w:hint="eastAsia" w:ascii="方正仿宋_GBK" w:hAnsi="宋体" w:eastAsia="方正仿宋_GBK"/>
          <w:color w:val="FF0000"/>
          <w:sz w:val="24"/>
        </w:rPr>
        <w:t>无效谈判</w:t>
      </w:r>
      <w:bookmarkEnd w:id="81"/>
      <w:bookmarkEnd w:id="82"/>
      <w:bookmarkEnd w:id="83"/>
      <w:bookmarkEnd w:id="84"/>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发生以下条款情况之一者，视为无效谈判：</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的法定代表人（或其授权代表）或自然人未参加谈判的；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所提交的响应文件未按“第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篇响应文件格式要求”要求签署或盖章的；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color w:val="FF0000"/>
          <w:sz w:val="24"/>
          <w:szCs w:val="24"/>
          <w:lang w:eastAsia="zh-CN"/>
        </w:rPr>
        <w:t>投标人</w:t>
      </w:r>
      <w:r>
        <w:rPr>
          <w:rFonts w:hint="eastAsia" w:ascii="方正仿宋_GBK" w:hAnsi="宋体" w:eastAsia="方正仿宋_GBK"/>
          <w:color w:val="FF0000"/>
          <w:sz w:val="24"/>
          <w:szCs w:val="24"/>
        </w:rPr>
        <w:t>不接受谈判小组修正后价格的；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w:t>
      </w:r>
      <w:r>
        <w:rPr>
          <w:rFonts w:ascii="方正仿宋_GBK" w:hAnsi="宋体" w:eastAsia="方正仿宋_GBK"/>
          <w:sz w:val="24"/>
          <w:szCs w:val="24"/>
        </w:rPr>
        <w:t>参加同一合同项</w:t>
      </w:r>
      <w:r>
        <w:rPr>
          <w:rFonts w:hint="eastAsia" w:ascii="方正仿宋_GBK" w:hAnsi="宋体" w:eastAsia="方正仿宋_GBK"/>
          <w:sz w:val="24"/>
          <w:szCs w:val="24"/>
        </w:rPr>
        <w:t>（包）谈判的；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再参加该采购项目的其他采购活动的；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）同一</w:t>
      </w:r>
      <w:r>
        <w:rPr>
          <w:rFonts w:ascii="方正仿宋_GBK" w:hAnsi="宋体" w:eastAsia="方正仿宋_GBK"/>
          <w:sz w:val="24"/>
          <w:szCs w:val="24"/>
        </w:rPr>
        <w:t>合同项</w:t>
      </w:r>
      <w:r>
        <w:rPr>
          <w:rFonts w:hint="eastAsia" w:ascii="方正仿宋_GBK" w:hAnsi="宋体" w:eastAsia="方正仿宋_GBK"/>
          <w:sz w:val="24"/>
          <w:szCs w:val="24"/>
        </w:rPr>
        <w:t>（包）</w:t>
      </w:r>
      <w:r>
        <w:rPr>
          <w:rFonts w:ascii="方正仿宋_GBK" w:hAnsi="宋体" w:eastAsia="方正仿宋_GBK"/>
          <w:sz w:val="24"/>
          <w:szCs w:val="24"/>
        </w:rPr>
        <w:t>下</w:t>
      </w:r>
      <w:r>
        <w:rPr>
          <w:rFonts w:hint="eastAsia" w:ascii="方正仿宋_GBK" w:hAnsi="宋体" w:eastAsia="方正仿宋_GBK"/>
          <w:sz w:val="24"/>
          <w:szCs w:val="24"/>
        </w:rPr>
        <w:t>的货物，制造商参与谈判，再委托代理商参与谈判的；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九</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响应文件内容有与国家现行法律法规相违背的内容，或附有采购人无法接受条件的；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（十）法律、法规和竞争性谈判文件规定的其他无效情形。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5" w:name="_Toc29298"/>
      <w:bookmarkStart w:id="86" w:name="_Toc28422"/>
      <w:bookmarkStart w:id="87" w:name="_Toc25202"/>
      <w:bookmarkStart w:id="88" w:name="_Toc65660353"/>
      <w:r>
        <w:rPr>
          <w:rFonts w:hint="eastAsia" w:ascii="方正仿宋_GBK" w:hAnsi="宋体" w:eastAsia="方正仿宋_GBK"/>
          <w:sz w:val="24"/>
        </w:rPr>
        <w:t>四、采购终止</w:t>
      </w:r>
      <w:bookmarkEnd w:id="85"/>
      <w:bookmarkEnd w:id="86"/>
      <w:bookmarkEnd w:id="87"/>
      <w:bookmarkEnd w:id="88"/>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出现下列情形之一的，</w:t>
      </w:r>
      <w:r>
        <w:rPr>
          <w:rFonts w:hint="eastAsia" w:ascii="方正仿宋_GBK" w:hAnsi="宋体" w:eastAsia="方正仿宋_GBK"/>
          <w:sz w:val="24"/>
          <w:szCs w:val="24"/>
          <w:lang w:val="en-US" w:eastAsia="zh-CN"/>
        </w:rPr>
        <w:t>重庆医科大学附属儿童医院有权</w:t>
      </w:r>
      <w:r>
        <w:rPr>
          <w:rFonts w:hint="eastAsia" w:ascii="方正仿宋_GBK" w:hAnsi="宋体" w:eastAsia="方正仿宋_GBK"/>
          <w:sz w:val="24"/>
          <w:szCs w:val="24"/>
        </w:rPr>
        <w:t>终止竞争性谈判采购活动，发布项目终止公告并说明原因，重新开展采购活动：</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（一）因情况变化，不再符合规定的竞争性谈判采购方式适用情形的；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80" w:firstLineChars="200"/>
        <w:rPr>
          <w:rFonts w:hint="eastAsia" w:ascii="方正仿宋_GBK" w:hAnsi="宋体" w:eastAsia="方正仿宋_GBK"/>
          <w:color w:val="auto"/>
          <w:sz w:val="24"/>
          <w:szCs w:val="24"/>
          <w:lang w:eastAsia="zh-CN"/>
        </w:rPr>
      </w:pPr>
      <w:r>
        <w:rPr>
          <w:rFonts w:hint="eastAsia" w:ascii="方正仿宋_GBK" w:hAnsi="宋体" w:eastAsia="方正仿宋_GBK"/>
          <w:sz w:val="24"/>
          <w:szCs w:val="24"/>
        </w:rPr>
        <w:t>（三）在采购过程中</w:t>
      </w:r>
      <w:r>
        <w:rPr>
          <w:rFonts w:hint="eastAsia" w:ascii="方正仿宋_GBK" w:hAnsi="宋体" w:eastAsia="方正仿宋_GBK"/>
          <w:sz w:val="24"/>
          <w:szCs w:val="24"/>
          <w:lang w:val="en-US" w:eastAsia="zh-CN"/>
        </w:rPr>
        <w:t>有效谈判投标人</w:t>
      </w:r>
      <w:r>
        <w:rPr>
          <w:rFonts w:hint="eastAsia" w:ascii="方正仿宋_GBK" w:hAnsi="宋体" w:eastAsia="方正仿宋_GBK"/>
          <w:sz w:val="24"/>
          <w:szCs w:val="24"/>
        </w:rPr>
        <w:t>不足3家</w:t>
      </w:r>
      <w:r>
        <w:rPr>
          <w:rFonts w:hint="eastAsia" w:ascii="方正仿宋_GBK" w:hAnsi="宋体" w:eastAsia="方正仿宋_GBK"/>
          <w:sz w:val="24"/>
          <w:szCs w:val="24"/>
          <w:lang w:val="en-US" w:eastAsia="zh-CN"/>
        </w:rPr>
        <w:t>的</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挂网2次有效谈判仍不足3家的情形</w:t>
      </w:r>
      <w:r>
        <w:rPr>
          <w:rFonts w:hint="eastAsia" w:ascii="方正仿宋_GBK" w:hAnsi="宋体" w:eastAsia="方正仿宋_GBK"/>
          <w:color w:val="auto"/>
          <w:sz w:val="24"/>
          <w:szCs w:val="24"/>
          <w:lang w:val="en-US" w:eastAsia="zh-CN"/>
        </w:rPr>
        <w:t>除外；</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采购任务取消。</w:t>
      </w:r>
    </w:p>
    <w:p>
      <w:pPr>
        <w:rPr>
          <w:rFonts w:hint="eastAsia" w:ascii="方正小标宋_GBK" w:eastAsia="方正小标宋_GBK"/>
          <w:b w:val="0"/>
          <w:sz w:val="36"/>
          <w:szCs w:val="30"/>
        </w:rPr>
      </w:pPr>
      <w:bookmarkStart w:id="89" w:name="_Toc10768"/>
      <w:bookmarkStart w:id="90" w:name="_Toc20055"/>
      <w:bookmarkStart w:id="91" w:name="_Toc65660354"/>
    </w:p>
    <w:p>
      <w:pPr>
        <w:rPr>
          <w:rFonts w:hint="eastAsia" w:ascii="方正小标宋_GBK" w:eastAsia="方正小标宋_GBK"/>
          <w:b w:val="0"/>
          <w:sz w:val="36"/>
          <w:szCs w:val="30"/>
        </w:rPr>
      </w:pPr>
      <w:r>
        <w:rPr>
          <w:rFonts w:hint="eastAsia" w:ascii="方正小标宋_GBK" w:eastAsia="方正小标宋_GBK"/>
          <w:b w:val="0"/>
          <w:sz w:val="36"/>
          <w:szCs w:val="30"/>
        </w:rPr>
        <w:br w:type="page"/>
      </w:r>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92" w:name="_Toc17430"/>
      <w:r>
        <w:rPr>
          <w:rFonts w:hint="eastAsia" w:ascii="方正仿宋_GBK" w:hAnsi="Times New Roman" w:eastAsia="方正仿宋_GBK" w:cs="Times New Roman"/>
          <w:b/>
          <w:sz w:val="44"/>
          <w:szCs w:val="20"/>
          <w:lang w:val="en-US" w:eastAsia="zh-CN"/>
        </w:rPr>
        <w:t>第五篇  投标人须知</w:t>
      </w:r>
      <w:bookmarkEnd w:id="89"/>
      <w:bookmarkEnd w:id="90"/>
      <w:bookmarkEnd w:id="91"/>
      <w:bookmarkEnd w:id="92"/>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3" w:name="_Toc16524"/>
      <w:bookmarkStart w:id="94" w:name="_Toc22433"/>
      <w:bookmarkStart w:id="95" w:name="_Toc5290"/>
      <w:bookmarkStart w:id="96" w:name="_Toc65660355"/>
      <w:r>
        <w:rPr>
          <w:rFonts w:hint="eastAsia" w:ascii="方正仿宋_GBK" w:hAnsi="宋体" w:eastAsia="方正仿宋_GBK"/>
          <w:sz w:val="24"/>
        </w:rPr>
        <w:t>一、谈判费用</w:t>
      </w:r>
      <w:bookmarkEnd w:id="93"/>
      <w:bookmarkEnd w:id="94"/>
      <w:bookmarkEnd w:id="95"/>
      <w:bookmarkEnd w:id="96"/>
    </w:p>
    <w:p>
      <w:pPr>
        <w:pStyle w:val="14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应承担其编制响应文件与递交响应文件所涉及的一切费用，不论谈判结果如何，采购人在任何情况下无义务也无责任承担这些费用。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7" w:name="_Toc16715"/>
      <w:bookmarkStart w:id="98" w:name="_Toc65660356"/>
      <w:bookmarkStart w:id="99" w:name="_Toc31739"/>
      <w:bookmarkStart w:id="100" w:name="_Toc5915"/>
      <w:r>
        <w:rPr>
          <w:rFonts w:hint="eastAsia" w:ascii="方正仿宋_GBK" w:hAnsi="宋体" w:eastAsia="方正仿宋_GBK"/>
          <w:sz w:val="24"/>
        </w:rPr>
        <w:t>二、竞争性谈判文件</w:t>
      </w:r>
      <w:bookmarkEnd w:id="97"/>
      <w:bookmarkEnd w:id="98"/>
      <w:bookmarkEnd w:id="99"/>
      <w:bookmarkEnd w:id="100"/>
      <w:r>
        <w:rPr>
          <w:rFonts w:ascii="方正仿宋_GBK" w:hAnsi="宋体" w:eastAsia="方正仿宋_GBK"/>
          <w:sz w:val="24"/>
        </w:rPr>
        <w:tab/>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（一）竞争性谈判文件由竞争性谈判邀请书、谈判项目技术（质量）需求、谈判项目服务需求、采购程序、评定成交的标准、无效谈判及采购终止、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须知、响应文件格式要求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（二）采购人所作的一切有效的书面通知、修改及补充，都是竞争性谈判文件不可分割的部分。</w:t>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（三）本竞争性谈判文件中，谈判小组根据与</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谈判情况可能实质性变动的内容为竞争性谈判文件第二、三篇全部内容。</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1" w:name="_Toc28256"/>
      <w:bookmarkStart w:id="102" w:name="_Toc9532"/>
      <w:bookmarkStart w:id="103" w:name="_Toc65660357"/>
      <w:bookmarkStart w:id="104" w:name="_Toc3061"/>
      <w:r>
        <w:rPr>
          <w:rFonts w:hint="eastAsia" w:ascii="方正仿宋_GBK" w:hAnsi="宋体" w:eastAsia="方正仿宋_GBK"/>
          <w:sz w:val="24"/>
        </w:rPr>
        <w:t>三、谈判要求</w:t>
      </w:r>
      <w:bookmarkEnd w:id="101"/>
      <w:bookmarkEnd w:id="102"/>
      <w:bookmarkEnd w:id="103"/>
      <w:bookmarkEnd w:id="104"/>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应当按照竞争性谈判文件的要求编制响应文件，并对竞争性谈判文件提出的要求和条件作出实质性响应，响应文件原则上采用软面订本。</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篇响应文件格式”规定进行编写和装订，也可在基本格式基础上对表格进行扩展，未规定格式的由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2.联合体</w:t>
      </w:r>
    </w:p>
    <w:p>
      <w:pPr>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2.1两个以上</w:t>
      </w:r>
      <w:r>
        <w:rPr>
          <w:rFonts w:hint="eastAsia" w:ascii="方正仿宋_GBK" w:hAnsi="宋体" w:eastAsia="方正仿宋_GBK"/>
          <w:sz w:val="24"/>
          <w:lang w:eastAsia="zh-CN"/>
        </w:rPr>
        <w:t>投标人</w:t>
      </w:r>
      <w:r>
        <w:rPr>
          <w:rFonts w:hint="eastAsia" w:ascii="方正仿宋_GBK" w:hAnsi="宋体" w:eastAsia="方正仿宋_GBK"/>
          <w:sz w:val="24"/>
        </w:rPr>
        <w:t>可以组成一个谈判联合体，以一个</w:t>
      </w:r>
      <w:r>
        <w:rPr>
          <w:rFonts w:hint="eastAsia" w:ascii="方正仿宋_GBK" w:hAnsi="宋体" w:eastAsia="方正仿宋_GBK"/>
          <w:sz w:val="24"/>
          <w:lang w:eastAsia="zh-CN"/>
        </w:rPr>
        <w:t>投标人</w:t>
      </w:r>
      <w:r>
        <w:rPr>
          <w:rFonts w:hint="eastAsia" w:ascii="方正仿宋_GBK" w:hAnsi="宋体" w:eastAsia="方正仿宋_GBK"/>
          <w:sz w:val="24"/>
        </w:rPr>
        <w:t>的身份参与谈判。</w:t>
      </w:r>
    </w:p>
    <w:p>
      <w:pPr>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2.2以联合体形式参加谈判的，联合体各方均应</w:t>
      </w:r>
      <w:r>
        <w:rPr>
          <w:rFonts w:hint="eastAsia" w:ascii="方正仿宋_GBK" w:hAnsi="宋体" w:eastAsia="方正仿宋_GBK" w:cs="宋体"/>
          <w:kern w:val="0"/>
          <w:sz w:val="24"/>
          <w:szCs w:val="24"/>
        </w:rPr>
        <w:t>满足</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资格要求（详见“第一篇”）</w:t>
      </w:r>
      <w:r>
        <w:rPr>
          <w:rFonts w:hint="eastAsia" w:ascii="方正仿宋_GBK" w:hAnsi="宋体" w:eastAsia="方正仿宋_GBK"/>
          <w:sz w:val="24"/>
        </w:rPr>
        <w:t>。联合体中有同类资质的</w:t>
      </w:r>
      <w:r>
        <w:rPr>
          <w:rFonts w:hint="eastAsia" w:ascii="方正仿宋_GBK" w:hAnsi="宋体" w:eastAsia="方正仿宋_GBK"/>
          <w:sz w:val="24"/>
          <w:lang w:eastAsia="zh-CN"/>
        </w:rPr>
        <w:t>投标人</w:t>
      </w:r>
      <w:r>
        <w:rPr>
          <w:rFonts w:hint="eastAsia" w:ascii="方正仿宋_GBK" w:hAnsi="宋体" w:eastAsia="方正仿宋_GBK"/>
          <w:sz w:val="24"/>
        </w:rPr>
        <w:t>按照联合体分工承担相同工作的，应当按照资质等级较低的</w:t>
      </w:r>
      <w:r>
        <w:rPr>
          <w:rFonts w:hint="eastAsia" w:ascii="方正仿宋_GBK" w:hAnsi="宋体" w:eastAsia="方正仿宋_GBK"/>
          <w:sz w:val="24"/>
          <w:lang w:eastAsia="zh-CN"/>
        </w:rPr>
        <w:t>投标人</w:t>
      </w:r>
      <w:r>
        <w:rPr>
          <w:rFonts w:hint="eastAsia" w:ascii="方正仿宋_GBK" w:hAnsi="宋体" w:eastAsia="方正仿宋_GBK"/>
          <w:sz w:val="24"/>
        </w:rPr>
        <w:t>确定资质等级。</w:t>
      </w:r>
    </w:p>
    <w:p>
      <w:pPr>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2.3联合体各方之间应当签订共同联合协议，共同联合协议中应确定主办方（主体），代表联合体进行谈判和澄清。共同联合协议应明确约定联合体各方承担的工作和相应的责任，并将共同联合协议连同响应文件一并提交采购代理机构。</w:t>
      </w:r>
    </w:p>
    <w:p>
      <w:pPr>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2.4以联合体形式参加政府采购活动的，联合体各方不得再单独参加或者与其他</w:t>
      </w:r>
      <w:r>
        <w:rPr>
          <w:rFonts w:hint="eastAsia" w:ascii="方正仿宋_GBK" w:hAnsi="宋体" w:eastAsia="方正仿宋_GBK"/>
          <w:sz w:val="24"/>
          <w:lang w:eastAsia="zh-CN"/>
        </w:rPr>
        <w:t>投标人</w:t>
      </w:r>
      <w:r>
        <w:rPr>
          <w:rFonts w:hint="eastAsia" w:ascii="方正仿宋_GBK" w:hAnsi="宋体" w:eastAsia="方正仿宋_GBK"/>
          <w:sz w:val="24"/>
        </w:rPr>
        <w:t>另外组成联合体参加同一合同项下的政府采购活动。</w:t>
      </w:r>
    </w:p>
    <w:p>
      <w:pPr>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2.5联合体谈判业绩计算，按照共同联合协议分工认定。</w:t>
      </w:r>
    </w:p>
    <w:p>
      <w:pPr>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2.6两个以上的自然人、法人或者其他组织组成一个联合体，以一个</w:t>
      </w:r>
      <w:r>
        <w:rPr>
          <w:rFonts w:hint="eastAsia" w:ascii="方正仿宋_GBK" w:hAnsi="宋体" w:eastAsia="方正仿宋_GBK"/>
          <w:sz w:val="24"/>
          <w:lang w:eastAsia="zh-CN"/>
        </w:rPr>
        <w:t>投标人</w:t>
      </w:r>
      <w:r>
        <w:rPr>
          <w:rFonts w:hint="eastAsia" w:ascii="方正仿宋_GBK" w:hAnsi="宋体" w:eastAsia="方正仿宋_GBK"/>
          <w:sz w:val="24"/>
        </w:rPr>
        <w:t>的身份共同参加政府采购活动的，应当对所有联合体成员进行信用记录查询，联合体成员存在不良信用记录的，视同联合体存在不良信用记录。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rPr>
        <w:t>2.7以联合体谈判的，共同联合协议中应确定主办方（主体），代表联合体进行谈判和澄清。法定代表人授权委托书由联合体主办方（主体）出具。联合体各方均应满足</w:t>
      </w:r>
      <w:r>
        <w:rPr>
          <w:rFonts w:hint="eastAsia" w:ascii="方正仿宋_GBK" w:hAnsi="宋体" w:eastAsia="方正仿宋_GBK"/>
          <w:sz w:val="24"/>
          <w:lang w:eastAsia="zh-CN"/>
        </w:rPr>
        <w:t>投标人</w:t>
      </w:r>
      <w:r>
        <w:rPr>
          <w:rFonts w:hint="eastAsia" w:ascii="方正仿宋_GBK" w:hAnsi="宋体" w:eastAsia="方正仿宋_GBK"/>
          <w:sz w:val="24"/>
        </w:rPr>
        <w:t>资格要求（详见“第一篇”）。</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3.谈判有效期：响应文件及有关承诺文件有效期为提交响应文件截止时间起90天。</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（二）保证金：</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提交保证金金额和方式详见“</w:t>
      </w:r>
      <w:r>
        <w:rPr>
          <w:rFonts w:hint="eastAsia" w:ascii="方正仿宋_GBK" w:hAnsi="宋体" w:eastAsia="方正仿宋_GBK"/>
          <w:b/>
          <w:sz w:val="24"/>
          <w:szCs w:val="24"/>
          <w:u w:val="single"/>
        </w:rPr>
        <w:t xml:space="preserve">第一篇  </w:t>
      </w:r>
      <w:r>
        <w:rPr>
          <w:rFonts w:hint="eastAsia" w:ascii="方正仿宋_GBK" w:hAnsi="宋体" w:eastAsia="方正仿宋_GBK"/>
          <w:b/>
          <w:sz w:val="24"/>
          <w:szCs w:val="24"/>
          <w:u w:val="single"/>
          <w:lang w:val="en-US" w:eastAsia="zh-CN"/>
        </w:rPr>
        <w:t>四</w:t>
      </w:r>
      <w:r>
        <w:rPr>
          <w:rFonts w:hint="eastAsia" w:ascii="方正仿宋_GBK" w:hAnsi="宋体" w:eastAsia="方正仿宋_GBK"/>
          <w:b/>
          <w:sz w:val="24"/>
          <w:szCs w:val="24"/>
          <w:u w:val="single"/>
        </w:rPr>
        <w:t>、保证金”</w:t>
      </w:r>
      <w:r>
        <w:rPr>
          <w:rFonts w:hint="eastAsia" w:ascii="方正仿宋_GBK" w:hAnsi="宋体" w:eastAsia="方正仿宋_GBK"/>
          <w:sz w:val="24"/>
          <w:szCs w:val="24"/>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2.发生以下情况之一者，保证金不予退还：</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在提交响应文件截止时间后撤回响应文件的；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2.2</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在响应文件中提供虚假材料的；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2.3除因不可抗力或竞争性谈判文件认可的情形以外，</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不与采购人签订合同的；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2.4</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与采购人、其他</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或者采购代理机构恶意串通的；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2.5</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不按规定的时间或拒绝按成交状态签订合同（即不按照采购文件确定的合同文本以及采购标的、规格型号、采购金额、采购数量、技术（质量）和服务要求等事项签订采购合同的）。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3.</w:t>
      </w:r>
      <w:r>
        <w:rPr>
          <w:rFonts w:hint="eastAsia" w:ascii="方正仿宋_GBK" w:hAnsi="宋体" w:eastAsia="方正仿宋_GBK"/>
          <w:sz w:val="24"/>
        </w:rPr>
        <w:t>保证金的有效期限在谈判有效期过后三十天继续有效。</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（三）修正错误</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所递交的响应文件或最后报价中的价格出现大写金额和小写金额不一致的错误，以大写金额修正为准。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谈判小组按上述修正错误的原则及方法修正</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的报价，</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同意并签署确认后，修正后的报价对</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具有约束作用。如果</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不接受修正后的价格，将视为无效谈判。</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（四）提交响应文件的份数和签署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份，其中正本一份，副本</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份，电子文档一份（电子文档内容应与纸质文件正本一致，如不一致以纸质文件正本为准</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并在报名截止时间之前上传至电子招投标平台</w:t>
      </w:r>
      <w:r>
        <w:rPr>
          <w:rFonts w:hint="eastAsia" w:ascii="方正仿宋_GBK" w:hAnsi="宋体" w:eastAsia="方正仿宋_GBK"/>
          <w:sz w:val="24"/>
          <w:szCs w:val="24"/>
        </w:rPr>
        <w:t>）；副本可为正本的复印件，应与正本一致，如出现不一致情况以正本为准。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2.</w:t>
      </w:r>
      <w:r>
        <w:rPr>
          <w:rFonts w:hint="eastAsia" w:ascii="方正仿宋_GBK" w:hAnsi="宋体" w:eastAsia="方正仿宋_GBK"/>
          <w:sz w:val="24"/>
        </w:rPr>
        <w:t>在响应文件正本中，竞争性谈判文件第</w:t>
      </w:r>
      <w:r>
        <w:rPr>
          <w:rFonts w:hint="eastAsia" w:ascii="方正仿宋_GBK" w:hAnsi="宋体" w:eastAsia="方正仿宋_GBK"/>
          <w:sz w:val="24"/>
          <w:lang w:val="en-US" w:eastAsia="zh-CN"/>
        </w:rPr>
        <w:t>六</w:t>
      </w:r>
      <w:r>
        <w:rPr>
          <w:rFonts w:hint="eastAsia" w:ascii="方正仿宋_GBK" w:hAnsi="宋体" w:eastAsia="方正仿宋_GBK"/>
          <w:sz w:val="24"/>
        </w:rPr>
        <w:t>篇响应文件格式中规定签署、盖章的地方必须按其规定签署、盖章。</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3.若</w:t>
      </w:r>
      <w:r>
        <w:rPr>
          <w:rFonts w:hint="eastAsia" w:ascii="方正仿宋_GBK" w:hAnsi="宋体" w:eastAsia="方正仿宋_GBK"/>
          <w:sz w:val="24"/>
          <w:lang w:eastAsia="zh-CN"/>
        </w:rPr>
        <w:t>投标人</w:t>
      </w:r>
      <w:r>
        <w:rPr>
          <w:rFonts w:hint="eastAsia" w:ascii="方正仿宋_GBK" w:hAnsi="宋体" w:eastAsia="方正仿宋_GBK"/>
          <w:sz w:val="24"/>
        </w:rPr>
        <w:t>对响应文件的错处作必要修改，则应在修改处加盖</w:t>
      </w:r>
      <w:r>
        <w:rPr>
          <w:rFonts w:hint="eastAsia" w:ascii="方正仿宋_GBK" w:hAnsi="宋体" w:eastAsia="方正仿宋_GBK"/>
          <w:sz w:val="24"/>
          <w:lang w:eastAsia="zh-CN"/>
        </w:rPr>
        <w:t>投标人</w:t>
      </w:r>
      <w:r>
        <w:rPr>
          <w:rFonts w:hint="eastAsia" w:ascii="方正仿宋_GBK" w:hAnsi="宋体" w:eastAsia="方正仿宋_GBK"/>
          <w:sz w:val="24"/>
        </w:rPr>
        <w:t>公章或由法定代表人（或其授权代表）或自然人</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w:t>
      </w:r>
      <w:r>
        <w:rPr>
          <w:rFonts w:hint="eastAsia" w:ascii="方正仿宋_GBK" w:hAnsi="宋体" w:eastAsia="方正仿宋_GBK"/>
          <w:sz w:val="24"/>
        </w:rPr>
        <w:t>确认。</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4.电报、电话、传真形式的响应文件概不接受。</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（五）响应文件的递交</w:t>
      </w:r>
    </w:p>
    <w:p>
      <w:pPr>
        <w:pStyle w:val="3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响应文件的正本、副本以及电子文档均应密封送达谈判地点，应在封套上注明谈判项目名称、</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名称。若正本、副本以及电子文档分别进行密封的，还应在封套上注明“正本”、“副本”、“电子文档”字样。</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（六）响应文件语言：简体中文</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（七）</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应当派1-2名代表参与谈判，至少1人应为法定代表人（或其授权代表）或自然人（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参与谈判人员应熟悉谈判项目技术及商务需求。</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5" w:name="_Toc65660358"/>
      <w:bookmarkStart w:id="106" w:name="_Toc6242"/>
      <w:bookmarkStart w:id="107" w:name="_Toc14702"/>
      <w:bookmarkStart w:id="108" w:name="_Toc25617"/>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的确定和变更</w:t>
      </w:r>
      <w:bookmarkEnd w:id="105"/>
      <w:bookmarkEnd w:id="106"/>
      <w:bookmarkEnd w:id="107"/>
      <w:bookmarkEnd w:id="108"/>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val="en-US" w:eastAsia="zh-CN"/>
        </w:rPr>
        <w:t>采购人</w:t>
      </w:r>
      <w:r>
        <w:rPr>
          <w:rFonts w:hint="eastAsia" w:ascii="方正仿宋_GBK" w:hAnsi="宋体" w:eastAsia="方正仿宋_GBK"/>
          <w:color w:val="auto"/>
          <w:sz w:val="24"/>
          <w:szCs w:val="24"/>
        </w:rPr>
        <w:t>根据质量和服务均能满足采购文件实质性响应要求且最后报价最低的原则确定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拒绝签订采购合同的，采购人可以按照评审报告推荐的成交候选人顺序，确定排名下一位的候选人为</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，也可以重新开展采购活动。拒绝签订采购合同的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不得参加对该项目重新开展的采购活动。</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2.</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无充分理由放弃成交的，采购人</w:t>
      </w:r>
      <w:r>
        <w:rPr>
          <w:rFonts w:hint="eastAsia" w:ascii="方正仿宋_GBK" w:hAnsi="宋体" w:eastAsia="方正仿宋_GBK"/>
          <w:color w:val="auto"/>
          <w:sz w:val="24"/>
          <w:szCs w:val="24"/>
          <w:lang w:val="en-US" w:eastAsia="zh-CN"/>
        </w:rPr>
        <w:t>有权</w:t>
      </w:r>
      <w:r>
        <w:rPr>
          <w:rFonts w:hint="eastAsia" w:ascii="方正仿宋_GBK" w:hAnsi="宋体" w:eastAsia="方正仿宋_GBK"/>
          <w:color w:val="auto"/>
          <w:sz w:val="24"/>
          <w:szCs w:val="24"/>
        </w:rPr>
        <w:t>向同级财政部门报告，财政部门将根据相关法律法规的规定进行处理。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9" w:name="_Toc6813"/>
      <w:bookmarkStart w:id="110" w:name="_Toc29821"/>
      <w:bookmarkStart w:id="111" w:name="_Toc1092"/>
      <w:bookmarkStart w:id="112" w:name="_Toc65660359"/>
      <w:r>
        <w:rPr>
          <w:rFonts w:hint="eastAsia" w:ascii="方正仿宋_GBK" w:hAnsi="宋体" w:eastAsia="方正仿宋_GBK"/>
          <w:sz w:val="24"/>
        </w:rPr>
        <w:t>五、成交通知</w:t>
      </w:r>
      <w:bookmarkEnd w:id="109"/>
      <w:bookmarkEnd w:id="110"/>
      <w:bookmarkEnd w:id="111"/>
      <w:bookmarkEnd w:id="112"/>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将在</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zbb.chcmu.com</w:t>
      </w:r>
      <w:r>
        <w:rPr>
          <w:rFonts w:hint="eastAsia" w:ascii="方正仿宋_GBK" w:hAnsi="宋体" w:eastAsia="方正仿宋_GBK"/>
          <w:sz w:val="24"/>
          <w:szCs w:val="24"/>
        </w:rPr>
        <w:t>）上发布成交结果公告。</w:t>
      </w:r>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（二）结果公告发出同时，将</w:t>
      </w:r>
      <w:r>
        <w:rPr>
          <w:rFonts w:hint="eastAsia" w:ascii="方正仿宋_GBK" w:hAnsi="宋体" w:eastAsia="方正仿宋_GBK"/>
          <w:sz w:val="24"/>
          <w:szCs w:val="24"/>
          <w:lang w:val="en-US" w:eastAsia="zh-CN"/>
        </w:rPr>
        <w:t>在平台内</w:t>
      </w:r>
      <w:r>
        <w:rPr>
          <w:rFonts w:hint="eastAsia" w:ascii="方正仿宋_GBK" w:hAnsi="宋体" w:eastAsia="方正仿宋_GBK"/>
          <w:sz w:val="24"/>
          <w:szCs w:val="24"/>
        </w:rPr>
        <w:t>发出《成交通知书》。</w:t>
      </w:r>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（三）《成交通知书》将作为签订合同的依据。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13" w:name="_Toc1010"/>
      <w:bookmarkStart w:id="114" w:name="_Toc30909"/>
      <w:bookmarkStart w:id="115" w:name="_Toc65660360"/>
      <w:bookmarkStart w:id="116" w:name="_Toc17617"/>
      <w:r>
        <w:rPr>
          <w:rFonts w:hint="eastAsia" w:ascii="方正仿宋_GBK" w:hAnsi="宋体" w:eastAsia="方正仿宋_GBK"/>
          <w:sz w:val="24"/>
        </w:rPr>
        <w:t>六、质疑</w:t>
      </w:r>
      <w:bookmarkEnd w:id="113"/>
      <w:bookmarkEnd w:id="114"/>
      <w:bookmarkEnd w:id="115"/>
      <w:r>
        <w:rPr>
          <w:rFonts w:hint="eastAsia" w:ascii="方正仿宋_GBK" w:hAnsi="宋体" w:eastAsia="方正仿宋_GBK"/>
          <w:sz w:val="24"/>
          <w:lang w:val="en-US" w:eastAsia="zh-CN"/>
        </w:rPr>
        <w:t>处理</w:t>
      </w:r>
      <w:bookmarkEnd w:id="116"/>
    </w:p>
    <w:p>
      <w:pPr>
        <w:spacing w:line="400" w:lineRule="exact"/>
        <w:ind w:firstLine="480" w:firstLineChars="200"/>
        <w:rPr>
          <w:rFonts w:ascii="方正仿宋_GBK" w:hAnsi="宋体" w:eastAsia="方正仿宋_GBK"/>
          <w:sz w:val="24"/>
          <w:szCs w:val="24"/>
        </w:rPr>
      </w:pPr>
      <w:bookmarkStart w:id="117" w:name="_Toc65660361"/>
      <w:bookmarkStart w:id="118" w:name="_Toc16648"/>
      <w:bookmarkStart w:id="119" w:name="_Toc3127"/>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谈判</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color w:val="FF0000"/>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的书面质疑后七个工作日内作出答复，并以书面形式通知质疑</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和其他有关</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0" w:name="_Toc24220"/>
      <w:r>
        <w:rPr>
          <w:rFonts w:hint="eastAsia" w:ascii="方正仿宋_GBK" w:hAnsi="宋体" w:eastAsia="方正仿宋_GBK"/>
          <w:sz w:val="24"/>
        </w:rPr>
        <w:t>七、签订合同</w:t>
      </w:r>
      <w:bookmarkEnd w:id="117"/>
      <w:bookmarkEnd w:id="118"/>
      <w:bookmarkEnd w:id="119"/>
      <w:bookmarkEnd w:id="120"/>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一</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中标人应于收到中标通知书之日起5个工作日内，按照中标项目的招标文件与投标文件递交采购合同；</w:t>
      </w:r>
    </w:p>
    <w:p>
      <w:pPr>
        <w:spacing w:line="400" w:lineRule="exact"/>
        <w:ind w:firstLine="360" w:firstLineChars="1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val="en-US" w:eastAsia="zh-CN"/>
        </w:rPr>
        <w:t xml:space="preserve">  （二）</w:t>
      </w:r>
      <w:r>
        <w:rPr>
          <w:rFonts w:hint="eastAsia" w:ascii="方正仿宋_GBK" w:hAnsi="方正仿宋_GBK" w:eastAsia="方正仿宋_GBK" w:cs="Times New Roman"/>
          <w:sz w:val="24"/>
        </w:rPr>
        <w:t>中标人未在规定时间内递交合同或放弃中标资格，则招标人将有充分的理由废除授标，将中标人纳入</w:t>
      </w:r>
      <w:r>
        <w:rPr>
          <w:rFonts w:hint="eastAsia" w:ascii="方正仿宋_GBK" w:hAnsi="方正仿宋_GBK" w:eastAsia="方正仿宋_GBK" w:cs="Times New Roman"/>
          <w:sz w:val="24"/>
          <w:lang w:val="en-US" w:eastAsia="zh-CN"/>
        </w:rPr>
        <w:t>招标人</w:t>
      </w:r>
      <w:r>
        <w:rPr>
          <w:rFonts w:hint="eastAsia" w:ascii="方正仿宋_GBK" w:hAnsi="方正仿宋_GBK" w:eastAsia="方正仿宋_GBK" w:cs="Times New Roman"/>
          <w:sz w:val="24"/>
        </w:rPr>
        <w:t>失信</w:t>
      </w:r>
      <w:r>
        <w:rPr>
          <w:rFonts w:hint="eastAsia" w:ascii="方正仿宋_GBK" w:hAnsi="方正仿宋_GBK" w:eastAsia="方正仿宋_GBK" w:cs="Times New Roman"/>
          <w:sz w:val="24"/>
          <w:lang w:eastAsia="zh-CN"/>
        </w:rPr>
        <w:t>投标人</w:t>
      </w:r>
      <w:r>
        <w:rPr>
          <w:rFonts w:hint="eastAsia" w:ascii="方正仿宋_GBK" w:hAnsi="方正仿宋_GBK" w:eastAsia="方正仿宋_GBK" w:cs="Times New Roman"/>
          <w:sz w:val="24"/>
        </w:rPr>
        <w:t>名单并扣除该项目的投标保证金，两年之内不得参与</w:t>
      </w:r>
      <w:r>
        <w:rPr>
          <w:rFonts w:hint="eastAsia" w:ascii="方正仿宋_GBK" w:hAnsi="方正仿宋_GBK" w:eastAsia="方正仿宋_GBK" w:cs="Times New Roman"/>
          <w:sz w:val="24"/>
          <w:lang w:val="en-US" w:eastAsia="zh-CN"/>
        </w:rPr>
        <w:t>招标人</w:t>
      </w:r>
      <w:r>
        <w:rPr>
          <w:rFonts w:hint="eastAsia" w:ascii="方正仿宋_GBK" w:hAnsi="方正仿宋_GBK" w:eastAsia="方正仿宋_GBK" w:cs="Times New Roman"/>
          <w:sz w:val="24"/>
        </w:rPr>
        <w:t>任何级别的招标项目；</w:t>
      </w:r>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三</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如招标人因中标人未按时递交合同或放弃中标资格而造成损失，中标人应予以赔偿，同时依法承担相应法律责任；</w:t>
      </w:r>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四</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中标人应当按照合同约定履行义务，完成中标项目，不得将中标项目转让(转包)</w:t>
      </w:r>
      <w:r>
        <w:rPr>
          <w:rFonts w:hint="eastAsia" w:ascii="方正仿宋_GBK" w:hAnsi="方正仿宋_GBK" w:eastAsia="方正仿宋_GBK" w:cs="Times New Roman"/>
          <w:sz w:val="24"/>
          <w:lang w:val="en-US" w:eastAsia="zh-CN"/>
        </w:rPr>
        <w:t>或分包</w:t>
      </w:r>
      <w:r>
        <w:rPr>
          <w:rFonts w:hint="eastAsia" w:ascii="方正仿宋_GBK" w:hAnsi="方正仿宋_GBK" w:eastAsia="方正仿宋_GBK" w:cs="Times New Roman"/>
          <w:sz w:val="24"/>
        </w:rPr>
        <w:t>给他人。</w:t>
      </w:r>
    </w:p>
    <w:p>
      <w:pPr>
        <w:spacing w:line="400" w:lineRule="exact"/>
        <w:ind w:firstLine="720" w:firstLineChars="300"/>
        <w:rPr>
          <w:rFonts w:hint="eastAsia" w:ascii="方正仿宋_GBK" w:hAnsi="宋体" w:eastAsia="方正仿宋_GBK"/>
          <w:sz w:val="24"/>
          <w:szCs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五</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交货期限是指自确定中标之日起，乙方按开标现场承诺的时间，在甲方指定地点交付本合同约定的所有货品。</w:t>
      </w:r>
    </w:p>
    <w:p>
      <w:pPr>
        <w:spacing w:line="360" w:lineRule="auto"/>
        <w:ind w:firstLine="480" w:firstLineChars="200"/>
        <w:rPr>
          <w:rFonts w:ascii="宋体" w:hAnsi="宋体"/>
          <w:sz w:val="24"/>
          <w:szCs w:val="24"/>
        </w:rPr>
        <w:sectPr>
          <w:pgSz w:w="11907" w:h="16840"/>
          <w:pgMar w:top="1134" w:right="1191" w:bottom="1134" w:left="1304" w:header="964" w:footer="992" w:gutter="0"/>
          <w:pgNumType w:fmt="decimal"/>
          <w:cols w:space="720" w:num="1"/>
          <w:docGrid w:linePitch="312" w:charSpace="0"/>
        </w:sectPr>
      </w:pPr>
    </w:p>
    <w:bookmarkEnd w:id="66"/>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121" w:name="_Hlt41879464"/>
      <w:bookmarkEnd w:id="121"/>
      <w:bookmarkStart w:id="122" w:name="_Toc9538"/>
      <w:bookmarkStart w:id="123" w:name="_Toc12789072"/>
      <w:bookmarkStart w:id="124" w:name="_Toc6968"/>
      <w:bookmarkStart w:id="125" w:name="_Toc65660378"/>
      <w:bookmarkStart w:id="126" w:name="_Toc561"/>
      <w:r>
        <w:rPr>
          <w:rFonts w:hint="eastAsia" w:ascii="方正仿宋_GBK" w:hAnsi="Times New Roman" w:eastAsia="方正仿宋_GBK" w:cs="Times New Roman"/>
          <w:b/>
          <w:sz w:val="44"/>
          <w:szCs w:val="20"/>
          <w:lang w:val="en-US" w:eastAsia="zh-CN"/>
        </w:rPr>
        <w:t>第六篇  响应文件格式要求</w:t>
      </w:r>
      <w:bookmarkEnd w:id="122"/>
      <w:bookmarkEnd w:id="123"/>
      <w:bookmarkEnd w:id="124"/>
      <w:bookmarkEnd w:id="125"/>
      <w:bookmarkEnd w:id="126"/>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明细报价表</w:t>
      </w:r>
    </w:p>
    <w:p>
      <w:pPr>
        <w:spacing w:line="400" w:lineRule="exact"/>
        <w:ind w:firstLine="480" w:firstLineChars="200"/>
        <w:rPr>
          <w:rFonts w:hint="default" w:ascii="方正仿宋_GBK" w:hAnsi="宋体" w:eastAsia="方正仿宋_GBK"/>
          <w:b w:val="0"/>
          <w:bCs/>
          <w:sz w:val="24"/>
          <w:szCs w:val="24"/>
          <w:lang w:val="en-US" w:eastAsia="zh-CN"/>
        </w:rPr>
      </w:pPr>
      <w:r>
        <w:rPr>
          <w:rFonts w:hint="eastAsia" w:ascii="方正仿宋_GBK" w:hAnsi="宋体" w:eastAsia="方正仿宋_GBK"/>
          <w:b w:val="0"/>
          <w:bCs/>
          <w:sz w:val="24"/>
          <w:szCs w:val="24"/>
          <w:lang w:eastAsia="zh-CN"/>
        </w:rPr>
        <w:t>（</w:t>
      </w:r>
      <w:r>
        <w:rPr>
          <w:rFonts w:hint="eastAsia" w:ascii="方正仿宋_GBK" w:hAnsi="宋体" w:eastAsia="方正仿宋_GBK"/>
          <w:b w:val="0"/>
          <w:bCs/>
          <w:sz w:val="24"/>
          <w:szCs w:val="24"/>
          <w:lang w:val="en-US" w:eastAsia="zh-CN"/>
        </w:rPr>
        <w:t>三</w:t>
      </w:r>
      <w:r>
        <w:rPr>
          <w:rFonts w:hint="eastAsia" w:ascii="方正仿宋_GBK" w:hAnsi="宋体" w:eastAsia="方正仿宋_GBK"/>
          <w:b w:val="0"/>
          <w:bCs/>
          <w:sz w:val="24"/>
          <w:szCs w:val="24"/>
          <w:lang w:eastAsia="zh-CN"/>
        </w:rPr>
        <w:t>）</w:t>
      </w:r>
      <w:r>
        <w:rPr>
          <w:rFonts w:hint="eastAsia" w:ascii="方正仿宋_GBK" w:hAnsi="宋体" w:eastAsia="方正仿宋_GBK"/>
          <w:b w:val="0"/>
          <w:bCs/>
          <w:sz w:val="24"/>
          <w:szCs w:val="24"/>
          <w:lang w:val="en-US" w:eastAsia="zh-CN"/>
        </w:rPr>
        <w:t>开标现场最终报价表</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二、技术（质量）部分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（一）技术（质量）响应偏离表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三、</w:t>
      </w:r>
      <w:r>
        <w:rPr>
          <w:rFonts w:hint="eastAsia" w:ascii="方正仿宋_GBK" w:hAnsi="宋体" w:eastAsia="方正仿宋_GBK"/>
          <w:b/>
          <w:sz w:val="24"/>
          <w:szCs w:val="24"/>
          <w:lang w:val="en-US" w:eastAsia="zh-CN"/>
        </w:rPr>
        <w:t>商务</w:t>
      </w:r>
      <w:r>
        <w:rPr>
          <w:rFonts w:hint="eastAsia" w:ascii="方正仿宋_GBK" w:hAnsi="宋体" w:eastAsia="方正仿宋_GBK"/>
          <w:b/>
          <w:sz w:val="24"/>
          <w:szCs w:val="24"/>
        </w:rPr>
        <w:t>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（二）其它优惠承诺（格式自定）</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基本资格条件承诺函（格式）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五、其他资料</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sz w:val="24"/>
          <w:szCs w:val="24"/>
        </w:rPr>
        <w:t>（一）中小企业声明函</w:t>
      </w:r>
    </w:p>
    <w:p>
      <w:pPr>
        <w:pStyle w:val="33"/>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价格依据（</w:t>
      </w:r>
      <w:r>
        <w:rPr>
          <w:rFonts w:hint="eastAsia" w:ascii="方正仿宋_GBK" w:hAnsi="宋体" w:eastAsia="方正仿宋_GBK"/>
          <w:color w:val="FF0000"/>
          <w:sz w:val="24"/>
          <w:szCs w:val="24"/>
          <w:lang w:val="en-US" w:eastAsia="zh-CN"/>
        </w:rPr>
        <w:t>医疗设备类适用：</w:t>
      </w:r>
      <w:r>
        <w:rPr>
          <w:rFonts w:hint="eastAsia" w:ascii="方正仿宋_GBK" w:hAnsi="宋体" w:eastAsia="方正仿宋_GBK"/>
          <w:color w:val="FF0000"/>
          <w:sz w:val="24"/>
          <w:szCs w:val="24"/>
        </w:rPr>
        <w:t>同类项目合同复印件</w:t>
      </w:r>
      <w:r>
        <w:rPr>
          <w:rFonts w:hint="eastAsia" w:ascii="方正仿宋_GBK" w:hAnsi="宋体" w:eastAsia="方正仿宋_GBK"/>
          <w:color w:val="FF0000"/>
          <w:sz w:val="24"/>
          <w:szCs w:val="24"/>
          <w:lang w:val="en-US" w:eastAsia="zh-CN"/>
        </w:rPr>
        <w:t>不少于3份，如无合同需出具其他价格依据</w:t>
      </w:r>
      <w:r>
        <w:rPr>
          <w:rFonts w:hint="eastAsia" w:ascii="方正仿宋_GBK" w:hAnsi="宋体" w:eastAsia="方正仿宋_GBK"/>
          <w:sz w:val="24"/>
          <w:szCs w:val="24"/>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（三）其他与项目有关的资料（自附）</w:t>
      </w:r>
    </w:p>
    <w:p>
      <w:pPr>
        <w:snapToGrid w:val="0"/>
        <w:spacing w:line="360" w:lineRule="auto"/>
        <w:rPr>
          <w:rFonts w:ascii="宋体" w:hAnsi="宋体"/>
          <w:sz w:val="24"/>
          <w:szCs w:val="24"/>
          <w:bdr w:val="single" w:color="auto" w:sz="4" w:space="0"/>
        </w:rPr>
        <w:sectPr>
          <w:footerReference r:id="rId8" w:type="default"/>
          <w:pgSz w:w="11907" w:h="16840"/>
          <w:pgMar w:top="1134" w:right="1191" w:bottom="1134" w:left="1304" w:header="851" w:footer="992" w:gutter="0"/>
          <w:pgNumType w:fmt="decimal"/>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27" w:name="_Toc313888360"/>
      <w:bookmarkStart w:id="128" w:name="_Toc14244"/>
      <w:bookmarkStart w:id="129" w:name="_Toc313008356"/>
      <w:bookmarkStart w:id="130" w:name="_Toc26343"/>
      <w:bookmarkStart w:id="131" w:name="_Toc342913419"/>
      <w:bookmarkStart w:id="132" w:name="_Toc65660379"/>
      <w:bookmarkStart w:id="133" w:name="_Toc12789073"/>
      <w:bookmarkStart w:id="134"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竞争性谈判</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0" w:type="first"/>
          <w:footerReference r:id="rId13" w:type="first"/>
          <w:headerReference r:id="rId9" w:type="default"/>
          <w:footerReference r:id="rId11" w:type="default"/>
          <w:footerReference r:id="rId12"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5" w:name="_Toc22019"/>
      <w:r>
        <w:rPr>
          <w:rFonts w:hint="eastAsia" w:ascii="方正仿宋_GBK" w:hAnsi="宋体" w:eastAsia="方正仿宋_GBK"/>
          <w:sz w:val="24"/>
        </w:rPr>
        <w:t>一、经济部分</w:t>
      </w:r>
      <w:bookmarkEnd w:id="127"/>
      <w:bookmarkEnd w:id="128"/>
      <w:bookmarkEnd w:id="129"/>
      <w:bookmarkEnd w:id="130"/>
      <w:bookmarkEnd w:id="131"/>
      <w:bookmarkEnd w:id="132"/>
      <w:bookmarkEnd w:id="135"/>
    </w:p>
    <w:bookmarkEnd w:id="133"/>
    <w:bookmarkEnd w:id="134"/>
    <w:p>
      <w:pPr>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tabs>
          <w:tab w:val="left" w:pos="6300"/>
        </w:tabs>
        <w:snapToGrid w:val="0"/>
        <w:spacing w:line="312" w:lineRule="auto"/>
        <w:ind w:firstLine="560" w:firstLineChars="200"/>
        <w:jc w:val="center"/>
        <w:rPr>
          <w:rFonts w:hint="eastAsia" w:ascii="方正仿宋_GBK" w:hAnsi="宋体" w:eastAsia="方正仿宋_GBK"/>
          <w:b/>
          <w:szCs w:val="28"/>
          <w:lang w:eastAsia="zh-CN"/>
        </w:rPr>
      </w:pPr>
      <w:r>
        <w:rPr>
          <w:rFonts w:hint="eastAsia" w:ascii="方正仿宋_GBK" w:hAnsi="宋体" w:eastAsia="方正仿宋_GBK"/>
          <w:b/>
          <w:szCs w:val="28"/>
          <w:lang w:val="en-US" w:eastAsia="zh-CN"/>
        </w:rPr>
        <w:t>开标一览表</w:t>
      </w: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谈判</w:t>
      </w:r>
      <w:r>
        <w:rPr>
          <w:rFonts w:hint="eastAsia" w:ascii="方正仿宋_GBK" w:hAnsi="宋体" w:eastAsia="方正仿宋_GBK" w:cs="Times New Roman"/>
          <w:color w:val="auto"/>
          <w:sz w:val="24"/>
          <w:szCs w:val="24"/>
        </w:rPr>
        <w:t>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8"/>
        <w:gridCol w:w="7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2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420"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2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项目名称</w:t>
            </w:r>
          </w:p>
        </w:tc>
        <w:tc>
          <w:tcPr>
            <w:tcW w:w="7420"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2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（小写）</w:t>
            </w:r>
          </w:p>
        </w:tc>
        <w:tc>
          <w:tcPr>
            <w:tcW w:w="7420"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2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w:t>
            </w:r>
            <w:r>
              <w:rPr>
                <w:rFonts w:hint="eastAsia" w:ascii="方正仿宋_GBK" w:hAnsi="宋体" w:eastAsia="方正仿宋_GBK" w:cs="Times New Roman"/>
                <w:color w:val="auto"/>
                <w:sz w:val="24"/>
                <w:szCs w:val="24"/>
              </w:rPr>
              <w:t>价</w:t>
            </w:r>
          </w:p>
          <w:p>
            <w:pPr>
              <w:keepNext w:val="0"/>
              <w:keepLines w:val="0"/>
              <w:suppressLineNumbers w:val="0"/>
              <w:tabs>
                <w:tab w:val="left" w:pos="6300"/>
              </w:tabs>
              <w:snapToGrid w:val="0"/>
              <w:spacing w:before="0" w:beforeAutospacing="0" w:after="0" w:afterAutospacing="0" w:line="240" w:lineRule="auto"/>
              <w:ind w:left="0" w:right="0" w:firstLine="480" w:firstLineChars="200"/>
              <w:jc w:val="both"/>
              <w:rPr>
                <w:rFonts w:hint="eastAsia" w:ascii="方正仿宋_GBK" w:hAnsi="宋体" w:eastAsia="方正仿宋_GBK" w:cs="Times New Roman"/>
                <w:color w:val="auto"/>
                <w:sz w:val="24"/>
                <w:szCs w:val="24"/>
              </w:rPr>
            </w:pP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color w:val="auto"/>
                <w:sz w:val="24"/>
                <w:szCs w:val="24"/>
              </w:rPr>
              <w:t>大写）</w:t>
            </w:r>
          </w:p>
        </w:tc>
        <w:tc>
          <w:tcPr>
            <w:tcW w:w="7420"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2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施工期限</w:t>
            </w:r>
            <w:r>
              <w:rPr>
                <w:rFonts w:hint="eastAsia" w:ascii="方正仿宋_GBK" w:hAnsi="宋体" w:eastAsia="方正仿宋_GBK" w:cs="Times New Roman"/>
                <w:color w:val="auto"/>
                <w:sz w:val="24"/>
                <w:szCs w:val="24"/>
              </w:rPr>
              <w:t>（日历日）</w:t>
            </w:r>
          </w:p>
        </w:tc>
        <w:tc>
          <w:tcPr>
            <w:tcW w:w="7420"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2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服务响应</w:t>
            </w:r>
            <w:r>
              <w:rPr>
                <w:rFonts w:hint="eastAsia" w:ascii="方正仿宋_GBK" w:hAnsi="宋体" w:eastAsia="方正仿宋_GBK" w:cs="Times New Roman"/>
                <w:color w:val="auto"/>
                <w:sz w:val="24"/>
                <w:szCs w:val="24"/>
                <w:lang w:val="en-US" w:eastAsia="zh-CN"/>
              </w:rPr>
              <w:t>/到场</w:t>
            </w:r>
            <w:r>
              <w:rPr>
                <w:rFonts w:hint="eastAsia" w:ascii="方正仿宋_GBK" w:hAnsi="宋体" w:eastAsia="方正仿宋_GBK" w:cs="Times New Roman"/>
                <w:color w:val="auto"/>
                <w:sz w:val="24"/>
                <w:szCs w:val="24"/>
              </w:rPr>
              <w:t>时间</w:t>
            </w:r>
          </w:p>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（小时）</w:t>
            </w:r>
          </w:p>
        </w:tc>
        <w:tc>
          <w:tcPr>
            <w:tcW w:w="7420"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2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是否接受</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付款方式</w:t>
            </w:r>
          </w:p>
        </w:tc>
        <w:tc>
          <w:tcPr>
            <w:tcW w:w="7420"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spacing w:line="400" w:lineRule="exact"/>
        <w:ind w:firstLine="480" w:firstLineChars="200"/>
        <w:rPr>
          <w:rFonts w:hint="eastAsia" w:ascii="方正仿宋_GBK" w:hAnsi="宋体" w:eastAsia="方正仿宋_GBK"/>
          <w:sz w:val="24"/>
          <w:szCs w:val="24"/>
        </w:rPr>
      </w:pPr>
    </w:p>
    <w:p>
      <w:pPr>
        <w:pStyle w:val="2"/>
        <w:rPr>
          <w:rFonts w:hint="eastAsia" w:ascii="方正仿宋_GBK" w:hAnsi="宋体" w:eastAsia="方正仿宋_GBK"/>
          <w:sz w:val="24"/>
          <w:szCs w:val="24"/>
        </w:rPr>
      </w:pPr>
    </w:p>
    <w:p>
      <w:pPr>
        <w:rPr>
          <w:rFonts w:hint="eastAsia" w:ascii="方正仿宋_GBK" w:hAnsi="宋体" w:eastAsia="方正仿宋_GBK"/>
          <w:sz w:val="24"/>
          <w:szCs w:val="24"/>
        </w:rPr>
      </w:pPr>
    </w:p>
    <w:p>
      <w:pPr>
        <w:pStyle w:val="2"/>
        <w:rPr>
          <w:rFonts w:hint="eastAsia" w:ascii="方正仿宋_GBK" w:hAnsi="宋体" w:eastAsia="方正仿宋_GBK"/>
          <w:sz w:val="24"/>
          <w:szCs w:val="24"/>
        </w:rPr>
      </w:pPr>
    </w:p>
    <w:p>
      <w:pPr>
        <w:rPr>
          <w:rFonts w:hint="eastAsia"/>
        </w:rPr>
      </w:pPr>
    </w:p>
    <w:p>
      <w:pPr>
        <w:rPr>
          <w:rFonts w:hint="eastAsia"/>
        </w:rPr>
      </w:pP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jc w:val="center"/>
        <w:rPr>
          <w:rFonts w:hint="eastAsia" w:ascii="方正仿宋_GBK" w:hAnsi="宋体" w:eastAsia="方正仿宋_GBK"/>
          <w:b/>
          <w:bCs/>
          <w:sz w:val="24"/>
          <w:szCs w:val="24"/>
          <w:lang w:val="en-US" w:eastAsia="zh-CN"/>
        </w:rPr>
      </w:pPr>
      <w:r>
        <w:rPr>
          <w:rFonts w:hint="eastAsia" w:ascii="方正仿宋_GBK" w:hAnsi="宋体" w:eastAsia="方正仿宋_GBK"/>
          <w:b/>
          <w:bCs/>
          <w:sz w:val="24"/>
          <w:szCs w:val="24"/>
          <w:lang w:val="en-US" w:eastAsia="zh-CN"/>
        </w:rPr>
        <w:t>分项明细报价表</w:t>
      </w:r>
    </w:p>
    <w:p>
      <w:pPr>
        <w:spacing w:line="400" w:lineRule="exact"/>
        <w:rPr>
          <w:rFonts w:hint="eastAsia"/>
        </w:rPr>
      </w:pPr>
      <w:r>
        <w:rPr>
          <w:rFonts w:hint="eastAsia" w:ascii="方正仿宋_GBK" w:hAnsi="宋体" w:eastAsia="方正仿宋_GBK"/>
          <w:sz w:val="24"/>
          <w:szCs w:val="24"/>
        </w:rPr>
        <w:t>谈判项目名称：</w:t>
      </w:r>
    </w:p>
    <w:tbl>
      <w:tblPr>
        <w:tblStyle w:val="57"/>
        <w:tblW w:w="5409" w:type="pct"/>
        <w:tblInd w:w="-1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
        <w:gridCol w:w="721"/>
        <w:gridCol w:w="2712"/>
        <w:gridCol w:w="950"/>
        <w:gridCol w:w="644"/>
        <w:gridCol w:w="750"/>
        <w:gridCol w:w="1150"/>
        <w:gridCol w:w="34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pct"/>
          <w:trHeight w:val="425" w:hRule="atLeast"/>
        </w:trPr>
        <w:tc>
          <w:tcPr>
            <w:tcW w:w="4999" w:type="pct"/>
            <w:gridSpan w:val="7"/>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渝中院区景观池喷水修复工程量清单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pct"/>
          <w:trHeight w:val="425" w:hRule="atLeast"/>
        </w:trPr>
        <w:tc>
          <w:tcPr>
            <w:tcW w:w="346"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序号</w:t>
            </w:r>
          </w:p>
        </w:tc>
        <w:tc>
          <w:tcPr>
            <w:tcW w:w="1301" w:type="pct"/>
            <w:noWrap w:val="0"/>
            <w:vAlign w:val="center"/>
          </w:tcPr>
          <w:p>
            <w:pPr>
              <w:spacing w:line="240" w:lineRule="auto"/>
              <w:jc w:val="center"/>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项目名称</w:t>
            </w:r>
          </w:p>
        </w:tc>
        <w:tc>
          <w:tcPr>
            <w:tcW w:w="455"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单位</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数量</w:t>
            </w:r>
          </w:p>
        </w:tc>
        <w:tc>
          <w:tcPr>
            <w:tcW w:w="35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单价</w:t>
            </w:r>
          </w:p>
        </w:tc>
        <w:tc>
          <w:tcPr>
            <w:tcW w:w="551" w:type="pct"/>
            <w:noWrap w:val="0"/>
            <w:vAlign w:val="center"/>
          </w:tcPr>
          <w:p>
            <w:pPr>
              <w:spacing w:line="240" w:lineRule="auto"/>
              <w:jc w:val="center"/>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合计</w:t>
            </w:r>
          </w:p>
        </w:tc>
        <w:tc>
          <w:tcPr>
            <w:tcW w:w="1674" w:type="pct"/>
            <w:noWrap w:val="0"/>
            <w:vAlign w:val="center"/>
          </w:tcPr>
          <w:p>
            <w:pPr>
              <w:spacing w:line="240" w:lineRule="auto"/>
              <w:jc w:val="center"/>
              <w:rPr>
                <w:rFonts w:hint="eastAsia" w:ascii="方正仿宋_GBK" w:hAnsi="宋体" w:eastAsia="方正仿宋_GBK" w:cs="Times New Roman"/>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auto"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1301" w:type="pct"/>
            <w:tcBorders>
              <w:top w:val="single" w:color="auto"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旧水泵拆除</w:t>
            </w:r>
          </w:p>
        </w:tc>
        <w:tc>
          <w:tcPr>
            <w:tcW w:w="455" w:type="pct"/>
            <w:tcBorders>
              <w:top w:val="single" w:color="auto"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台</w:t>
            </w:r>
          </w:p>
        </w:tc>
        <w:tc>
          <w:tcPr>
            <w:tcW w:w="309" w:type="pct"/>
            <w:tcBorders>
              <w:top w:val="single" w:color="auto"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auto"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auto"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auto"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安装水泵电源线路</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20</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3</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电缆JHS 3*2.5</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20</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3</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Φ120管道改造</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4</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Φ120不锈钢三通</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个</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5</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Φ120不锈钢法兰盘</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个</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7</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基础池改造</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8</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32A3P空开</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个</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9</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32A接触器</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个</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10</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喷泉泵QSP65-7-2.2KW</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个</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11</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喷泉泵安装</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个</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小计</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00" w:type="pct"/>
            <w:gridSpan w:val="8"/>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光彩大厦附4楼污水井改造工程量清单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序号</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项目名称</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单位</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数量</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单价</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合计（元）</w:t>
            </w: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304不锈钢蓄水池</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立方</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8</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蓄水池地基、基座</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平方米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8</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3</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水泵控制柜</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套</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4</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无堵塞切割式潜污泵污、耦合器</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台</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5</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Ø100水泵管道</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10</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6</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小计</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00" w:type="pct"/>
            <w:gridSpan w:val="8"/>
            <w:noWrap w:val="0"/>
            <w:vAlign w:val="center"/>
          </w:tcPr>
          <w:p>
            <w:pPr>
              <w:spacing w:line="240" w:lineRule="auto"/>
              <w:jc w:val="center"/>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两江院区门诊楼LG层潜污泵系统损坏维修工程量清单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序号</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项目名称</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单位</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数量</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单价</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小计（元）</w:t>
            </w: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集水坑抽水、清理</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带切刀潜污泵采购安装</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套</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3</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一用一备潜污泵控制箱</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套</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4</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潜污泵耦合导轨</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套</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5</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小计</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00" w:type="pct"/>
            <w:gridSpan w:val="8"/>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渝中院区4号楼化粪池渗漏处理及潜污泵安装工程量清单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序号</w:t>
            </w:r>
          </w:p>
        </w:tc>
        <w:tc>
          <w:tcPr>
            <w:tcW w:w="1301" w:type="pct"/>
            <w:tcBorders>
              <w:top w:val="single" w:color="000000" w:sz="4" w:space="0"/>
              <w:left w:val="single" w:color="000000" w:sz="4" w:space="0"/>
              <w:bottom w:val="single" w:color="000000" w:sz="4" w:space="0"/>
              <w:right w:val="single" w:color="000000" w:sz="4" w:space="0"/>
            </w:tcBorders>
            <w:noWrap/>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项目名称</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单位</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数量</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单价</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小计（元）</w:t>
            </w: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1301" w:type="pct"/>
            <w:tcBorders>
              <w:top w:val="single" w:color="000000" w:sz="4" w:space="0"/>
              <w:left w:val="single" w:color="000000" w:sz="4" w:space="0"/>
              <w:bottom w:val="single" w:color="000000" w:sz="4" w:space="0"/>
              <w:right w:val="single" w:color="000000" w:sz="4" w:space="0"/>
            </w:tcBorders>
            <w:noWrap/>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施工围挡</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平方米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60</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化粪池抽水</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小时</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240</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3</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化粪池清理</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4</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进入该化粪池的污水井及污水管道清理</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5</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排查、处理化粪池泄漏点</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6</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开挖土方及回填</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立方米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17</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7</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拆除原有污水井砌体，切割化粪池顶板</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8</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砌筑污水井</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座</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9</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池底现浇混凝土水泵基础</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10</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带切刀潜污泵采购安装</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套</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11</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一用一备潜污泵控制箱</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套</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12</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潜污泵耦合导轨</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套</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13</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DN100无缝镀锌管安装</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95</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14</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DN100静音止回阀</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个</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15</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铸铁沟槽管件</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批</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16</w:t>
            </w:r>
          </w:p>
        </w:tc>
        <w:tc>
          <w:tcPr>
            <w:tcW w:w="1301" w:type="pct"/>
            <w:tcBorders>
              <w:top w:val="single" w:color="000000" w:sz="4" w:space="0"/>
              <w:left w:val="single" w:color="000000" w:sz="4" w:space="0"/>
              <w:bottom w:val="single" w:color="000000" w:sz="4" w:space="0"/>
              <w:right w:val="nil"/>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热镀锌50角钢管道支架</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个</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70</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17</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潜污泵控制系统主电缆</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40</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18</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建渣出渣及外运</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车</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19</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小计</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00" w:type="pct"/>
            <w:gridSpan w:val="8"/>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科教楼负3楼集水坑水泵更换工程量清单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序号</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项目名称</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单位</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数量</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单价</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合计（元）</w:t>
            </w: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3</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水泵控制柜</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套</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3</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无堵塞切割式潜污泵污、耦合器</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台</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3</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4</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Ø100水泵管道</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10</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auto"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301" w:type="pct"/>
            <w:tcBorders>
              <w:top w:val="single" w:color="000000" w:sz="4" w:space="0"/>
              <w:left w:val="single" w:color="000000" w:sz="4" w:space="0"/>
              <w:bottom w:val="single" w:color="auto"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小计</w:t>
            </w:r>
          </w:p>
        </w:tc>
        <w:tc>
          <w:tcPr>
            <w:tcW w:w="455" w:type="pct"/>
            <w:tcBorders>
              <w:top w:val="single" w:color="000000" w:sz="4" w:space="0"/>
              <w:left w:val="single" w:color="000000" w:sz="4" w:space="0"/>
              <w:bottom w:val="single" w:color="auto"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09" w:type="pct"/>
            <w:tcBorders>
              <w:top w:val="single" w:color="000000" w:sz="4" w:space="0"/>
              <w:left w:val="single" w:color="000000" w:sz="4" w:space="0"/>
              <w:bottom w:val="single" w:color="auto"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59" w:type="pct"/>
            <w:tcBorders>
              <w:top w:val="single" w:color="000000" w:sz="4" w:space="0"/>
              <w:left w:val="single" w:color="000000" w:sz="4" w:space="0"/>
              <w:bottom w:val="single" w:color="auto"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auto"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auto"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2412" w:type="pct"/>
            <w:gridSpan w:val="4"/>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总计费用</w:t>
            </w:r>
          </w:p>
        </w:tc>
        <w:tc>
          <w:tcPr>
            <w:tcW w:w="2586" w:type="pct"/>
            <w:gridSpan w:val="3"/>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方正仿宋_GBK" w:hAnsi="宋体" w:eastAsia="方正仿宋_GBK"/>
                <w:sz w:val="21"/>
                <w:szCs w:val="21"/>
              </w:rPr>
            </w:pPr>
          </w:p>
        </w:tc>
      </w:tr>
    </w:tbl>
    <w:p>
      <w:pPr>
        <w:spacing w:line="360" w:lineRule="auto"/>
        <w:rPr>
          <w:rFonts w:hint="eastAsia" w:ascii="方正仿宋_GBK" w:hAnsi="宋体" w:eastAsia="方正仿宋_GBK"/>
          <w:sz w:val="24"/>
          <w:szCs w:val="24"/>
        </w:rPr>
      </w:pPr>
      <w:r>
        <w:rPr>
          <w:rFonts w:hint="eastAsia" w:ascii="方正仿宋_GBK" w:hAnsi="宋体" w:eastAsia="方正仿宋_GBK"/>
          <w:sz w:val="24"/>
          <w:szCs w:val="28"/>
        </w:rPr>
        <w:t xml:space="preserve">     </w:t>
      </w: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firstLine="5280" w:firstLineChars="2200"/>
        <w:rPr>
          <w:rFonts w:hint="eastAsia" w:ascii="方正仿宋_GBK" w:hAnsi="宋体" w:eastAsia="方正仿宋_GBK"/>
          <w:sz w:val="24"/>
          <w:szCs w:val="24"/>
          <w:bdr w:val="single" w:color="auto" w:sz="4" w:space="0"/>
          <w:lang w:val="en-US" w:eastAsia="zh-CN"/>
        </w:rPr>
        <w:sectPr>
          <w:pgSz w:w="11907" w:h="16840"/>
          <w:pgMar w:top="1134" w:right="1191" w:bottom="1134" w:left="1304" w:header="851" w:footer="992" w:gutter="0"/>
          <w:pgNumType w:fmt="decimal"/>
          <w:cols w:space="720" w:num="1"/>
          <w:docGrid w:linePitch="380" w:charSpace="-5735"/>
        </w:sectPr>
      </w:pPr>
      <w:r>
        <w:rPr>
          <w:rFonts w:hint="eastAsia" w:ascii="方正仿宋_GBK" w:hAnsi="宋体" w:eastAsia="方正仿宋_GBK"/>
          <w:sz w:val="24"/>
          <w:szCs w:val="24"/>
        </w:rPr>
        <w:t>年     月    日</w:t>
      </w:r>
      <w:r>
        <w:rPr>
          <w:rFonts w:hint="eastAsia" w:ascii="方正仿宋_GBK" w:hAnsi="宋体" w:eastAsia="方正仿宋_GBK"/>
          <w:sz w:val="24"/>
          <w:szCs w:val="24"/>
          <w:lang w:val="en-US" w:eastAsia="zh-CN"/>
        </w:rPr>
        <w:t xml:space="preserve"> </w:t>
      </w:r>
    </w:p>
    <w:p>
      <w:pPr>
        <w:pStyle w:val="37"/>
        <w:spacing w:line="360" w:lineRule="auto"/>
        <w:jc w:val="both"/>
        <w:rPr>
          <w:rFonts w:hint="default" w:ascii="方正仿宋_GBK" w:hAnsi="宋体" w:eastAsia="方正仿宋_GBK"/>
          <w:b w:val="0"/>
          <w:bCs/>
          <w:sz w:val="24"/>
          <w:lang w:val="en-US" w:eastAsia="zh-CN"/>
        </w:rPr>
      </w:pPr>
      <w:bookmarkStart w:id="136" w:name="_Toc12313"/>
      <w:bookmarkStart w:id="137" w:name="_Toc22655"/>
      <w:bookmarkStart w:id="138" w:name="_Toc342913420"/>
      <w:bookmarkStart w:id="139" w:name="_Toc65660380"/>
      <w:bookmarkStart w:id="140" w:name="_Toc14073"/>
      <w:bookmarkStart w:id="141" w:name="_Toc313888361"/>
      <w:bookmarkStart w:id="142" w:name="_Toc313008357"/>
      <w:r>
        <w:rPr>
          <w:rFonts w:hint="eastAsia" w:ascii="方正仿宋_GBK" w:hAnsi="宋体" w:eastAsia="方正仿宋_GBK"/>
          <w:b w:val="0"/>
          <w:bCs/>
          <w:sz w:val="24"/>
          <w:lang w:val="en-US" w:eastAsia="zh-CN"/>
        </w:rPr>
        <w:t>（三）开标现场最终报价表</w:t>
      </w:r>
      <w:bookmarkEnd w:id="136"/>
    </w:p>
    <w:p>
      <w:pPr>
        <w:pStyle w:val="4"/>
        <w:adjustRightInd w:val="0"/>
        <w:snapToGrid w:val="0"/>
        <w:spacing w:before="0" w:after="0" w:line="400" w:lineRule="exact"/>
        <w:ind w:firstLine="480" w:firstLineChars="200"/>
        <w:rPr>
          <w:rFonts w:hint="eastAsia" w:ascii="方正仿宋_GBK" w:hAnsi="宋体" w:eastAsia="方正仿宋_GBK"/>
          <w:sz w:val="24"/>
        </w:rPr>
      </w:pPr>
    </w:p>
    <w:p>
      <w:pPr>
        <w:tabs>
          <w:tab w:val="left" w:pos="6300"/>
        </w:tabs>
        <w:snapToGrid w:val="0"/>
        <w:spacing w:line="312" w:lineRule="auto"/>
        <w:ind w:firstLine="560" w:firstLineChars="200"/>
        <w:jc w:val="center"/>
        <w:rPr>
          <w:rFonts w:hint="eastAsia" w:ascii="方正仿宋_GBK" w:hAnsi="宋体" w:eastAsia="方正仿宋_GBK"/>
          <w:b/>
          <w:szCs w:val="28"/>
          <w:lang w:eastAsia="zh-CN"/>
        </w:rPr>
      </w:pPr>
      <w:r>
        <w:rPr>
          <w:rFonts w:hint="eastAsia" w:ascii="方正仿宋_GBK" w:hAnsi="宋体" w:eastAsia="方正仿宋_GBK"/>
          <w:b/>
          <w:szCs w:val="28"/>
          <w:lang w:val="en-US" w:eastAsia="zh-CN"/>
        </w:rPr>
        <w:t>开标现场最终报价表</w:t>
      </w: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谈判</w:t>
      </w:r>
      <w:r>
        <w:rPr>
          <w:rFonts w:hint="eastAsia" w:ascii="方正仿宋_GBK" w:hAnsi="宋体" w:eastAsia="方正仿宋_GBK" w:cs="Times New Roman"/>
          <w:color w:val="auto"/>
          <w:sz w:val="24"/>
          <w:szCs w:val="24"/>
        </w:rPr>
        <w:t>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3"/>
        <w:gridCol w:w="74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19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43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19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项目名称</w:t>
            </w:r>
          </w:p>
        </w:tc>
        <w:tc>
          <w:tcPr>
            <w:tcW w:w="743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19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（小写）</w:t>
            </w:r>
          </w:p>
        </w:tc>
        <w:tc>
          <w:tcPr>
            <w:tcW w:w="743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19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w:t>
            </w:r>
            <w:r>
              <w:rPr>
                <w:rFonts w:hint="eastAsia" w:ascii="方正仿宋_GBK" w:hAnsi="宋体" w:eastAsia="方正仿宋_GBK" w:cs="Times New Roman"/>
                <w:color w:val="auto"/>
                <w:sz w:val="24"/>
                <w:szCs w:val="24"/>
              </w:rPr>
              <w:t>价</w:t>
            </w:r>
          </w:p>
          <w:p>
            <w:pPr>
              <w:keepNext w:val="0"/>
              <w:keepLines w:val="0"/>
              <w:suppressLineNumbers w:val="0"/>
              <w:tabs>
                <w:tab w:val="left" w:pos="6300"/>
              </w:tabs>
              <w:snapToGrid w:val="0"/>
              <w:spacing w:before="0" w:beforeAutospacing="0" w:after="0" w:afterAutospacing="0" w:line="240" w:lineRule="auto"/>
              <w:ind w:left="0" w:right="0" w:firstLine="480" w:firstLineChars="200"/>
              <w:jc w:val="both"/>
              <w:rPr>
                <w:rFonts w:hint="eastAsia" w:ascii="方正仿宋_GBK" w:hAnsi="宋体" w:eastAsia="方正仿宋_GBK" w:cs="Times New Roman"/>
                <w:color w:val="auto"/>
                <w:sz w:val="24"/>
                <w:szCs w:val="24"/>
              </w:rPr>
            </w:pP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color w:val="auto"/>
                <w:sz w:val="24"/>
                <w:szCs w:val="24"/>
              </w:rPr>
              <w:t>大写）</w:t>
            </w:r>
          </w:p>
        </w:tc>
        <w:tc>
          <w:tcPr>
            <w:tcW w:w="743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19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施工期限</w:t>
            </w:r>
            <w:r>
              <w:rPr>
                <w:rFonts w:hint="eastAsia" w:ascii="方正仿宋_GBK" w:hAnsi="宋体" w:eastAsia="方正仿宋_GBK" w:cs="Times New Roman"/>
                <w:color w:val="auto"/>
                <w:sz w:val="24"/>
                <w:szCs w:val="24"/>
              </w:rPr>
              <w:t>（日历日）</w:t>
            </w:r>
          </w:p>
        </w:tc>
        <w:tc>
          <w:tcPr>
            <w:tcW w:w="743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19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服务响应</w:t>
            </w:r>
            <w:r>
              <w:rPr>
                <w:rFonts w:hint="eastAsia" w:ascii="方正仿宋_GBK" w:hAnsi="宋体" w:eastAsia="方正仿宋_GBK" w:cs="Times New Roman"/>
                <w:color w:val="auto"/>
                <w:sz w:val="24"/>
                <w:szCs w:val="24"/>
                <w:lang w:val="en-US" w:eastAsia="zh-CN"/>
              </w:rPr>
              <w:t>/到场</w:t>
            </w:r>
            <w:r>
              <w:rPr>
                <w:rFonts w:hint="eastAsia" w:ascii="方正仿宋_GBK" w:hAnsi="宋体" w:eastAsia="方正仿宋_GBK" w:cs="Times New Roman"/>
                <w:color w:val="auto"/>
                <w:sz w:val="24"/>
                <w:szCs w:val="24"/>
              </w:rPr>
              <w:t>时间</w:t>
            </w:r>
          </w:p>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（小时）</w:t>
            </w:r>
          </w:p>
        </w:tc>
        <w:tc>
          <w:tcPr>
            <w:tcW w:w="743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19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是否接受</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付款方式</w:t>
            </w:r>
          </w:p>
        </w:tc>
        <w:tc>
          <w:tcPr>
            <w:tcW w:w="743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rPr>
          <w:rFonts w:hint="eastAsia" w:ascii="方正仿宋_GBK" w:hAnsi="宋体" w:eastAsia="方正仿宋_GBK"/>
          <w:sz w:val="24"/>
        </w:rPr>
      </w:pPr>
    </w:p>
    <w:p>
      <w:pPr>
        <w:pStyle w:val="66"/>
        <w:rPr>
          <w:rFonts w:hint="eastAsia"/>
        </w:rPr>
      </w:pPr>
    </w:p>
    <w:p>
      <w:pPr>
        <w:pStyle w:val="67"/>
        <w:rPr>
          <w:rFonts w:hint="eastAsia"/>
        </w:rPr>
      </w:pPr>
    </w:p>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color w:val="FF0000"/>
          <w:sz w:val="24"/>
          <w:szCs w:val="24"/>
          <w:lang w:val="en-US" w:eastAsia="zh-CN"/>
        </w:rPr>
        <w:t>注：该表投标报价部分于现场填写并提交，其他部分应与开标前填写并盖章确认。</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3" w:name="_Toc10894"/>
      <w:r>
        <w:rPr>
          <w:rFonts w:hint="eastAsia" w:ascii="方正仿宋_GBK" w:hAnsi="宋体" w:eastAsia="方正仿宋_GBK"/>
          <w:sz w:val="24"/>
        </w:rPr>
        <w:t>二、</w:t>
      </w:r>
      <w:r>
        <w:rPr>
          <w:rFonts w:hint="eastAsia" w:ascii="方正仿宋_GBK" w:hAnsi="宋体" w:eastAsia="方正仿宋_GBK"/>
          <w:sz w:val="24"/>
          <w:lang w:val="en-US" w:eastAsia="zh-CN"/>
        </w:rPr>
        <w:t>技术要求</w:t>
      </w:r>
      <w:r>
        <w:rPr>
          <w:rFonts w:hint="eastAsia" w:ascii="方正仿宋_GBK" w:hAnsi="宋体" w:eastAsia="方正仿宋_GBK"/>
          <w:sz w:val="24"/>
        </w:rPr>
        <w:t>部分</w:t>
      </w:r>
      <w:bookmarkEnd w:id="137"/>
      <w:bookmarkEnd w:id="138"/>
      <w:bookmarkEnd w:id="139"/>
      <w:bookmarkEnd w:id="140"/>
      <w:bookmarkEnd w:id="141"/>
      <w:bookmarkEnd w:id="142"/>
      <w:bookmarkEnd w:id="143"/>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项目服务要求</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2844"/>
        <w:gridCol w:w="2952"/>
        <w:gridCol w:w="2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2844"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采购需求</w:t>
            </w:r>
          </w:p>
        </w:tc>
        <w:tc>
          <w:tcPr>
            <w:tcW w:w="2952"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响应情况</w:t>
            </w:r>
          </w:p>
        </w:tc>
        <w:tc>
          <w:tcPr>
            <w:tcW w:w="2212"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r>
              <w:rPr>
                <w:rFonts w:hint="eastAsia" w:ascii="方正仿宋_GBK" w:hAnsi="仿宋" w:eastAsia="方正仿宋_GBK"/>
                <w:sz w:val="21"/>
                <w:szCs w:val="21"/>
              </w:rPr>
              <w:t>提醒：请注明技术参数或具体内容以及响应文件中技术参数或具体内容的位置（页码）</w:t>
            </w: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r>
        <w:rPr>
          <w:rFonts w:hint="eastAsia" w:ascii="方正仿宋_GBK" w:hAnsi="宋体" w:eastAsia="方正仿宋_GBK"/>
          <w:sz w:val="24"/>
          <w:szCs w:val="28"/>
        </w:rPr>
        <w:t>：</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w:t>
      </w:r>
      <w:r>
        <w:rPr>
          <w:rFonts w:hint="eastAsia" w:ascii="方正仿宋_GBK" w:hAnsi="宋体" w:eastAsia="方正仿宋_GBK"/>
          <w:sz w:val="24"/>
          <w:szCs w:val="24"/>
        </w:rPr>
        <w:t>签署</w:t>
      </w:r>
      <w:r>
        <w:rPr>
          <w:rFonts w:hint="eastAsia" w:ascii="方正仿宋_GBK" w:hAnsi="宋体" w:eastAsia="方正仿宋_GBK"/>
          <w:sz w:val="24"/>
          <w:szCs w:val="28"/>
        </w:rPr>
        <w:t>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 xml:space="preserve">本表即为对本项目“第二篇  </w:t>
      </w:r>
      <w:r>
        <w:rPr>
          <w:rFonts w:hint="eastAsia" w:ascii="方正仿宋_GBK" w:hAnsi="仿宋" w:eastAsia="方正仿宋_GBK"/>
          <w:sz w:val="24"/>
          <w:szCs w:val="24"/>
          <w:lang w:val="en-US" w:eastAsia="zh-CN"/>
        </w:rPr>
        <w:t>项目服务需求</w:t>
      </w:r>
      <w:r>
        <w:rPr>
          <w:rFonts w:hint="eastAsia" w:ascii="方正仿宋_GBK" w:hAnsi="仿宋" w:eastAsia="方正仿宋_GBK"/>
          <w:sz w:val="24"/>
          <w:szCs w:val="24"/>
        </w:rPr>
        <w:t>”中所列条款进行比较和响应；</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2.本表可扩展。</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br w:type="page"/>
      </w:r>
      <w:r>
        <w:rPr>
          <w:rFonts w:hint="eastAsia" w:ascii="方正仿宋_GBK" w:hAnsi="宋体" w:eastAsia="方正仿宋_GBK"/>
          <w:sz w:val="24"/>
          <w:szCs w:val="24"/>
        </w:rPr>
        <w:t>（二）其他资料（格式自定）</w:t>
      </w:r>
    </w:p>
    <w:p>
      <w:pPr>
        <w:tabs>
          <w:tab w:val="left" w:pos="6300"/>
        </w:tabs>
        <w:snapToGrid w:val="0"/>
        <w:spacing w:line="5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44" w:name="_Toc65660381"/>
      <w:bookmarkStart w:id="145" w:name="_Toc32158"/>
      <w:bookmarkStart w:id="146" w:name="_Toc23000"/>
      <w:bookmarkStart w:id="147" w:name="_Toc32339"/>
      <w:bookmarkStart w:id="148" w:name="_Toc313888362"/>
      <w:bookmarkStart w:id="149" w:name="_Toc313008358"/>
      <w:bookmarkStart w:id="150" w:name="_Toc342913421"/>
      <w:r>
        <w:rPr>
          <w:rFonts w:hint="eastAsia" w:ascii="方正仿宋_GBK" w:hAnsi="宋体" w:eastAsia="方正仿宋_GBK"/>
          <w:sz w:val="24"/>
        </w:rPr>
        <w:t>三、</w:t>
      </w:r>
      <w:r>
        <w:rPr>
          <w:rFonts w:hint="eastAsia" w:ascii="方正仿宋_GBK" w:hAnsi="宋体" w:eastAsia="方正仿宋_GBK"/>
          <w:sz w:val="24"/>
          <w:lang w:val="en-US" w:eastAsia="zh-CN"/>
        </w:rPr>
        <w:t>商务</w:t>
      </w:r>
      <w:r>
        <w:rPr>
          <w:rFonts w:hint="eastAsia" w:ascii="方正仿宋_GBK" w:hAnsi="宋体" w:eastAsia="方正仿宋_GBK"/>
          <w:sz w:val="24"/>
        </w:rPr>
        <w:t>部分</w:t>
      </w:r>
      <w:bookmarkEnd w:id="144"/>
      <w:bookmarkEnd w:id="145"/>
      <w:bookmarkEnd w:id="146"/>
      <w:bookmarkEnd w:id="14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谈判项目名称：</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2"/>
        <w:gridCol w:w="3184"/>
        <w:gridCol w:w="2438"/>
        <w:gridCol w:w="23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512"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序号</w:t>
            </w:r>
          </w:p>
        </w:tc>
        <w:tc>
          <w:tcPr>
            <w:tcW w:w="3184"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采购需求</w:t>
            </w:r>
          </w:p>
        </w:tc>
        <w:tc>
          <w:tcPr>
            <w:tcW w:w="2438"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响应情况</w:t>
            </w:r>
          </w:p>
        </w:tc>
        <w:tc>
          <w:tcPr>
            <w:tcW w:w="2359"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outlineLvl w:val="0"/>
              <w:rPr>
                <w:rFonts w:hint="eastAsia" w:ascii="方正仿宋_GBK" w:hAnsi="宋体" w:eastAsia="方正仿宋_GBK"/>
                <w:sz w:val="21"/>
                <w:szCs w:val="24"/>
              </w:rPr>
            </w:pPr>
            <w:r>
              <w:rPr>
                <w:rFonts w:hint="eastAsia" w:ascii="方正仿宋_GBK" w:hAnsi="仿宋" w:eastAsia="方正仿宋_GBK"/>
                <w:sz w:val="21"/>
                <w:szCs w:val="21"/>
              </w:rPr>
              <w:t>提醒：请注明具体内容以及响应文件中具体内容的位置（页码）</w:t>
            </w: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r>
        <w:rPr>
          <w:rFonts w:hint="eastAsia" w:ascii="方正仿宋_GBK" w:hAnsi="宋体" w:eastAsia="方正仿宋_GBK"/>
          <w:sz w:val="24"/>
          <w:szCs w:val="28"/>
        </w:rPr>
        <w:t>：</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谈判项目</w:t>
      </w:r>
      <w:r>
        <w:rPr>
          <w:rFonts w:hint="eastAsia" w:ascii="方正仿宋_GBK" w:hAnsi="仿宋" w:eastAsia="方正仿宋_GBK"/>
          <w:sz w:val="24"/>
          <w:szCs w:val="24"/>
          <w:lang w:val="en-US" w:eastAsia="zh-CN"/>
        </w:rPr>
        <w:t>商务</w:t>
      </w:r>
      <w:r>
        <w:rPr>
          <w:rFonts w:hint="eastAsia" w:ascii="方正仿宋_GBK" w:hAnsi="仿宋" w:eastAsia="方正仿宋_GBK"/>
          <w:sz w:val="24"/>
          <w:szCs w:val="24"/>
        </w:rPr>
        <w:t>需求”中所列条款进行比较和响应；</w:t>
      </w:r>
    </w:p>
    <w:p>
      <w:pPr>
        <w:tabs>
          <w:tab w:val="left" w:pos="6300"/>
        </w:tabs>
        <w:snapToGrid w:val="0"/>
        <w:spacing w:line="48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rPr>
        <w:t>2.本表可扩展</w:t>
      </w:r>
      <w:r>
        <w:rPr>
          <w:rFonts w:hint="eastAsia" w:ascii="方正仿宋_GBK" w:hAnsi="宋体" w:eastAsia="方正仿宋_GBK"/>
          <w:sz w:val="24"/>
          <w:szCs w:val="24"/>
        </w:rPr>
        <w:t>。</w:t>
      </w:r>
    </w:p>
    <w:p>
      <w:pPr>
        <w:tabs>
          <w:tab w:val="left" w:pos="6300"/>
        </w:tabs>
        <w:snapToGrid w:val="0"/>
        <w:spacing w:line="480" w:lineRule="exact"/>
        <w:ind w:firstLine="480" w:firstLineChars="200"/>
        <w:rPr>
          <w:rFonts w:hint="eastAsia" w:ascii="方正仿宋_GBK" w:hAnsi="宋体" w:eastAsia="方正仿宋_GBK"/>
          <w:sz w:val="24"/>
          <w:szCs w:val="24"/>
        </w:rPr>
      </w:pPr>
    </w:p>
    <w:p>
      <w:pPr>
        <w:tabs>
          <w:tab w:val="left" w:pos="6300"/>
        </w:tabs>
        <w:snapToGrid w:val="0"/>
        <w:spacing w:line="48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br w:type="page"/>
      </w:r>
      <w:r>
        <w:rPr>
          <w:rFonts w:hint="eastAsia" w:ascii="方正仿宋_GBK" w:hAnsi="宋体" w:eastAsia="方正仿宋_GBK"/>
          <w:sz w:val="24"/>
          <w:szCs w:val="24"/>
        </w:rPr>
        <w:t>（二）其它优惠承诺（格式自定）</w:t>
      </w:r>
    </w:p>
    <w:p>
      <w:pPr>
        <w:tabs>
          <w:tab w:val="left" w:pos="6300"/>
        </w:tabs>
        <w:snapToGrid w:val="0"/>
        <w:spacing w:line="48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Start w:id="151" w:name="_Toc65660382"/>
      <w:bookmarkStart w:id="152" w:name="_Toc20162"/>
      <w:bookmarkStart w:id="153" w:name="_Toc11888"/>
      <w:bookmarkStart w:id="154" w:name="_Toc2082"/>
      <w:r>
        <w:rPr>
          <w:rFonts w:hint="eastAsia" w:ascii="方正仿宋_GBK" w:hAnsi="宋体" w:eastAsia="方正仿宋_GBK"/>
          <w:sz w:val="24"/>
        </w:rPr>
        <w:t>四、</w:t>
      </w:r>
      <w:bookmarkEnd w:id="148"/>
      <w:bookmarkEnd w:id="149"/>
      <w:bookmarkEnd w:id="150"/>
      <w:r>
        <w:rPr>
          <w:rFonts w:hint="eastAsia" w:ascii="方正仿宋_GBK" w:hAnsi="宋体" w:eastAsia="方正仿宋_GBK"/>
          <w:sz w:val="24"/>
        </w:rPr>
        <w:t>资格条件及其他</w:t>
      </w:r>
      <w:bookmarkEnd w:id="151"/>
      <w:bookmarkEnd w:id="152"/>
      <w:bookmarkEnd w:id="153"/>
      <w:bookmarkEnd w:id="154"/>
      <w:bookmarkStart w:id="155" w:name="_Toc313888363"/>
      <w:bookmarkStart w:id="156" w:name="_Toc313008359"/>
      <w:bookmarkStart w:id="157" w:name="_Toc342913422"/>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500" w:lineRule="exact"/>
        <w:ind w:firstLine="570"/>
        <w:rPr>
          <w:rFonts w:hint="eastAsia" w:ascii="方正仿宋_GBK" w:hAnsi="宋体" w:eastAsia="方正仿宋_GBK"/>
          <w:sz w:val="24"/>
          <w:szCs w:val="24"/>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widowControl/>
        <w:spacing w:line="400" w:lineRule="exact"/>
        <w:ind w:firstLine="560" w:firstLineChars="200"/>
        <w:jc w:val="left"/>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谈判项目名称：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w:t>
      </w:r>
      <w:r>
        <w:rPr>
          <w:rFonts w:hint="eastAsia" w:ascii="方正仿宋_GBK" w:hAnsi="宋体" w:eastAsia="方正仿宋_GBK"/>
          <w:sz w:val="24"/>
          <w:u w:val="single"/>
        </w:rPr>
        <w:t xml:space="preserve">                     </w:t>
      </w:r>
      <w:r>
        <w:rPr>
          <w:rFonts w:hint="eastAsia" w:ascii="方正仿宋_GBK" w:hAnsi="宋体" w:eastAsia="方正仿宋_GBK"/>
          <w:sz w:val="24"/>
        </w:rPr>
        <w:t>（采购代理机构名称）：</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widowControl/>
        <w:spacing w:line="400" w:lineRule="exact"/>
        <w:ind w:firstLine="560" w:firstLineChars="200"/>
        <w:jc w:val="left"/>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谈判项目名称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w:t>
      </w:r>
      <w:r>
        <w:rPr>
          <w:rFonts w:hint="eastAsia" w:ascii="方正仿宋_GBK" w:hAnsi="宋体" w:eastAsia="方正仿宋_GBK"/>
          <w:sz w:val="24"/>
          <w:u w:val="single"/>
        </w:rPr>
        <w:t xml:space="preserve">                     </w:t>
      </w:r>
      <w:r>
        <w:rPr>
          <w:rFonts w:hint="eastAsia" w:ascii="方正仿宋_GBK" w:hAnsi="宋体" w:eastAsia="方正仿宋_GBK"/>
          <w:sz w:val="24"/>
        </w:rPr>
        <w:t>（采购代理机构名称）：</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（被授权人姓名及身份证代码）代表我单位全权办理上述项目的谈判、签约等具体工作，并签署全部有关文件、协议及合同。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400" w:lineRule="exact"/>
        <w:ind w:firstLine="573"/>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一、我方完全理解并接受该项目招标文件所有要求。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五、我方按招标文件要求提交的投标文件为：投标文件正本1份，副本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六、如果我方中标，我方将履行招标文件中规定的各项要求以及我方投标文件的各项承诺，按《政府采购法》、《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widowControl/>
        <w:spacing w:line="400" w:lineRule="exact"/>
        <w:jc w:val="left"/>
        <w:rPr>
          <w:rFonts w:hint="eastAsia" w:ascii="方正仿宋_GBK" w:hAnsi="宋体" w:eastAsia="方正仿宋_GBK"/>
          <w:sz w:val="24"/>
          <w:szCs w:val="24"/>
          <w:lang w:val="en-US" w:eastAsia="zh-CN"/>
        </w:rPr>
      </w:pPr>
    </w:p>
    <w:p>
      <w:pPr>
        <w:pStyle w:val="66"/>
        <w:rPr>
          <w:rFonts w:hint="eastAsia"/>
          <w:lang w:val="en-US" w:eastAsia="zh-CN"/>
        </w:rPr>
      </w:pPr>
    </w:p>
    <w:p>
      <w:pPr>
        <w:pStyle w:val="67"/>
        <w:rPr>
          <w:rFonts w:hint="eastAsia" w:ascii="方正仿宋_GBK" w:hAnsi="宋体" w:eastAsia="方正仿宋_GBK"/>
          <w:sz w:val="24"/>
          <w:szCs w:val="24"/>
          <w:lang w:val="en-US" w:eastAsia="zh-CN"/>
        </w:rPr>
      </w:pPr>
    </w:p>
    <w:p>
      <w:pPr>
        <w:pStyle w:val="67"/>
        <w:rPr>
          <w:rFonts w:hint="eastAsia" w:ascii="方正仿宋_GBK" w:hAnsi="宋体" w:eastAsia="方正仿宋_GBK"/>
          <w:sz w:val="24"/>
          <w:szCs w:val="24"/>
          <w:lang w:val="en-US" w:eastAsia="zh-CN"/>
        </w:rPr>
      </w:pPr>
    </w:p>
    <w:p>
      <w:pPr>
        <w:pStyle w:val="67"/>
        <w:rPr>
          <w:rFonts w:hint="eastAsia" w:ascii="方正仿宋_GBK" w:hAnsi="宋体" w:eastAsia="方正仿宋_GBK"/>
          <w:sz w:val="24"/>
          <w:szCs w:val="24"/>
          <w:lang w:val="en-US" w:eastAsia="zh-CN"/>
        </w:rPr>
      </w:pPr>
    </w:p>
    <w:p>
      <w:pPr>
        <w:widowControl/>
        <w:spacing w:line="400" w:lineRule="exact"/>
        <w:jc w:val="lef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基本资格条件承诺函（格式）</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w:t>
      </w:r>
      <w:r>
        <w:rPr>
          <w:rFonts w:hint="eastAsia" w:ascii="方正仿宋_GBK" w:hAnsi="仿宋" w:eastAsia="方正仿宋_GBK"/>
          <w:sz w:val="24"/>
          <w:u w:val="single"/>
        </w:rPr>
        <w:t xml:space="preserve">                   </w:t>
      </w:r>
      <w:r>
        <w:rPr>
          <w:rFonts w:hint="eastAsia" w:ascii="方正仿宋_GBK" w:hAnsi="仿宋" w:eastAsia="方正仿宋_GBK"/>
          <w:sz w:val="24"/>
        </w:rPr>
        <w:t>（采购代理机构名称）：</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widowControl/>
        <w:spacing w:line="400" w:lineRule="exact"/>
        <w:ind w:firstLine="7920" w:firstLineChars="3300"/>
        <w:jc w:val="left"/>
        <w:rPr>
          <w:rFonts w:hint="eastAsia" w:ascii="方正仿宋_GBK" w:hAnsi="宋体" w:eastAsia="方正仿宋_GBK"/>
          <w:sz w:val="24"/>
          <w:szCs w:val="24"/>
        </w:rPr>
      </w:pPr>
      <w:r>
        <w:rPr>
          <w:rFonts w:hint="eastAsia" w:ascii="方正仿宋_GBK" w:hAnsi="仿宋" w:eastAsia="方正仿宋_GBK"/>
          <w:sz w:val="24"/>
        </w:rPr>
        <w:t>年   月   日</w:t>
      </w:r>
    </w:p>
    <w:p>
      <w:pPr>
        <w:widowControl/>
        <w:spacing w:line="400" w:lineRule="exact"/>
        <w:ind w:firstLine="560" w:firstLineChars="200"/>
        <w:jc w:val="left"/>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widowControl/>
        <w:spacing w:line="400" w:lineRule="exact"/>
        <w:ind w:firstLine="480" w:firstLineChars="200"/>
        <w:jc w:val="left"/>
        <w:rPr>
          <w:rFonts w:hint="eastAsia" w:ascii="方正仿宋_GBK" w:hAnsi="宋体" w:eastAsia="方正仿宋_GBK"/>
          <w:sz w:val="24"/>
          <w:szCs w:val="24"/>
        </w:rPr>
      </w:pPr>
    </w:p>
    <w:p>
      <w:pPr>
        <w:rPr>
          <w:rFonts w:hint="eastAsia" w:ascii="方正仿宋_GBK" w:hAnsi="宋体" w:eastAsia="方正仿宋_GBK"/>
          <w:sz w:val="24"/>
          <w:szCs w:val="24"/>
        </w:rPr>
      </w:pPr>
      <w:r>
        <w:rPr>
          <w:rFonts w:ascii="方正仿宋_GBK" w:hAnsi="宋体" w:eastAsia="方正仿宋_GBK"/>
          <w:sz w:val="24"/>
          <w:szCs w:val="24"/>
        </w:rPr>
        <w:br w:type="page"/>
      </w:r>
      <w:bookmarkEnd w:id="155"/>
      <w:bookmarkEnd w:id="156"/>
      <w:bookmarkEnd w:id="157"/>
    </w:p>
    <w:p>
      <w:pPr>
        <w:widowControl/>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jc w:val="both"/>
        <w:rPr>
          <w:rFonts w:hint="eastAsia" w:ascii="方正仿宋_GBK" w:hAnsi="仿宋" w:eastAsia="方正仿宋_GBK"/>
        </w:rPr>
      </w:pPr>
      <w:r>
        <w:rPr>
          <w:rFonts w:hint="eastAsia" w:ascii="方正仿宋_GBK" w:hAnsi="仿宋" w:eastAsia="方正仿宋_GBK"/>
        </w:rPr>
        <w:t>（结束）</w:t>
      </w:r>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文鼎粗黑">
    <w:altName w:val="黑体"/>
    <w:panose1 w:val="020B0609010101010101"/>
    <w:charset w:val="86"/>
    <w:family w:val="modern"/>
    <w:pitch w:val="default"/>
    <w:sig w:usb0="00000000" w:usb1="00000000" w:usb2="0000001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0"/>
      </w:rPr>
    </w:pPr>
    <w:r>
      <w:fldChar w:fldCharType="begin"/>
    </w:r>
    <w:r>
      <w:rPr>
        <w:rStyle w:val="60"/>
      </w:rPr>
      <w:instrText xml:space="preserve">PAGE  </w:instrText>
    </w:r>
    <w:r>
      <w:fldChar w:fldCharType="separate"/>
    </w:r>
    <w: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0"/>
      </w:rPr>
    </w:pPr>
  </w:p>
  <w:p>
    <w:pPr>
      <w:pStyle w:val="35"/>
      <w:jc w:val="center"/>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0"/>
      </w:rPr>
    </w:pPr>
    <w:r>
      <w:fldChar w:fldCharType="begin"/>
    </w:r>
    <w:r>
      <w:rPr>
        <w:rStyle w:val="60"/>
      </w:rPr>
      <w:instrText xml:space="preserve">PAGE  </w:instrText>
    </w:r>
    <w:r>
      <w:fldChar w:fldCharType="separate"/>
    </w:r>
    <w:r>
      <w:fldChar w:fldCharType="end"/>
    </w:r>
  </w:p>
  <w:p>
    <w:pPr>
      <w:pStyle w:val="3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0"/>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重庆医科大学附属儿童医院竞争性谈判文件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45"/>
      <w:suff w:val="nothing"/>
      <w:lvlText w:val="附　录　%1"/>
      <w:lvlJc w:val="left"/>
      <w:pPr>
        <w:ind w:left="0" w:firstLine="0"/>
      </w:pPr>
      <w:rPr>
        <w:rFonts w:hint="eastAsia" w:ascii="黑体" w:hAnsi="Times New Roman" w:eastAsia="黑体"/>
        <w:b w:val="0"/>
        <w:i w:val="0"/>
        <w:sz w:val="21"/>
      </w:rPr>
    </w:lvl>
    <w:lvl w:ilvl="1" w:tentative="0">
      <w:start w:val="1"/>
      <w:numFmt w:val="decimal"/>
      <w:pStyle w:val="153"/>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94"/>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8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18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22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20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218"/>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02"/>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57"/>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6"/>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11"/>
  </w:num>
  <w:num w:numId="8">
    <w:abstractNumId w:val="2"/>
  </w:num>
  <w:num w:numId="9">
    <w:abstractNumId w:val="4"/>
  </w:num>
  <w:num w:numId="10">
    <w:abstractNumId w:val="1"/>
  </w:num>
  <w:num w:numId="11">
    <w:abstractNumId w:val="10"/>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2EAF"/>
    <w:rsid w:val="000040DE"/>
    <w:rsid w:val="00005A02"/>
    <w:rsid w:val="00015A2E"/>
    <w:rsid w:val="00016B79"/>
    <w:rsid w:val="00026AFF"/>
    <w:rsid w:val="00027AF7"/>
    <w:rsid w:val="00033C8A"/>
    <w:rsid w:val="000358F8"/>
    <w:rsid w:val="000362F7"/>
    <w:rsid w:val="0003632F"/>
    <w:rsid w:val="00036537"/>
    <w:rsid w:val="00043C9B"/>
    <w:rsid w:val="000446C0"/>
    <w:rsid w:val="000513D1"/>
    <w:rsid w:val="0005298B"/>
    <w:rsid w:val="00052A3A"/>
    <w:rsid w:val="00053A69"/>
    <w:rsid w:val="00053CC2"/>
    <w:rsid w:val="00054308"/>
    <w:rsid w:val="0005456D"/>
    <w:rsid w:val="000549FF"/>
    <w:rsid w:val="000576E1"/>
    <w:rsid w:val="00063981"/>
    <w:rsid w:val="00064FA3"/>
    <w:rsid w:val="00091B1C"/>
    <w:rsid w:val="00092CF5"/>
    <w:rsid w:val="000938CD"/>
    <w:rsid w:val="000946B8"/>
    <w:rsid w:val="000959DA"/>
    <w:rsid w:val="00096E0E"/>
    <w:rsid w:val="000A126B"/>
    <w:rsid w:val="000A164E"/>
    <w:rsid w:val="000A2FE6"/>
    <w:rsid w:val="000A77B9"/>
    <w:rsid w:val="000B42F4"/>
    <w:rsid w:val="000B711E"/>
    <w:rsid w:val="000B7377"/>
    <w:rsid w:val="000B7F54"/>
    <w:rsid w:val="000C04DB"/>
    <w:rsid w:val="000C1EE4"/>
    <w:rsid w:val="000C34DA"/>
    <w:rsid w:val="000C3C93"/>
    <w:rsid w:val="000C5B30"/>
    <w:rsid w:val="000C6AC7"/>
    <w:rsid w:val="000D15C6"/>
    <w:rsid w:val="000D23F5"/>
    <w:rsid w:val="000D40BA"/>
    <w:rsid w:val="000E3259"/>
    <w:rsid w:val="000F3752"/>
    <w:rsid w:val="000F48FD"/>
    <w:rsid w:val="000F511B"/>
    <w:rsid w:val="000F5ACE"/>
    <w:rsid w:val="000F7DBF"/>
    <w:rsid w:val="00100639"/>
    <w:rsid w:val="00103DA9"/>
    <w:rsid w:val="00103DDC"/>
    <w:rsid w:val="0010418E"/>
    <w:rsid w:val="001077D3"/>
    <w:rsid w:val="001122C5"/>
    <w:rsid w:val="00113E89"/>
    <w:rsid w:val="00116856"/>
    <w:rsid w:val="00120259"/>
    <w:rsid w:val="00120851"/>
    <w:rsid w:val="00124CD0"/>
    <w:rsid w:val="00124CF0"/>
    <w:rsid w:val="001266BF"/>
    <w:rsid w:val="00131054"/>
    <w:rsid w:val="00133D16"/>
    <w:rsid w:val="0013496A"/>
    <w:rsid w:val="00135B50"/>
    <w:rsid w:val="00135E0D"/>
    <w:rsid w:val="001363B2"/>
    <w:rsid w:val="001376CB"/>
    <w:rsid w:val="001401FF"/>
    <w:rsid w:val="00140C83"/>
    <w:rsid w:val="00140E25"/>
    <w:rsid w:val="00147FB4"/>
    <w:rsid w:val="0015011C"/>
    <w:rsid w:val="00150429"/>
    <w:rsid w:val="0015108F"/>
    <w:rsid w:val="00153353"/>
    <w:rsid w:val="0015351E"/>
    <w:rsid w:val="001559C6"/>
    <w:rsid w:val="0016035A"/>
    <w:rsid w:val="0016303B"/>
    <w:rsid w:val="00165700"/>
    <w:rsid w:val="0017421F"/>
    <w:rsid w:val="001748ED"/>
    <w:rsid w:val="00177DD5"/>
    <w:rsid w:val="00180ACB"/>
    <w:rsid w:val="00181A7F"/>
    <w:rsid w:val="0018347E"/>
    <w:rsid w:val="0018465A"/>
    <w:rsid w:val="00184E27"/>
    <w:rsid w:val="00186623"/>
    <w:rsid w:val="0018699A"/>
    <w:rsid w:val="001915CE"/>
    <w:rsid w:val="001A0016"/>
    <w:rsid w:val="001A4270"/>
    <w:rsid w:val="001A6A3F"/>
    <w:rsid w:val="001A6DCC"/>
    <w:rsid w:val="001A7806"/>
    <w:rsid w:val="001B2365"/>
    <w:rsid w:val="001B3DBD"/>
    <w:rsid w:val="001B4377"/>
    <w:rsid w:val="001B6655"/>
    <w:rsid w:val="001D2321"/>
    <w:rsid w:val="001D2DCD"/>
    <w:rsid w:val="001D435E"/>
    <w:rsid w:val="001D5055"/>
    <w:rsid w:val="001E0376"/>
    <w:rsid w:val="001E5CAC"/>
    <w:rsid w:val="001E5EB4"/>
    <w:rsid w:val="001E725F"/>
    <w:rsid w:val="001E75B9"/>
    <w:rsid w:val="001E75F4"/>
    <w:rsid w:val="001F1AF7"/>
    <w:rsid w:val="001F1CA8"/>
    <w:rsid w:val="001F48D9"/>
    <w:rsid w:val="001F4964"/>
    <w:rsid w:val="001F511B"/>
    <w:rsid w:val="001F7063"/>
    <w:rsid w:val="00200186"/>
    <w:rsid w:val="00202B04"/>
    <w:rsid w:val="00204936"/>
    <w:rsid w:val="002100EE"/>
    <w:rsid w:val="002105E1"/>
    <w:rsid w:val="00211874"/>
    <w:rsid w:val="00211A92"/>
    <w:rsid w:val="0022065B"/>
    <w:rsid w:val="00222097"/>
    <w:rsid w:val="0022517B"/>
    <w:rsid w:val="00225B78"/>
    <w:rsid w:val="00227BA9"/>
    <w:rsid w:val="00231797"/>
    <w:rsid w:val="00235F8F"/>
    <w:rsid w:val="00237759"/>
    <w:rsid w:val="0024359D"/>
    <w:rsid w:val="00244E68"/>
    <w:rsid w:val="002539DF"/>
    <w:rsid w:val="00263F49"/>
    <w:rsid w:val="002643C1"/>
    <w:rsid w:val="00267DDF"/>
    <w:rsid w:val="00270ED7"/>
    <w:rsid w:val="00271A27"/>
    <w:rsid w:val="00271D47"/>
    <w:rsid w:val="002721EA"/>
    <w:rsid w:val="00275FED"/>
    <w:rsid w:val="00280E8A"/>
    <w:rsid w:val="00282FBA"/>
    <w:rsid w:val="00283A40"/>
    <w:rsid w:val="00283B57"/>
    <w:rsid w:val="00285164"/>
    <w:rsid w:val="00285D78"/>
    <w:rsid w:val="00293D74"/>
    <w:rsid w:val="00294EB6"/>
    <w:rsid w:val="00295381"/>
    <w:rsid w:val="002A4956"/>
    <w:rsid w:val="002A5652"/>
    <w:rsid w:val="002A6710"/>
    <w:rsid w:val="002A7598"/>
    <w:rsid w:val="002A7622"/>
    <w:rsid w:val="002B1F56"/>
    <w:rsid w:val="002B3C24"/>
    <w:rsid w:val="002B47A4"/>
    <w:rsid w:val="002B7904"/>
    <w:rsid w:val="002C0821"/>
    <w:rsid w:val="002C2507"/>
    <w:rsid w:val="002C2E6E"/>
    <w:rsid w:val="002C69BF"/>
    <w:rsid w:val="002C6DF1"/>
    <w:rsid w:val="002E4C46"/>
    <w:rsid w:val="002E632A"/>
    <w:rsid w:val="002F159B"/>
    <w:rsid w:val="002F1B06"/>
    <w:rsid w:val="002F26FF"/>
    <w:rsid w:val="002F3DE3"/>
    <w:rsid w:val="002F5060"/>
    <w:rsid w:val="002F632E"/>
    <w:rsid w:val="002F761B"/>
    <w:rsid w:val="00310AF9"/>
    <w:rsid w:val="00312897"/>
    <w:rsid w:val="0031465E"/>
    <w:rsid w:val="00314E6F"/>
    <w:rsid w:val="00315742"/>
    <w:rsid w:val="003163B3"/>
    <w:rsid w:val="00317698"/>
    <w:rsid w:val="00323FD5"/>
    <w:rsid w:val="00325A26"/>
    <w:rsid w:val="00326BBC"/>
    <w:rsid w:val="00335BDB"/>
    <w:rsid w:val="003360A8"/>
    <w:rsid w:val="003405FD"/>
    <w:rsid w:val="00341DEB"/>
    <w:rsid w:val="00343C3E"/>
    <w:rsid w:val="00346A3D"/>
    <w:rsid w:val="00350C20"/>
    <w:rsid w:val="0035143D"/>
    <w:rsid w:val="003548FA"/>
    <w:rsid w:val="00355A74"/>
    <w:rsid w:val="00361427"/>
    <w:rsid w:val="00361441"/>
    <w:rsid w:val="00362402"/>
    <w:rsid w:val="00363A39"/>
    <w:rsid w:val="0036458B"/>
    <w:rsid w:val="00371328"/>
    <w:rsid w:val="00371D2F"/>
    <w:rsid w:val="00372D5B"/>
    <w:rsid w:val="0037335E"/>
    <w:rsid w:val="00375E03"/>
    <w:rsid w:val="0038344F"/>
    <w:rsid w:val="00384161"/>
    <w:rsid w:val="00387610"/>
    <w:rsid w:val="00396FFE"/>
    <w:rsid w:val="003973D3"/>
    <w:rsid w:val="003A0892"/>
    <w:rsid w:val="003A449E"/>
    <w:rsid w:val="003A501C"/>
    <w:rsid w:val="003A57F1"/>
    <w:rsid w:val="003A71F3"/>
    <w:rsid w:val="003B19F5"/>
    <w:rsid w:val="003B2501"/>
    <w:rsid w:val="003B7B71"/>
    <w:rsid w:val="003C0A38"/>
    <w:rsid w:val="003D0E0A"/>
    <w:rsid w:val="003D1569"/>
    <w:rsid w:val="003E1F8A"/>
    <w:rsid w:val="003E4727"/>
    <w:rsid w:val="003E5324"/>
    <w:rsid w:val="003E5E67"/>
    <w:rsid w:val="00402B32"/>
    <w:rsid w:val="004044EE"/>
    <w:rsid w:val="00410C93"/>
    <w:rsid w:val="00411B4A"/>
    <w:rsid w:val="00412680"/>
    <w:rsid w:val="004167CD"/>
    <w:rsid w:val="00425367"/>
    <w:rsid w:val="00425EDA"/>
    <w:rsid w:val="0043290D"/>
    <w:rsid w:val="00433ADB"/>
    <w:rsid w:val="004353BF"/>
    <w:rsid w:val="004400CA"/>
    <w:rsid w:val="00446735"/>
    <w:rsid w:val="004474F3"/>
    <w:rsid w:val="004515DA"/>
    <w:rsid w:val="00453A00"/>
    <w:rsid w:val="004543A5"/>
    <w:rsid w:val="00462878"/>
    <w:rsid w:val="0046417B"/>
    <w:rsid w:val="004657EA"/>
    <w:rsid w:val="00481A49"/>
    <w:rsid w:val="00484E88"/>
    <w:rsid w:val="004953EC"/>
    <w:rsid w:val="004A015E"/>
    <w:rsid w:val="004A020F"/>
    <w:rsid w:val="004A0DE1"/>
    <w:rsid w:val="004A21A7"/>
    <w:rsid w:val="004A2410"/>
    <w:rsid w:val="004A27AC"/>
    <w:rsid w:val="004A2B68"/>
    <w:rsid w:val="004A6DDD"/>
    <w:rsid w:val="004A7523"/>
    <w:rsid w:val="004B181C"/>
    <w:rsid w:val="004C1DD0"/>
    <w:rsid w:val="004C2ED2"/>
    <w:rsid w:val="004C60EA"/>
    <w:rsid w:val="004C64E4"/>
    <w:rsid w:val="004D1D5E"/>
    <w:rsid w:val="004E0650"/>
    <w:rsid w:val="004E3234"/>
    <w:rsid w:val="004E3AEE"/>
    <w:rsid w:val="004E4EFB"/>
    <w:rsid w:val="004E55DB"/>
    <w:rsid w:val="004F0533"/>
    <w:rsid w:val="004F2A9F"/>
    <w:rsid w:val="004F6879"/>
    <w:rsid w:val="005000E9"/>
    <w:rsid w:val="00500D8B"/>
    <w:rsid w:val="00502B2F"/>
    <w:rsid w:val="00505F40"/>
    <w:rsid w:val="00512D00"/>
    <w:rsid w:val="00514179"/>
    <w:rsid w:val="00516CDF"/>
    <w:rsid w:val="005170E4"/>
    <w:rsid w:val="005171C9"/>
    <w:rsid w:val="005214D2"/>
    <w:rsid w:val="00522621"/>
    <w:rsid w:val="00524D8A"/>
    <w:rsid w:val="005266F6"/>
    <w:rsid w:val="005320C1"/>
    <w:rsid w:val="00536484"/>
    <w:rsid w:val="00545431"/>
    <w:rsid w:val="005460D5"/>
    <w:rsid w:val="0055517C"/>
    <w:rsid w:val="00556AA7"/>
    <w:rsid w:val="005573AE"/>
    <w:rsid w:val="0056050C"/>
    <w:rsid w:val="0056217D"/>
    <w:rsid w:val="00562860"/>
    <w:rsid w:val="005631C8"/>
    <w:rsid w:val="00565746"/>
    <w:rsid w:val="00566A85"/>
    <w:rsid w:val="00570831"/>
    <w:rsid w:val="00570FCB"/>
    <w:rsid w:val="00571368"/>
    <w:rsid w:val="00573AE3"/>
    <w:rsid w:val="00574240"/>
    <w:rsid w:val="005768CC"/>
    <w:rsid w:val="00581B74"/>
    <w:rsid w:val="00583204"/>
    <w:rsid w:val="005902D9"/>
    <w:rsid w:val="00590B75"/>
    <w:rsid w:val="0059244D"/>
    <w:rsid w:val="005925EE"/>
    <w:rsid w:val="00592A7E"/>
    <w:rsid w:val="005943A4"/>
    <w:rsid w:val="00596AB7"/>
    <w:rsid w:val="00597F87"/>
    <w:rsid w:val="005A1459"/>
    <w:rsid w:val="005A1EA7"/>
    <w:rsid w:val="005A7D38"/>
    <w:rsid w:val="005B0724"/>
    <w:rsid w:val="005B1E46"/>
    <w:rsid w:val="005B295A"/>
    <w:rsid w:val="005B7775"/>
    <w:rsid w:val="005C0014"/>
    <w:rsid w:val="005C2924"/>
    <w:rsid w:val="005C42AC"/>
    <w:rsid w:val="005C4F84"/>
    <w:rsid w:val="005C5383"/>
    <w:rsid w:val="005D12E2"/>
    <w:rsid w:val="005D3382"/>
    <w:rsid w:val="005D703E"/>
    <w:rsid w:val="005E370D"/>
    <w:rsid w:val="005E620C"/>
    <w:rsid w:val="005E7E9D"/>
    <w:rsid w:val="005F123E"/>
    <w:rsid w:val="005F1B6C"/>
    <w:rsid w:val="005F4509"/>
    <w:rsid w:val="005F7F2B"/>
    <w:rsid w:val="0060543A"/>
    <w:rsid w:val="00610C5F"/>
    <w:rsid w:val="00613410"/>
    <w:rsid w:val="00615434"/>
    <w:rsid w:val="0061717E"/>
    <w:rsid w:val="00617986"/>
    <w:rsid w:val="00625262"/>
    <w:rsid w:val="00627DD2"/>
    <w:rsid w:val="00635B4B"/>
    <w:rsid w:val="00640026"/>
    <w:rsid w:val="006414B7"/>
    <w:rsid w:val="00654A48"/>
    <w:rsid w:val="006552FD"/>
    <w:rsid w:val="0065651B"/>
    <w:rsid w:val="00664607"/>
    <w:rsid w:val="0066468B"/>
    <w:rsid w:val="00670089"/>
    <w:rsid w:val="00670560"/>
    <w:rsid w:val="006809DA"/>
    <w:rsid w:val="00680AE4"/>
    <w:rsid w:val="00684E51"/>
    <w:rsid w:val="0069086A"/>
    <w:rsid w:val="00695990"/>
    <w:rsid w:val="0069635B"/>
    <w:rsid w:val="006A100B"/>
    <w:rsid w:val="006A143A"/>
    <w:rsid w:val="006A278D"/>
    <w:rsid w:val="006A3285"/>
    <w:rsid w:val="006A4743"/>
    <w:rsid w:val="006A55C3"/>
    <w:rsid w:val="006B0048"/>
    <w:rsid w:val="006B17C8"/>
    <w:rsid w:val="006B243E"/>
    <w:rsid w:val="006B5E7E"/>
    <w:rsid w:val="006B72DE"/>
    <w:rsid w:val="006C4BA5"/>
    <w:rsid w:val="006C5FC1"/>
    <w:rsid w:val="006D44E1"/>
    <w:rsid w:val="006D552C"/>
    <w:rsid w:val="006E21FA"/>
    <w:rsid w:val="006E6952"/>
    <w:rsid w:val="006F03F0"/>
    <w:rsid w:val="006F0DEB"/>
    <w:rsid w:val="006F0FB7"/>
    <w:rsid w:val="006F15D4"/>
    <w:rsid w:val="006F354D"/>
    <w:rsid w:val="006F511B"/>
    <w:rsid w:val="006F70D3"/>
    <w:rsid w:val="006F7C11"/>
    <w:rsid w:val="00701184"/>
    <w:rsid w:val="00704E5D"/>
    <w:rsid w:val="00705739"/>
    <w:rsid w:val="007113A1"/>
    <w:rsid w:val="0071489C"/>
    <w:rsid w:val="007159B2"/>
    <w:rsid w:val="00717148"/>
    <w:rsid w:val="00717835"/>
    <w:rsid w:val="00724F97"/>
    <w:rsid w:val="00726088"/>
    <w:rsid w:val="007267F7"/>
    <w:rsid w:val="007279DB"/>
    <w:rsid w:val="00730B6A"/>
    <w:rsid w:val="00730BFB"/>
    <w:rsid w:val="00731622"/>
    <w:rsid w:val="00732F02"/>
    <w:rsid w:val="00734C8D"/>
    <w:rsid w:val="00736D88"/>
    <w:rsid w:val="00736DD2"/>
    <w:rsid w:val="00736E78"/>
    <w:rsid w:val="00743D93"/>
    <w:rsid w:val="00745FA2"/>
    <w:rsid w:val="0074681C"/>
    <w:rsid w:val="00746B5E"/>
    <w:rsid w:val="00746EC2"/>
    <w:rsid w:val="0075581A"/>
    <w:rsid w:val="0076486C"/>
    <w:rsid w:val="00765984"/>
    <w:rsid w:val="00767F36"/>
    <w:rsid w:val="00770494"/>
    <w:rsid w:val="00771617"/>
    <w:rsid w:val="00771A7C"/>
    <w:rsid w:val="007766B3"/>
    <w:rsid w:val="007766E9"/>
    <w:rsid w:val="00777433"/>
    <w:rsid w:val="007820DC"/>
    <w:rsid w:val="00785E3E"/>
    <w:rsid w:val="00785F86"/>
    <w:rsid w:val="00794CCF"/>
    <w:rsid w:val="00794FE8"/>
    <w:rsid w:val="007955DD"/>
    <w:rsid w:val="007959AC"/>
    <w:rsid w:val="007A20E0"/>
    <w:rsid w:val="007A2D82"/>
    <w:rsid w:val="007A64B7"/>
    <w:rsid w:val="007B2204"/>
    <w:rsid w:val="007B4B60"/>
    <w:rsid w:val="007C075F"/>
    <w:rsid w:val="007C2245"/>
    <w:rsid w:val="007C2331"/>
    <w:rsid w:val="007C2636"/>
    <w:rsid w:val="007C4A0F"/>
    <w:rsid w:val="007C75E9"/>
    <w:rsid w:val="007D3CA6"/>
    <w:rsid w:val="007E0D9F"/>
    <w:rsid w:val="007E298C"/>
    <w:rsid w:val="007E30A9"/>
    <w:rsid w:val="007E3989"/>
    <w:rsid w:val="007E64BA"/>
    <w:rsid w:val="007F2295"/>
    <w:rsid w:val="007F3CCE"/>
    <w:rsid w:val="007F5589"/>
    <w:rsid w:val="007F5C55"/>
    <w:rsid w:val="007F6A65"/>
    <w:rsid w:val="00801462"/>
    <w:rsid w:val="008026BD"/>
    <w:rsid w:val="00802CE7"/>
    <w:rsid w:val="00803B59"/>
    <w:rsid w:val="008041D4"/>
    <w:rsid w:val="00804AE5"/>
    <w:rsid w:val="00807C01"/>
    <w:rsid w:val="00807EE7"/>
    <w:rsid w:val="008109A2"/>
    <w:rsid w:val="0081156A"/>
    <w:rsid w:val="00815920"/>
    <w:rsid w:val="00823DF6"/>
    <w:rsid w:val="00825DDF"/>
    <w:rsid w:val="00826964"/>
    <w:rsid w:val="00827398"/>
    <w:rsid w:val="00831290"/>
    <w:rsid w:val="00832559"/>
    <w:rsid w:val="00832F7E"/>
    <w:rsid w:val="008409B0"/>
    <w:rsid w:val="00842974"/>
    <w:rsid w:val="0084353E"/>
    <w:rsid w:val="00851805"/>
    <w:rsid w:val="00853FE4"/>
    <w:rsid w:val="00854ACE"/>
    <w:rsid w:val="00854BF8"/>
    <w:rsid w:val="0085550A"/>
    <w:rsid w:val="0086105E"/>
    <w:rsid w:val="008616EF"/>
    <w:rsid w:val="00863C25"/>
    <w:rsid w:val="008668A0"/>
    <w:rsid w:val="008705BC"/>
    <w:rsid w:val="0087422F"/>
    <w:rsid w:val="00874324"/>
    <w:rsid w:val="00875A42"/>
    <w:rsid w:val="00883BD5"/>
    <w:rsid w:val="008904A8"/>
    <w:rsid w:val="00891344"/>
    <w:rsid w:val="008A2EFF"/>
    <w:rsid w:val="008A30C6"/>
    <w:rsid w:val="008A48FC"/>
    <w:rsid w:val="008A7C3B"/>
    <w:rsid w:val="008B12E9"/>
    <w:rsid w:val="008B53D8"/>
    <w:rsid w:val="008B63A1"/>
    <w:rsid w:val="008C28C6"/>
    <w:rsid w:val="008C3708"/>
    <w:rsid w:val="008C510F"/>
    <w:rsid w:val="008D264D"/>
    <w:rsid w:val="008D4DD3"/>
    <w:rsid w:val="008D5EB0"/>
    <w:rsid w:val="008D6EBF"/>
    <w:rsid w:val="008E0E94"/>
    <w:rsid w:val="008E39CA"/>
    <w:rsid w:val="008E50B8"/>
    <w:rsid w:val="008E66B8"/>
    <w:rsid w:val="008F00E5"/>
    <w:rsid w:val="008F1988"/>
    <w:rsid w:val="008F25DB"/>
    <w:rsid w:val="008F2AD5"/>
    <w:rsid w:val="008F2D73"/>
    <w:rsid w:val="008F3F62"/>
    <w:rsid w:val="008F6252"/>
    <w:rsid w:val="008F770B"/>
    <w:rsid w:val="009023F3"/>
    <w:rsid w:val="00902D42"/>
    <w:rsid w:val="0090383C"/>
    <w:rsid w:val="00904E19"/>
    <w:rsid w:val="00905382"/>
    <w:rsid w:val="00905D25"/>
    <w:rsid w:val="00907FFD"/>
    <w:rsid w:val="00911ACF"/>
    <w:rsid w:val="00911AE9"/>
    <w:rsid w:val="00912132"/>
    <w:rsid w:val="00912A05"/>
    <w:rsid w:val="00916001"/>
    <w:rsid w:val="009160E6"/>
    <w:rsid w:val="00922FAD"/>
    <w:rsid w:val="00924F0A"/>
    <w:rsid w:val="0092708B"/>
    <w:rsid w:val="009313BB"/>
    <w:rsid w:val="0093578C"/>
    <w:rsid w:val="00937713"/>
    <w:rsid w:val="00943FB2"/>
    <w:rsid w:val="009519E2"/>
    <w:rsid w:val="00954464"/>
    <w:rsid w:val="00960FDC"/>
    <w:rsid w:val="00963C95"/>
    <w:rsid w:val="00966820"/>
    <w:rsid w:val="00967377"/>
    <w:rsid w:val="00967A56"/>
    <w:rsid w:val="00972633"/>
    <w:rsid w:val="00973679"/>
    <w:rsid w:val="009739E4"/>
    <w:rsid w:val="00973E50"/>
    <w:rsid w:val="00980037"/>
    <w:rsid w:val="009821C6"/>
    <w:rsid w:val="00983B43"/>
    <w:rsid w:val="009935C9"/>
    <w:rsid w:val="00996D2C"/>
    <w:rsid w:val="009A070C"/>
    <w:rsid w:val="009B6D65"/>
    <w:rsid w:val="009C032D"/>
    <w:rsid w:val="009C3034"/>
    <w:rsid w:val="009C40F0"/>
    <w:rsid w:val="009C4958"/>
    <w:rsid w:val="009C7326"/>
    <w:rsid w:val="009D01D6"/>
    <w:rsid w:val="009D2934"/>
    <w:rsid w:val="009D6931"/>
    <w:rsid w:val="009E1F06"/>
    <w:rsid w:val="009E2AF3"/>
    <w:rsid w:val="009E737D"/>
    <w:rsid w:val="009E749B"/>
    <w:rsid w:val="009F3B26"/>
    <w:rsid w:val="009F3FE9"/>
    <w:rsid w:val="009F4390"/>
    <w:rsid w:val="009F5335"/>
    <w:rsid w:val="009F5682"/>
    <w:rsid w:val="00A03977"/>
    <w:rsid w:val="00A04BC7"/>
    <w:rsid w:val="00A050D4"/>
    <w:rsid w:val="00A056BA"/>
    <w:rsid w:val="00A065B8"/>
    <w:rsid w:val="00A16C2A"/>
    <w:rsid w:val="00A26FF7"/>
    <w:rsid w:val="00A30B50"/>
    <w:rsid w:val="00A3107D"/>
    <w:rsid w:val="00A330D4"/>
    <w:rsid w:val="00A35338"/>
    <w:rsid w:val="00A417D7"/>
    <w:rsid w:val="00A445DC"/>
    <w:rsid w:val="00A44BEA"/>
    <w:rsid w:val="00A527E2"/>
    <w:rsid w:val="00A553F3"/>
    <w:rsid w:val="00A575D9"/>
    <w:rsid w:val="00A57A7E"/>
    <w:rsid w:val="00A60C8A"/>
    <w:rsid w:val="00A66DEB"/>
    <w:rsid w:val="00A67DFB"/>
    <w:rsid w:val="00A67FC1"/>
    <w:rsid w:val="00A711C6"/>
    <w:rsid w:val="00A7358D"/>
    <w:rsid w:val="00A75ABC"/>
    <w:rsid w:val="00A7737E"/>
    <w:rsid w:val="00A77D33"/>
    <w:rsid w:val="00A837D7"/>
    <w:rsid w:val="00A84863"/>
    <w:rsid w:val="00A86554"/>
    <w:rsid w:val="00A911F8"/>
    <w:rsid w:val="00A930D0"/>
    <w:rsid w:val="00A943CB"/>
    <w:rsid w:val="00A952ED"/>
    <w:rsid w:val="00A95D95"/>
    <w:rsid w:val="00A974FE"/>
    <w:rsid w:val="00A977EC"/>
    <w:rsid w:val="00AA3FD1"/>
    <w:rsid w:val="00AA4AAD"/>
    <w:rsid w:val="00AB0701"/>
    <w:rsid w:val="00AB4509"/>
    <w:rsid w:val="00AB5D3A"/>
    <w:rsid w:val="00AB5ED3"/>
    <w:rsid w:val="00AB6B0C"/>
    <w:rsid w:val="00AB70CD"/>
    <w:rsid w:val="00AC2047"/>
    <w:rsid w:val="00AC2780"/>
    <w:rsid w:val="00AC28C5"/>
    <w:rsid w:val="00AC485C"/>
    <w:rsid w:val="00AC48B3"/>
    <w:rsid w:val="00AC6BCD"/>
    <w:rsid w:val="00AC7AC9"/>
    <w:rsid w:val="00AD23EF"/>
    <w:rsid w:val="00AD2504"/>
    <w:rsid w:val="00AD361A"/>
    <w:rsid w:val="00AD6A95"/>
    <w:rsid w:val="00AE0E00"/>
    <w:rsid w:val="00AE1920"/>
    <w:rsid w:val="00AE6A83"/>
    <w:rsid w:val="00AF01B3"/>
    <w:rsid w:val="00AF0F13"/>
    <w:rsid w:val="00AF65E5"/>
    <w:rsid w:val="00AF7992"/>
    <w:rsid w:val="00B00AB3"/>
    <w:rsid w:val="00B00B4D"/>
    <w:rsid w:val="00B031C9"/>
    <w:rsid w:val="00B0498C"/>
    <w:rsid w:val="00B04AB7"/>
    <w:rsid w:val="00B0583F"/>
    <w:rsid w:val="00B073C8"/>
    <w:rsid w:val="00B14C52"/>
    <w:rsid w:val="00B200AA"/>
    <w:rsid w:val="00B20272"/>
    <w:rsid w:val="00B21225"/>
    <w:rsid w:val="00B21731"/>
    <w:rsid w:val="00B225F1"/>
    <w:rsid w:val="00B22A7A"/>
    <w:rsid w:val="00B3056D"/>
    <w:rsid w:val="00B30755"/>
    <w:rsid w:val="00B313C2"/>
    <w:rsid w:val="00B33ED2"/>
    <w:rsid w:val="00B36D6C"/>
    <w:rsid w:val="00B4023A"/>
    <w:rsid w:val="00B44584"/>
    <w:rsid w:val="00B478C3"/>
    <w:rsid w:val="00B50A8F"/>
    <w:rsid w:val="00B51BBE"/>
    <w:rsid w:val="00B51C65"/>
    <w:rsid w:val="00B51D5D"/>
    <w:rsid w:val="00B534C4"/>
    <w:rsid w:val="00B537C3"/>
    <w:rsid w:val="00B61348"/>
    <w:rsid w:val="00B6263F"/>
    <w:rsid w:val="00B64178"/>
    <w:rsid w:val="00B67114"/>
    <w:rsid w:val="00B702D7"/>
    <w:rsid w:val="00B71C3A"/>
    <w:rsid w:val="00B75449"/>
    <w:rsid w:val="00B75F36"/>
    <w:rsid w:val="00B823F6"/>
    <w:rsid w:val="00B83831"/>
    <w:rsid w:val="00B93463"/>
    <w:rsid w:val="00B94CCB"/>
    <w:rsid w:val="00BA26B3"/>
    <w:rsid w:val="00BA3FFF"/>
    <w:rsid w:val="00BA4003"/>
    <w:rsid w:val="00BA527C"/>
    <w:rsid w:val="00BA67CA"/>
    <w:rsid w:val="00BA6F7B"/>
    <w:rsid w:val="00BB02CB"/>
    <w:rsid w:val="00BB5D6B"/>
    <w:rsid w:val="00BB7494"/>
    <w:rsid w:val="00BB778C"/>
    <w:rsid w:val="00BC0431"/>
    <w:rsid w:val="00BC19B9"/>
    <w:rsid w:val="00BC1C91"/>
    <w:rsid w:val="00BD0FBA"/>
    <w:rsid w:val="00BD7B7F"/>
    <w:rsid w:val="00BE07A9"/>
    <w:rsid w:val="00BE0A4E"/>
    <w:rsid w:val="00BE33D1"/>
    <w:rsid w:val="00BF4FCD"/>
    <w:rsid w:val="00BF5230"/>
    <w:rsid w:val="00BF7EE4"/>
    <w:rsid w:val="00C01161"/>
    <w:rsid w:val="00C1090C"/>
    <w:rsid w:val="00C23C73"/>
    <w:rsid w:val="00C240C8"/>
    <w:rsid w:val="00C26513"/>
    <w:rsid w:val="00C37F72"/>
    <w:rsid w:val="00C420C1"/>
    <w:rsid w:val="00C4525F"/>
    <w:rsid w:val="00C45963"/>
    <w:rsid w:val="00C472B8"/>
    <w:rsid w:val="00C477E6"/>
    <w:rsid w:val="00C53124"/>
    <w:rsid w:val="00C53B2E"/>
    <w:rsid w:val="00C53B49"/>
    <w:rsid w:val="00C53FFD"/>
    <w:rsid w:val="00C55080"/>
    <w:rsid w:val="00C6160A"/>
    <w:rsid w:val="00C64326"/>
    <w:rsid w:val="00C65570"/>
    <w:rsid w:val="00C67CCD"/>
    <w:rsid w:val="00C7484C"/>
    <w:rsid w:val="00C753F3"/>
    <w:rsid w:val="00C76ECD"/>
    <w:rsid w:val="00C83C75"/>
    <w:rsid w:val="00C84763"/>
    <w:rsid w:val="00C848E6"/>
    <w:rsid w:val="00C84E04"/>
    <w:rsid w:val="00C8791A"/>
    <w:rsid w:val="00C909AA"/>
    <w:rsid w:val="00C910BE"/>
    <w:rsid w:val="00C9130D"/>
    <w:rsid w:val="00C922BE"/>
    <w:rsid w:val="00C92F76"/>
    <w:rsid w:val="00C94FD0"/>
    <w:rsid w:val="00C951AE"/>
    <w:rsid w:val="00CA5844"/>
    <w:rsid w:val="00CA7415"/>
    <w:rsid w:val="00CB2177"/>
    <w:rsid w:val="00CB265C"/>
    <w:rsid w:val="00CB4FEB"/>
    <w:rsid w:val="00CB7A07"/>
    <w:rsid w:val="00CC457C"/>
    <w:rsid w:val="00CC59BB"/>
    <w:rsid w:val="00CD635D"/>
    <w:rsid w:val="00CD7CED"/>
    <w:rsid w:val="00CE04C7"/>
    <w:rsid w:val="00CF09B7"/>
    <w:rsid w:val="00CF156B"/>
    <w:rsid w:val="00CF1E02"/>
    <w:rsid w:val="00CF2D68"/>
    <w:rsid w:val="00CF2F47"/>
    <w:rsid w:val="00CF329B"/>
    <w:rsid w:val="00CF597A"/>
    <w:rsid w:val="00D0319A"/>
    <w:rsid w:val="00D032D5"/>
    <w:rsid w:val="00D05BAA"/>
    <w:rsid w:val="00D07FB9"/>
    <w:rsid w:val="00D10112"/>
    <w:rsid w:val="00D121B8"/>
    <w:rsid w:val="00D13B7A"/>
    <w:rsid w:val="00D22C4B"/>
    <w:rsid w:val="00D230C7"/>
    <w:rsid w:val="00D235DF"/>
    <w:rsid w:val="00D23E7D"/>
    <w:rsid w:val="00D2405F"/>
    <w:rsid w:val="00D24905"/>
    <w:rsid w:val="00D25FE3"/>
    <w:rsid w:val="00D30C7F"/>
    <w:rsid w:val="00D35D2A"/>
    <w:rsid w:val="00D41BA9"/>
    <w:rsid w:val="00D456F3"/>
    <w:rsid w:val="00D46250"/>
    <w:rsid w:val="00D52376"/>
    <w:rsid w:val="00D54CA1"/>
    <w:rsid w:val="00D57B9E"/>
    <w:rsid w:val="00D60F92"/>
    <w:rsid w:val="00D612C2"/>
    <w:rsid w:val="00D64080"/>
    <w:rsid w:val="00D66A2D"/>
    <w:rsid w:val="00D745E0"/>
    <w:rsid w:val="00D74CF9"/>
    <w:rsid w:val="00D76AA3"/>
    <w:rsid w:val="00D80604"/>
    <w:rsid w:val="00D858F8"/>
    <w:rsid w:val="00D86212"/>
    <w:rsid w:val="00D91FE4"/>
    <w:rsid w:val="00D9460E"/>
    <w:rsid w:val="00D952B8"/>
    <w:rsid w:val="00D95411"/>
    <w:rsid w:val="00DA086B"/>
    <w:rsid w:val="00DA0B92"/>
    <w:rsid w:val="00DA5225"/>
    <w:rsid w:val="00DA565F"/>
    <w:rsid w:val="00DA5E46"/>
    <w:rsid w:val="00DA7E05"/>
    <w:rsid w:val="00DB1007"/>
    <w:rsid w:val="00DB4794"/>
    <w:rsid w:val="00DB4BDE"/>
    <w:rsid w:val="00DB5457"/>
    <w:rsid w:val="00DB5C3E"/>
    <w:rsid w:val="00DB628E"/>
    <w:rsid w:val="00DD1761"/>
    <w:rsid w:val="00DD66DC"/>
    <w:rsid w:val="00DE1E3E"/>
    <w:rsid w:val="00DE4929"/>
    <w:rsid w:val="00DE4DC4"/>
    <w:rsid w:val="00DE5BEB"/>
    <w:rsid w:val="00DE7ABF"/>
    <w:rsid w:val="00DF2028"/>
    <w:rsid w:val="00DF3046"/>
    <w:rsid w:val="00DF348B"/>
    <w:rsid w:val="00DF39A9"/>
    <w:rsid w:val="00DF782C"/>
    <w:rsid w:val="00E023D0"/>
    <w:rsid w:val="00E02BE3"/>
    <w:rsid w:val="00E030A0"/>
    <w:rsid w:val="00E04FF7"/>
    <w:rsid w:val="00E124E3"/>
    <w:rsid w:val="00E1356C"/>
    <w:rsid w:val="00E1419D"/>
    <w:rsid w:val="00E14812"/>
    <w:rsid w:val="00E14F74"/>
    <w:rsid w:val="00E15DDE"/>
    <w:rsid w:val="00E2339E"/>
    <w:rsid w:val="00E2709C"/>
    <w:rsid w:val="00E308E8"/>
    <w:rsid w:val="00E3245B"/>
    <w:rsid w:val="00E34DF5"/>
    <w:rsid w:val="00E3707B"/>
    <w:rsid w:val="00E4024B"/>
    <w:rsid w:val="00E40CF1"/>
    <w:rsid w:val="00E4710C"/>
    <w:rsid w:val="00E50685"/>
    <w:rsid w:val="00E570D9"/>
    <w:rsid w:val="00E57F6B"/>
    <w:rsid w:val="00E64B94"/>
    <w:rsid w:val="00E654A2"/>
    <w:rsid w:val="00E71934"/>
    <w:rsid w:val="00E7342C"/>
    <w:rsid w:val="00E81737"/>
    <w:rsid w:val="00E8198D"/>
    <w:rsid w:val="00E873EA"/>
    <w:rsid w:val="00E91EC1"/>
    <w:rsid w:val="00E947AE"/>
    <w:rsid w:val="00E95ABA"/>
    <w:rsid w:val="00EA010E"/>
    <w:rsid w:val="00EA4561"/>
    <w:rsid w:val="00EB0588"/>
    <w:rsid w:val="00EB0E2D"/>
    <w:rsid w:val="00EB1E33"/>
    <w:rsid w:val="00EB215E"/>
    <w:rsid w:val="00EB2F99"/>
    <w:rsid w:val="00EB4AA3"/>
    <w:rsid w:val="00EB706C"/>
    <w:rsid w:val="00EC0215"/>
    <w:rsid w:val="00EC029D"/>
    <w:rsid w:val="00EC0881"/>
    <w:rsid w:val="00EC3AB1"/>
    <w:rsid w:val="00ED05EA"/>
    <w:rsid w:val="00ED0742"/>
    <w:rsid w:val="00ED216E"/>
    <w:rsid w:val="00ED579F"/>
    <w:rsid w:val="00EE061A"/>
    <w:rsid w:val="00EE30AF"/>
    <w:rsid w:val="00EE67BB"/>
    <w:rsid w:val="00EE68E4"/>
    <w:rsid w:val="00EF2477"/>
    <w:rsid w:val="00F009EC"/>
    <w:rsid w:val="00F06551"/>
    <w:rsid w:val="00F06D97"/>
    <w:rsid w:val="00F10932"/>
    <w:rsid w:val="00F11A47"/>
    <w:rsid w:val="00F134B1"/>
    <w:rsid w:val="00F13738"/>
    <w:rsid w:val="00F169C3"/>
    <w:rsid w:val="00F16EFC"/>
    <w:rsid w:val="00F1718E"/>
    <w:rsid w:val="00F20FF1"/>
    <w:rsid w:val="00F25205"/>
    <w:rsid w:val="00F2777C"/>
    <w:rsid w:val="00F31987"/>
    <w:rsid w:val="00F35457"/>
    <w:rsid w:val="00F3595B"/>
    <w:rsid w:val="00F36398"/>
    <w:rsid w:val="00F4097C"/>
    <w:rsid w:val="00F426A6"/>
    <w:rsid w:val="00F429FD"/>
    <w:rsid w:val="00F449C4"/>
    <w:rsid w:val="00F538D9"/>
    <w:rsid w:val="00F5531F"/>
    <w:rsid w:val="00F56399"/>
    <w:rsid w:val="00F63953"/>
    <w:rsid w:val="00F6510D"/>
    <w:rsid w:val="00F65545"/>
    <w:rsid w:val="00F6689A"/>
    <w:rsid w:val="00F7213B"/>
    <w:rsid w:val="00F725B2"/>
    <w:rsid w:val="00F7298D"/>
    <w:rsid w:val="00F7750A"/>
    <w:rsid w:val="00F80006"/>
    <w:rsid w:val="00F80084"/>
    <w:rsid w:val="00F81663"/>
    <w:rsid w:val="00F85A30"/>
    <w:rsid w:val="00F92045"/>
    <w:rsid w:val="00F95676"/>
    <w:rsid w:val="00F96A73"/>
    <w:rsid w:val="00FA0979"/>
    <w:rsid w:val="00FA5828"/>
    <w:rsid w:val="00FB3FC5"/>
    <w:rsid w:val="00FB4BA6"/>
    <w:rsid w:val="00FC3EBE"/>
    <w:rsid w:val="00FC66C2"/>
    <w:rsid w:val="00FC6F58"/>
    <w:rsid w:val="00FC6FA8"/>
    <w:rsid w:val="00FD2470"/>
    <w:rsid w:val="00FD26B5"/>
    <w:rsid w:val="00FD5823"/>
    <w:rsid w:val="00FE1B42"/>
    <w:rsid w:val="00FE1C27"/>
    <w:rsid w:val="00FE215B"/>
    <w:rsid w:val="00FE5C31"/>
    <w:rsid w:val="00FE68B1"/>
    <w:rsid w:val="00FF25BA"/>
    <w:rsid w:val="00FF3BC9"/>
    <w:rsid w:val="00FF748B"/>
    <w:rsid w:val="00FF7623"/>
    <w:rsid w:val="015251A9"/>
    <w:rsid w:val="037F1AAB"/>
    <w:rsid w:val="03BE7F18"/>
    <w:rsid w:val="03FF6B37"/>
    <w:rsid w:val="0480254A"/>
    <w:rsid w:val="04D46D43"/>
    <w:rsid w:val="08C52A1E"/>
    <w:rsid w:val="0CC74CE0"/>
    <w:rsid w:val="0EBC78C0"/>
    <w:rsid w:val="1034719A"/>
    <w:rsid w:val="107752B0"/>
    <w:rsid w:val="11A92009"/>
    <w:rsid w:val="12D62551"/>
    <w:rsid w:val="16480659"/>
    <w:rsid w:val="1ABD3F8C"/>
    <w:rsid w:val="1B344769"/>
    <w:rsid w:val="1BA4182E"/>
    <w:rsid w:val="1C746C70"/>
    <w:rsid w:val="1CD758AD"/>
    <w:rsid w:val="1DF1193F"/>
    <w:rsid w:val="1EBA4A39"/>
    <w:rsid w:val="21E35569"/>
    <w:rsid w:val="21E738ED"/>
    <w:rsid w:val="245B32B8"/>
    <w:rsid w:val="25D1069F"/>
    <w:rsid w:val="25D216B8"/>
    <w:rsid w:val="25F15DB5"/>
    <w:rsid w:val="266A7FA7"/>
    <w:rsid w:val="29505CDA"/>
    <w:rsid w:val="2B286BC5"/>
    <w:rsid w:val="2B89500C"/>
    <w:rsid w:val="2C2D2523"/>
    <w:rsid w:val="2F57706B"/>
    <w:rsid w:val="310E761B"/>
    <w:rsid w:val="3530225E"/>
    <w:rsid w:val="361E4B80"/>
    <w:rsid w:val="36EA2EF3"/>
    <w:rsid w:val="3A87267C"/>
    <w:rsid w:val="3AD31FFD"/>
    <w:rsid w:val="3B0D2CD2"/>
    <w:rsid w:val="3C75460F"/>
    <w:rsid w:val="3D396C7C"/>
    <w:rsid w:val="3E8D1015"/>
    <w:rsid w:val="3F2255E5"/>
    <w:rsid w:val="40D8574E"/>
    <w:rsid w:val="414C48A8"/>
    <w:rsid w:val="4311195E"/>
    <w:rsid w:val="43D7786D"/>
    <w:rsid w:val="44637395"/>
    <w:rsid w:val="461F6313"/>
    <w:rsid w:val="47C228D1"/>
    <w:rsid w:val="492323F5"/>
    <w:rsid w:val="4A0C2326"/>
    <w:rsid w:val="4E3F2D9E"/>
    <w:rsid w:val="50A27791"/>
    <w:rsid w:val="51BB25F2"/>
    <w:rsid w:val="526562DC"/>
    <w:rsid w:val="52EB45C2"/>
    <w:rsid w:val="531E68CD"/>
    <w:rsid w:val="545C6AF1"/>
    <w:rsid w:val="56B61429"/>
    <w:rsid w:val="56D66DE4"/>
    <w:rsid w:val="575E1494"/>
    <w:rsid w:val="589F3A44"/>
    <w:rsid w:val="59D9651C"/>
    <w:rsid w:val="59DC3A22"/>
    <w:rsid w:val="5BD75000"/>
    <w:rsid w:val="5BDC2C95"/>
    <w:rsid w:val="5D1B313B"/>
    <w:rsid w:val="5E910B3F"/>
    <w:rsid w:val="666A0BEA"/>
    <w:rsid w:val="716F5BBA"/>
    <w:rsid w:val="72026C0C"/>
    <w:rsid w:val="721C3F61"/>
    <w:rsid w:val="75123F8E"/>
    <w:rsid w:val="75256D8B"/>
    <w:rsid w:val="789E5CA1"/>
    <w:rsid w:val="78DB3066"/>
    <w:rsid w:val="79C14722"/>
    <w:rsid w:val="7C9E0DA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68"/>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69"/>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8">
    <w:name w:val="Default Paragraph Font"/>
    <w:qFormat/>
    <w:uiPriority w:val="0"/>
  </w:style>
  <w:style w:type="table" w:default="1" w:styleId="5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0"/>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1"/>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72"/>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3"/>
    <w:qFormat/>
    <w:uiPriority w:val="0"/>
  </w:style>
  <w:style w:type="paragraph" w:styleId="33">
    <w:name w:val="Body Text Indent 2"/>
    <w:basedOn w:val="1"/>
    <w:link w:val="74"/>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39"/>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5"/>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6"/>
    <w:qFormat/>
    <w:uiPriority w:val="0"/>
    <w:pPr>
      <w:adjustRightInd/>
      <w:spacing w:line="240" w:lineRule="auto"/>
      <w:textAlignment w:val="auto"/>
    </w:pPr>
  </w:style>
  <w:style w:type="paragraph" w:styleId="55">
    <w:name w:val="Body Text First Indent"/>
    <w:basedOn w:val="1"/>
    <w:qFormat/>
    <w:uiPriority w:val="0"/>
    <w:pPr>
      <w:spacing w:line="360" w:lineRule="auto"/>
      <w:ind w:firstLine="420"/>
    </w:pPr>
    <w:rPr>
      <w:rFonts w:ascii="宋体" w:hAnsi="宋体"/>
      <w:sz w:val="24"/>
    </w:rPr>
  </w:style>
  <w:style w:type="paragraph" w:styleId="56">
    <w:name w:val="Body Text First Indent 2"/>
    <w:basedOn w:val="23"/>
    <w:link w:val="77"/>
    <w:qFormat/>
    <w:uiPriority w:val="0"/>
    <w:pPr>
      <w:spacing w:after="120" w:afterLines="0" w:line="240" w:lineRule="auto"/>
      <w:ind w:left="420" w:leftChars="200" w:firstLine="420" w:firstLineChars="200"/>
    </w:pPr>
  </w:style>
  <w:style w:type="character" w:styleId="59">
    <w:name w:val="Strong"/>
    <w:basedOn w:val="58"/>
    <w:qFormat/>
    <w:uiPriority w:val="22"/>
    <w:rPr>
      <w:b/>
    </w:rPr>
  </w:style>
  <w:style w:type="character" w:styleId="60">
    <w:name w:val="page number"/>
    <w:qFormat/>
    <w:uiPriority w:val="0"/>
  </w:style>
  <w:style w:type="character" w:styleId="61">
    <w:name w:val="FollowedHyperlink"/>
    <w:qFormat/>
    <w:uiPriority w:val="0"/>
    <w:rPr>
      <w:color w:val="800080"/>
      <w:u w:val="single"/>
    </w:rPr>
  </w:style>
  <w:style w:type="character" w:styleId="62">
    <w:name w:val="Emphasis"/>
    <w:qFormat/>
    <w:uiPriority w:val="0"/>
    <w:rPr>
      <w:i/>
    </w:rPr>
  </w:style>
  <w:style w:type="character" w:styleId="63">
    <w:name w:val="Hyperlink"/>
    <w:qFormat/>
    <w:uiPriority w:val="99"/>
    <w:rPr>
      <w:color w:val="0000FF"/>
      <w:u w:val="single"/>
    </w:rPr>
  </w:style>
  <w:style w:type="character" w:styleId="64">
    <w:name w:val="annotation reference"/>
    <w:qFormat/>
    <w:uiPriority w:val="0"/>
    <w:rPr>
      <w:sz w:val="21"/>
      <w:szCs w:val="21"/>
    </w:rPr>
  </w:style>
  <w:style w:type="character" w:styleId="65">
    <w:name w:val="footnote reference"/>
    <w:qFormat/>
    <w:uiPriority w:val="0"/>
    <w:rPr>
      <w:position w:val="6"/>
      <w:sz w:val="14"/>
      <w:vertAlign w:val="superscript"/>
    </w:rPr>
  </w:style>
  <w:style w:type="paragraph" w:customStyle="1" w:styleId="66">
    <w:name w:val="标题 5（有编号）（绿盟科技）"/>
    <w:basedOn w:val="1"/>
    <w:next w:val="67"/>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7">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68">
    <w:name w:val="标题 2 Char"/>
    <w:link w:val="4"/>
    <w:qFormat/>
    <w:uiPriority w:val="0"/>
    <w:rPr>
      <w:rFonts w:ascii="Arial" w:hAnsi="Arial" w:eastAsia="黑体"/>
      <w:b/>
      <w:kern w:val="2"/>
      <w:sz w:val="32"/>
    </w:rPr>
  </w:style>
  <w:style w:type="character" w:customStyle="1" w:styleId="69">
    <w:name w:val="标题 3 Char"/>
    <w:link w:val="5"/>
    <w:qFormat/>
    <w:uiPriority w:val="0"/>
    <w:rPr>
      <w:rFonts w:eastAsia="宋体"/>
      <w:b/>
      <w:kern w:val="2"/>
      <w:sz w:val="32"/>
      <w:lang w:val="en-US" w:eastAsia="zh-CN"/>
    </w:rPr>
  </w:style>
  <w:style w:type="character" w:customStyle="1" w:styleId="70">
    <w:name w:val="批注文字 Char"/>
    <w:link w:val="20"/>
    <w:qFormat/>
    <w:uiPriority w:val="0"/>
    <w:rPr>
      <w:sz w:val="24"/>
    </w:rPr>
  </w:style>
  <w:style w:type="character" w:customStyle="1" w:styleId="71">
    <w:name w:val="正文文本缩进 Char"/>
    <w:link w:val="23"/>
    <w:qFormat/>
    <w:uiPriority w:val="0"/>
    <w:rPr>
      <w:kern w:val="2"/>
      <w:sz w:val="44"/>
    </w:rPr>
  </w:style>
  <w:style w:type="character" w:customStyle="1" w:styleId="72">
    <w:name w:val="纯文本 Char"/>
    <w:link w:val="30"/>
    <w:qFormat/>
    <w:uiPriority w:val="0"/>
    <w:rPr>
      <w:rFonts w:ascii="宋体" w:hAnsi="Courier New"/>
      <w:kern w:val="2"/>
      <w:sz w:val="21"/>
    </w:rPr>
  </w:style>
  <w:style w:type="character" w:customStyle="1" w:styleId="73">
    <w:name w:val="日期 Char"/>
    <w:link w:val="32"/>
    <w:qFormat/>
    <w:uiPriority w:val="0"/>
    <w:rPr>
      <w:kern w:val="2"/>
      <w:sz w:val="28"/>
    </w:rPr>
  </w:style>
  <w:style w:type="character" w:customStyle="1" w:styleId="74">
    <w:name w:val="正文文本缩进 2 Char"/>
    <w:link w:val="33"/>
    <w:qFormat/>
    <w:uiPriority w:val="0"/>
    <w:rPr>
      <w:kern w:val="2"/>
      <w:sz w:val="28"/>
    </w:rPr>
  </w:style>
  <w:style w:type="character" w:customStyle="1" w:styleId="75">
    <w:name w:val="脚注文本 Char"/>
    <w:link w:val="40"/>
    <w:qFormat/>
    <w:uiPriority w:val="0"/>
    <w:rPr>
      <w:kern w:val="2"/>
      <w:sz w:val="18"/>
    </w:rPr>
  </w:style>
  <w:style w:type="character" w:customStyle="1" w:styleId="76">
    <w:name w:val="批注主题 Char"/>
    <w:link w:val="54"/>
    <w:qFormat/>
    <w:uiPriority w:val="0"/>
  </w:style>
  <w:style w:type="character" w:customStyle="1" w:styleId="77">
    <w:name w:val="正文首行缩进 2 Char"/>
    <w:link w:val="56"/>
    <w:qFormat/>
    <w:uiPriority w:val="0"/>
  </w:style>
  <w:style w:type="character" w:customStyle="1" w:styleId="78">
    <w:name w:val="content-white1"/>
    <w:qFormat/>
    <w:uiPriority w:val="0"/>
    <w:rPr>
      <w:rFonts w:ascii="_x000B__x000C_" w:hAnsi="_x000B__x000C_"/>
      <w:color w:val="auto"/>
      <w:sz w:val="18"/>
      <w:u w:val="none"/>
    </w:rPr>
  </w:style>
  <w:style w:type="character" w:customStyle="1" w:styleId="79">
    <w:name w:val=" Char Char3"/>
    <w:qFormat/>
    <w:uiPriority w:val="0"/>
    <w:rPr>
      <w:rFonts w:eastAsia="宋体"/>
      <w:kern w:val="2"/>
      <w:sz w:val="18"/>
      <w:lang w:val="en-US" w:eastAsia="zh-CN"/>
    </w:rPr>
  </w:style>
  <w:style w:type="character" w:customStyle="1" w:styleId="80">
    <w:name w:val="Table Text Char Char Char Char"/>
    <w:link w:val="81"/>
    <w:qFormat/>
    <w:uiPriority w:val="0"/>
    <w:rPr>
      <w:rFonts w:ascii="Arial" w:hAnsi="Arial"/>
      <w:kern w:val="2"/>
      <w:sz w:val="18"/>
      <w:lang w:val="en-US" w:eastAsia="zh-CN" w:bidi="ar-SA"/>
    </w:rPr>
  </w:style>
  <w:style w:type="paragraph" w:customStyle="1" w:styleId="81">
    <w:name w:val="Table Text Char Char Char"/>
    <w:link w:val="80"/>
    <w:qFormat/>
    <w:uiPriority w:val="0"/>
    <w:pPr>
      <w:snapToGrid w:val="0"/>
      <w:spacing w:before="80" w:after="80"/>
    </w:pPr>
    <w:rPr>
      <w:rFonts w:ascii="Arial" w:hAnsi="Arial" w:eastAsia="宋体" w:cs="Times New Roman"/>
      <w:kern w:val="2"/>
      <w:sz w:val="18"/>
      <w:lang w:val="en-US" w:eastAsia="zh-CN" w:bidi="ar-SA"/>
    </w:rPr>
  </w:style>
  <w:style w:type="character" w:customStyle="1" w:styleId="82">
    <w:name w:val=" Char Char7"/>
    <w:qFormat/>
    <w:uiPriority w:val="0"/>
    <w:rPr>
      <w:rFonts w:ascii="宋体" w:hAnsi="宋体" w:eastAsia="宋体"/>
      <w:kern w:val="2"/>
      <w:sz w:val="28"/>
    </w:rPr>
  </w:style>
  <w:style w:type="character" w:customStyle="1" w:styleId="83">
    <w:name w:val="未命名11"/>
    <w:qFormat/>
    <w:uiPriority w:val="0"/>
    <w:rPr>
      <w:color w:val="77FFFF"/>
      <w:sz w:val="24"/>
    </w:rPr>
  </w:style>
  <w:style w:type="character" w:customStyle="1" w:styleId="84">
    <w:name w:val="小 Char"/>
    <w:qFormat/>
    <w:uiPriority w:val="0"/>
    <w:rPr>
      <w:rFonts w:ascii="宋体" w:hAnsi="Courier New" w:eastAsia="宋体"/>
      <w:kern w:val="2"/>
      <w:sz w:val="21"/>
      <w:lang w:val="en-US" w:eastAsia="zh-CN" w:bidi="ar-SA"/>
    </w:rPr>
  </w:style>
  <w:style w:type="character" w:customStyle="1" w:styleId="85">
    <w:name w:val="文字 Char"/>
    <w:link w:val="86"/>
    <w:qFormat/>
    <w:uiPriority w:val="0"/>
    <w:rPr>
      <w:rFonts w:ascii="宋体"/>
      <w:kern w:val="2"/>
      <w:sz w:val="28"/>
    </w:rPr>
  </w:style>
  <w:style w:type="paragraph" w:customStyle="1" w:styleId="86">
    <w:name w:val="文字"/>
    <w:basedOn w:val="1"/>
    <w:link w:val="85"/>
    <w:qFormat/>
    <w:uiPriority w:val="0"/>
    <w:pPr>
      <w:tabs>
        <w:tab w:val="left" w:pos="8520"/>
      </w:tabs>
      <w:spacing w:line="312" w:lineRule="auto"/>
      <w:ind w:right="-210" w:firstLine="556"/>
    </w:pPr>
    <w:rPr>
      <w:rFonts w:ascii="宋体"/>
    </w:rPr>
  </w:style>
  <w:style w:type="character" w:customStyle="1" w:styleId="87">
    <w:name w:val="v151"/>
    <w:qFormat/>
    <w:uiPriority w:val="0"/>
    <w:rPr>
      <w:sz w:val="18"/>
    </w:rPr>
  </w:style>
  <w:style w:type="character" w:customStyle="1" w:styleId="88">
    <w:name w:val=" Char Char2"/>
    <w:qFormat/>
    <w:uiPriority w:val="0"/>
    <w:rPr>
      <w:rFonts w:eastAsia="宋体"/>
      <w:kern w:val="2"/>
      <w:sz w:val="18"/>
      <w:lang w:val="en-US" w:eastAsia="zh-CN"/>
    </w:rPr>
  </w:style>
  <w:style w:type="character" w:customStyle="1" w:styleId="89">
    <w:name w:val="Table Text Char"/>
    <w:link w:val="90"/>
    <w:qFormat/>
    <w:uiPriority w:val="0"/>
    <w:rPr>
      <w:rFonts w:ascii="Arial" w:hAnsi="Arial"/>
      <w:kern w:val="2"/>
      <w:sz w:val="18"/>
      <w:lang w:val="en-US" w:eastAsia="zh-CN" w:bidi="ar-SA"/>
    </w:rPr>
  </w:style>
  <w:style w:type="paragraph" w:customStyle="1" w:styleId="90">
    <w:name w:val="Table Text"/>
    <w:link w:val="89"/>
    <w:qFormat/>
    <w:uiPriority w:val="0"/>
    <w:pPr>
      <w:snapToGrid w:val="0"/>
      <w:spacing w:before="80" w:after="80"/>
    </w:pPr>
    <w:rPr>
      <w:rFonts w:ascii="Arial" w:hAnsi="Arial" w:eastAsia="宋体" w:cs="Times New Roman"/>
      <w:kern w:val="2"/>
      <w:sz w:val="18"/>
      <w:lang w:val="en-US" w:eastAsia="zh-CN" w:bidi="ar-SA"/>
    </w:rPr>
  </w:style>
  <w:style w:type="character" w:customStyle="1" w:styleId="91">
    <w:name w:val="Table Heading Char Char"/>
    <w:qFormat/>
    <w:uiPriority w:val="0"/>
    <w:rPr>
      <w:rFonts w:ascii="Arial" w:hAnsi="Arial" w:eastAsia="黑体"/>
      <w:kern w:val="2"/>
      <w:sz w:val="18"/>
      <w:lang w:val="en-US" w:eastAsia="zh-CN"/>
    </w:rPr>
  </w:style>
  <w:style w:type="character" w:customStyle="1" w:styleId="92">
    <w:name w:val=" Char Char11"/>
    <w:qFormat/>
    <w:uiPriority w:val="0"/>
    <w:rPr>
      <w:rFonts w:ascii="宋体"/>
      <w:kern w:val="2"/>
      <w:sz w:val="28"/>
    </w:rPr>
  </w:style>
  <w:style w:type="character" w:customStyle="1" w:styleId="93">
    <w:name w:val="样式 宋体"/>
    <w:qFormat/>
    <w:uiPriority w:val="0"/>
    <w:rPr>
      <w:rFonts w:ascii="宋体" w:hAnsi="宋体" w:eastAsia="宋体"/>
      <w:sz w:val="28"/>
    </w:rPr>
  </w:style>
  <w:style w:type="character" w:customStyle="1" w:styleId="94">
    <w:name w:val="正文 + 三号 Char"/>
    <w:qFormat/>
    <w:uiPriority w:val="0"/>
    <w:rPr>
      <w:rFonts w:eastAsia="宋体"/>
      <w:kern w:val="2"/>
      <w:sz w:val="21"/>
      <w:lang w:val="en-US" w:eastAsia="zh-CN"/>
    </w:rPr>
  </w:style>
  <w:style w:type="character" w:customStyle="1" w:styleId="95">
    <w:name w:val="crowed11"/>
    <w:qFormat/>
    <w:uiPriority w:val="0"/>
    <w:rPr>
      <w:rFonts w:hint="default" w:ascii="_x000B__x000C_" w:hAnsi="_x000B__x000C_"/>
      <w:sz w:val="24"/>
    </w:rPr>
  </w:style>
  <w:style w:type="character" w:customStyle="1" w:styleId="96">
    <w:name w:val="font1"/>
    <w:qFormat/>
    <w:uiPriority w:val="0"/>
    <w:rPr>
      <w:color w:val="000000"/>
      <w:sz w:val="18"/>
    </w:rPr>
  </w:style>
  <w:style w:type="character" w:customStyle="1" w:styleId="97">
    <w:name w:val="H2 Char"/>
    <w:qFormat/>
    <w:uiPriority w:val="0"/>
    <w:rPr>
      <w:rFonts w:ascii="Arial" w:hAnsi="Arial" w:eastAsia="宋体"/>
      <w:kern w:val="2"/>
      <w:sz w:val="28"/>
      <w:lang w:val="en-US" w:eastAsia="zh-CN"/>
    </w:rPr>
  </w:style>
  <w:style w:type="character" w:customStyle="1" w:styleId="98">
    <w:name w:val=" Char Char4"/>
    <w:qFormat/>
    <w:uiPriority w:val="0"/>
    <w:rPr>
      <w:rFonts w:eastAsia="宋体"/>
      <w:b/>
      <w:kern w:val="2"/>
      <w:sz w:val="21"/>
      <w:lang w:val="en-US" w:eastAsia="zh-CN"/>
    </w:rPr>
  </w:style>
  <w:style w:type="character" w:customStyle="1" w:styleId="99">
    <w:name w:val="title_emph1"/>
    <w:qFormat/>
    <w:uiPriority w:val="0"/>
    <w:rPr>
      <w:rFonts w:hint="default" w:ascii="Arial" w:hAnsi="Arial"/>
      <w:b/>
      <w:sz w:val="20"/>
    </w:rPr>
  </w:style>
  <w:style w:type="character" w:customStyle="1" w:styleId="100">
    <w:name w:val=" Char Char6"/>
    <w:qFormat/>
    <w:uiPriority w:val="0"/>
    <w:rPr>
      <w:rFonts w:ascii="仿宋_GB2312" w:eastAsia="仿宋_GB2312"/>
      <w:kern w:val="2"/>
      <w:sz w:val="32"/>
    </w:rPr>
  </w:style>
  <w:style w:type="character" w:customStyle="1" w:styleId="101">
    <w:name w:val="top-det1"/>
    <w:qFormat/>
    <w:uiPriority w:val="0"/>
    <w:rPr>
      <w:b/>
      <w:color w:val="000000"/>
    </w:rPr>
  </w:style>
  <w:style w:type="character" w:customStyle="1" w:styleId="102">
    <w:name w:val=" Char Char5"/>
    <w:qFormat/>
    <w:uiPriority w:val="0"/>
    <w:rPr>
      <w:rFonts w:ascii="Arial" w:hAnsi="Arial" w:eastAsia="宋体"/>
      <w:b/>
      <w:smallCaps/>
      <w:kern w:val="28"/>
      <w:sz w:val="36"/>
      <w:lang w:val="en-US" w:eastAsia="en-US"/>
    </w:rPr>
  </w:style>
  <w:style w:type="character" w:customStyle="1" w:styleId="103">
    <w:name w:val="标书正文:  0.74 厘米 Char1"/>
    <w:qFormat/>
    <w:uiPriority w:val="0"/>
    <w:rPr>
      <w:rFonts w:eastAsia="宋体"/>
      <w:kern w:val="2"/>
      <w:sz w:val="24"/>
      <w:lang w:val="en-US" w:eastAsia="zh-CN"/>
    </w:rPr>
  </w:style>
  <w:style w:type="character" w:customStyle="1" w:styleId="104">
    <w:name w:val="Table Text Char1 Char"/>
    <w:qFormat/>
    <w:uiPriority w:val="0"/>
    <w:rPr>
      <w:rFonts w:ascii="Arial" w:hAnsi="Arial"/>
      <w:kern w:val="2"/>
      <w:sz w:val="18"/>
      <w:lang w:val="en-US" w:eastAsia="zh-CN" w:bidi="ar-SA"/>
    </w:rPr>
  </w:style>
  <w:style w:type="character" w:customStyle="1" w:styleId="105">
    <w:name w:val=" Char Char"/>
    <w:qFormat/>
    <w:uiPriority w:val="0"/>
    <w:rPr>
      <w:rFonts w:ascii="宋体" w:hAnsi="宋体" w:eastAsia="宋体"/>
      <w:kern w:val="2"/>
      <w:sz w:val="24"/>
      <w:lang w:val="en-US" w:eastAsia="zh-CN" w:bidi="ar-SA"/>
    </w:rPr>
  </w:style>
  <w:style w:type="paragraph" w:customStyle="1" w:styleId="106">
    <w:name w:val="IN Feature"/>
    <w:next w:val="107"/>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07">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08">
    <w:name w:val="表文字"/>
    <w:qFormat/>
    <w:uiPriority w:val="0"/>
    <w:rPr>
      <w:rFonts w:ascii="宋体" w:hAnsi="Times New Roman" w:eastAsia="宋体" w:cs="Times New Roman"/>
      <w:kern w:val="2"/>
      <w:lang w:val="en-US" w:eastAsia="zh-CN" w:bidi="ar-SA"/>
    </w:rPr>
  </w:style>
  <w:style w:type="paragraph" w:customStyle="1" w:styleId="109">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10">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1">
    <w:name w:val="Char1 Char Char Char"/>
    <w:basedOn w:val="1"/>
    <w:qFormat/>
    <w:uiPriority w:val="0"/>
    <w:rPr>
      <w:rFonts w:ascii="Tahoma" w:hAnsi="Tahoma"/>
      <w:sz w:val="30"/>
    </w:rPr>
  </w:style>
  <w:style w:type="paragraph" w:customStyle="1" w:styleId="112">
    <w:name w:val="二级列表"/>
    <w:basedOn w:val="113"/>
    <w:next w:val="113"/>
    <w:qFormat/>
    <w:uiPriority w:val="0"/>
    <w:pPr>
      <w:tabs>
        <w:tab w:val="left" w:pos="2120"/>
      </w:tabs>
      <w:ind w:firstLine="0" w:firstLineChars="0"/>
    </w:pPr>
    <w:rPr>
      <w:b/>
    </w:rPr>
  </w:style>
  <w:style w:type="paragraph" w:customStyle="1" w:styleId="113">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4">
    <w:name w:val="00"/>
    <w:basedOn w:val="1"/>
    <w:qFormat/>
    <w:uiPriority w:val="0"/>
    <w:pPr>
      <w:autoSpaceDE w:val="0"/>
      <w:autoSpaceDN w:val="0"/>
      <w:adjustRightInd w:val="0"/>
      <w:jc w:val="left"/>
    </w:pPr>
    <w:rPr>
      <w:rFonts w:ascii="黑体" w:eastAsia="黑体"/>
      <w:b/>
      <w:kern w:val="0"/>
      <w:sz w:val="20"/>
    </w:rPr>
  </w:style>
  <w:style w:type="paragraph" w:customStyle="1" w:styleId="115">
    <w:name w:val="1.正文"/>
    <w:basedOn w:val="1"/>
    <w:qFormat/>
    <w:uiPriority w:val="0"/>
    <w:pPr>
      <w:spacing w:line="360" w:lineRule="auto"/>
      <w:ind w:left="540" w:leftChars="225" w:firstLine="540" w:firstLineChars="225"/>
    </w:pPr>
    <w:rPr>
      <w:sz w:val="24"/>
    </w:rPr>
  </w:style>
  <w:style w:type="paragraph" w:customStyle="1" w:styleId="116">
    <w:name w:val="内容标题"/>
    <w:basedOn w:val="18"/>
    <w:qFormat/>
    <w:uiPriority w:val="0"/>
    <w:rPr>
      <w:rFonts w:ascii="Tahoma" w:hAnsi="Tahoma"/>
      <w:sz w:val="24"/>
    </w:rPr>
  </w:style>
  <w:style w:type="paragraph" w:customStyle="1" w:styleId="117">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18">
    <w:name w:val="表头"/>
    <w:basedOn w:val="119"/>
    <w:qFormat/>
    <w:uiPriority w:val="0"/>
    <w:pPr>
      <w:jc w:val="center"/>
    </w:pPr>
    <w:rPr>
      <w:b/>
      <w:bCs/>
    </w:rPr>
  </w:style>
  <w:style w:type="paragraph" w:customStyle="1" w:styleId="119">
    <w:name w:val="表格正文"/>
    <w:basedOn w:val="1"/>
    <w:qFormat/>
    <w:uiPriority w:val="0"/>
    <w:rPr>
      <w:rFonts w:ascii="Calibri" w:hAnsi="Calibri" w:eastAsia="仿宋" w:cs="宋体"/>
      <w:sz w:val="24"/>
    </w:rPr>
  </w:style>
  <w:style w:type="paragraph" w:customStyle="1" w:styleId="120">
    <w:name w:val="正文1"/>
    <w:basedOn w:val="1"/>
    <w:qFormat/>
    <w:uiPriority w:val="0"/>
    <w:pPr>
      <w:spacing w:line="300" w:lineRule="auto"/>
      <w:ind w:firstLine="200" w:firstLineChars="200"/>
    </w:pPr>
    <w:rPr>
      <w:sz w:val="24"/>
    </w:rPr>
  </w:style>
  <w:style w:type="paragraph" w:customStyle="1" w:styleId="121">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22">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23">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2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25">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6">
    <w:name w:val="Title - Date"/>
    <w:basedOn w:val="53"/>
    <w:next w:val="1"/>
    <w:qFormat/>
    <w:uiPriority w:val="0"/>
    <w:pPr>
      <w:spacing w:before="240" w:beforeLines="0" w:beforeAutospacing="0" w:after="720" w:afterLines="0" w:afterAutospacing="0"/>
    </w:pPr>
    <w:rPr>
      <w:sz w:val="28"/>
    </w:rPr>
  </w:style>
  <w:style w:type="paragraph" w:customStyle="1" w:styleId="127">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128">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29">
    <w:name w:val=" Char1 Char Char Char"/>
    <w:basedOn w:val="1"/>
    <w:qFormat/>
    <w:uiPriority w:val="0"/>
    <w:rPr>
      <w:rFonts w:ascii="Tahoma" w:hAnsi="Tahoma"/>
      <w:sz w:val="24"/>
    </w:rPr>
  </w:style>
  <w:style w:type="paragraph" w:customStyle="1" w:styleId="130">
    <w:name w:val=" Char1"/>
    <w:basedOn w:val="1"/>
    <w:qFormat/>
    <w:uiPriority w:val="0"/>
    <w:rPr>
      <w:sz w:val="21"/>
    </w:rPr>
  </w:style>
  <w:style w:type="paragraph" w:customStyle="1" w:styleId="131">
    <w:name w:val="表头样式"/>
    <w:basedOn w:val="1"/>
    <w:qFormat/>
    <w:uiPriority w:val="0"/>
    <w:pPr>
      <w:autoSpaceDE w:val="0"/>
      <w:autoSpaceDN w:val="0"/>
      <w:adjustRightInd w:val="0"/>
      <w:spacing w:line="360" w:lineRule="auto"/>
      <w:jc w:val="left"/>
    </w:pPr>
    <w:rPr>
      <w:b/>
      <w:kern w:val="0"/>
      <w:sz w:val="21"/>
    </w:rPr>
  </w:style>
  <w:style w:type="paragraph" w:customStyle="1" w:styleId="132">
    <w:name w:val="样式 正文缩进正文（首行缩进两字）表正文正文非缩进特点标题4段1 + 首行缩进:  2 字符"/>
    <w:basedOn w:val="16"/>
    <w:qFormat/>
    <w:uiPriority w:val="0"/>
    <w:pPr>
      <w:ind w:firstLine="480" w:firstLineChars="200"/>
    </w:pPr>
  </w:style>
  <w:style w:type="paragraph" w:customStyle="1" w:styleId="133">
    <w:name w:val="样式4"/>
    <w:basedOn w:val="6"/>
    <w:qFormat/>
    <w:uiPriority w:val="0"/>
    <w:pPr>
      <w:adjustRightInd w:val="0"/>
      <w:snapToGrid w:val="0"/>
    </w:pPr>
  </w:style>
  <w:style w:type="paragraph" w:customStyle="1" w:styleId="134">
    <w:name w:val="Body Text Indent 2"/>
    <w:basedOn w:val="1"/>
    <w:qFormat/>
    <w:uiPriority w:val="0"/>
    <w:pPr>
      <w:adjustRightInd w:val="0"/>
      <w:spacing w:before="120" w:beforeLines="0" w:beforeAutospacing="0"/>
      <w:ind w:firstLine="420"/>
      <w:textAlignment w:val="baseline"/>
    </w:pPr>
    <w:rPr>
      <w:sz w:val="24"/>
    </w:rPr>
  </w:style>
  <w:style w:type="paragraph" w:customStyle="1" w:styleId="135">
    <w:name w:val="首行缩进 1"/>
    <w:basedOn w:val="1"/>
    <w:qFormat/>
    <w:uiPriority w:val="0"/>
    <w:pPr>
      <w:spacing w:after="120" w:afterLines="0" w:afterAutospacing="0" w:line="360" w:lineRule="auto"/>
      <w:ind w:firstLine="200" w:firstLineChars="200"/>
    </w:pPr>
    <w:rPr>
      <w:sz w:val="24"/>
    </w:rPr>
  </w:style>
  <w:style w:type="paragraph" w:customStyle="1" w:styleId="136">
    <w:name w:val="样式 首行缩进:  0.74 厘米"/>
    <w:basedOn w:val="1"/>
    <w:qFormat/>
    <w:uiPriority w:val="0"/>
    <w:pPr>
      <w:spacing w:line="360" w:lineRule="auto"/>
      <w:ind w:firstLine="420"/>
    </w:pPr>
    <w:rPr>
      <w:sz w:val="24"/>
    </w:rPr>
  </w:style>
  <w:style w:type="paragraph" w:customStyle="1" w:styleId="137">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38">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39">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40">
    <w:name w:val="Title - Revision"/>
    <w:basedOn w:val="53"/>
    <w:qFormat/>
    <w:uiPriority w:val="0"/>
    <w:pPr>
      <w:spacing w:before="720" w:beforeLines="0" w:beforeAutospacing="0"/>
    </w:pPr>
  </w:style>
  <w:style w:type="paragraph" w:customStyle="1" w:styleId="141">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4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43">
    <w:name w:val="1"/>
    <w:basedOn w:val="1"/>
    <w:next w:val="30"/>
    <w:qFormat/>
    <w:uiPriority w:val="0"/>
    <w:rPr>
      <w:rFonts w:ascii="宋体" w:hAnsi="Courier New"/>
      <w:sz w:val="21"/>
    </w:rPr>
  </w:style>
  <w:style w:type="paragraph" w:customStyle="1" w:styleId="144">
    <w:name w:val="Table Contents"/>
    <w:basedOn w:val="2"/>
    <w:qFormat/>
    <w:uiPriority w:val="0"/>
    <w:pPr>
      <w:suppressAutoHyphens/>
      <w:jc w:val="left"/>
    </w:pPr>
    <w:rPr>
      <w:rFonts w:ascii="Times New Roman" w:eastAsia="Times New Roman"/>
      <w:kern w:val="0"/>
      <w:sz w:val="24"/>
    </w:rPr>
  </w:style>
  <w:style w:type="paragraph" w:customStyle="1" w:styleId="145">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46">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7">
    <w:name w:val="Char Char Char Char Char Char Char"/>
    <w:basedOn w:val="18"/>
    <w:qFormat/>
    <w:uiPriority w:val="0"/>
    <w:rPr>
      <w:rFonts w:ascii="宋体" w:hAnsi="Tahoma"/>
    </w:rPr>
  </w:style>
  <w:style w:type="paragraph" w:customStyle="1" w:styleId="148">
    <w:name w:val="默认段落字体 Para Char Char Char Char Char Char Char Char Char1 Char Char Char Char"/>
    <w:basedOn w:val="1"/>
    <w:qFormat/>
    <w:uiPriority w:val="0"/>
    <w:rPr>
      <w:rFonts w:ascii="Tahoma" w:hAnsi="Tahoma"/>
      <w:sz w:val="24"/>
    </w:rPr>
  </w:style>
  <w:style w:type="paragraph" w:customStyle="1" w:styleId="149">
    <w:name w:val="标题无"/>
    <w:basedOn w:val="1"/>
    <w:qFormat/>
    <w:uiPriority w:val="0"/>
    <w:pPr>
      <w:spacing w:line="360" w:lineRule="auto"/>
    </w:pPr>
    <w:rPr>
      <w:sz w:val="24"/>
    </w:rPr>
  </w:style>
  <w:style w:type="paragraph" w:customStyle="1" w:styleId="150">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1">
    <w:name w:val="二级条标题"/>
    <w:basedOn w:val="152"/>
    <w:next w:val="154"/>
    <w:qFormat/>
    <w:uiPriority w:val="0"/>
    <w:pPr>
      <w:ind w:left="840"/>
      <w:outlineLvl w:val="3"/>
    </w:pPr>
  </w:style>
  <w:style w:type="paragraph" w:customStyle="1" w:styleId="152">
    <w:name w:val="一级条标题"/>
    <w:basedOn w:val="153"/>
    <w:next w:val="154"/>
    <w:qFormat/>
    <w:uiPriority w:val="0"/>
    <w:pPr>
      <w:numPr>
        <w:ilvl w:val="1"/>
        <w:numId w:val="0"/>
      </w:numPr>
      <w:spacing w:before="0" w:beforeLines="0" w:beforeAutospacing="0" w:after="0" w:afterLines="0" w:afterAutospacing="0"/>
      <w:ind w:left="525"/>
      <w:outlineLvl w:val="2"/>
    </w:pPr>
    <w:rPr>
      <w:sz w:val="21"/>
    </w:rPr>
  </w:style>
  <w:style w:type="paragraph" w:customStyle="1" w:styleId="153">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56">
    <w:name w:val="关键词"/>
    <w:basedOn w:val="1"/>
    <w:next w:val="1"/>
    <w:qFormat/>
    <w:uiPriority w:val="0"/>
    <w:pPr>
      <w:spacing w:line="360" w:lineRule="auto"/>
    </w:pPr>
    <w:rPr>
      <w:rFonts w:eastAsia="黑体"/>
      <w:sz w:val="20"/>
    </w:rPr>
  </w:style>
  <w:style w:type="paragraph" w:customStyle="1" w:styleId="157">
    <w:name w:val="样式2"/>
    <w:basedOn w:val="6"/>
    <w:qFormat/>
    <w:uiPriority w:val="0"/>
    <w:pPr>
      <w:numPr>
        <w:ilvl w:val="0"/>
        <w:numId w:val="7"/>
      </w:numPr>
      <w:spacing w:before="560" w:beforeLines="0" w:line="400" w:lineRule="exact"/>
      <w:jc w:val="center"/>
      <w:outlineLvl w:val="0"/>
    </w:pPr>
    <w:rPr>
      <w:b w:val="0"/>
      <w:sz w:val="44"/>
    </w:rPr>
  </w:style>
  <w:style w:type="paragraph" w:customStyle="1" w:styleId="158">
    <w:name w:val="表头文本"/>
    <w:qFormat/>
    <w:uiPriority w:val="0"/>
    <w:pPr>
      <w:jc w:val="center"/>
    </w:pPr>
    <w:rPr>
      <w:rFonts w:ascii="Arial" w:hAnsi="Arial" w:eastAsia="宋体" w:cs="Times New Roman"/>
      <w:b/>
      <w:sz w:val="21"/>
      <w:lang w:val="en-US" w:eastAsia="zh-CN" w:bidi="ar-SA"/>
    </w:rPr>
  </w:style>
  <w:style w:type="paragraph" w:customStyle="1" w:styleId="159">
    <w:name w:val="_Style 156"/>
    <w:qFormat/>
    <w:uiPriority w:val="0"/>
    <w:rPr>
      <w:rFonts w:ascii="Times New Roman" w:hAnsi="Times New Roman" w:eastAsia="宋体" w:cs="Times New Roman"/>
      <w:kern w:val="2"/>
      <w:sz w:val="21"/>
      <w:lang w:val="en-US" w:eastAsia="zh-CN" w:bidi="ar-SA"/>
    </w:rPr>
  </w:style>
  <w:style w:type="paragraph" w:customStyle="1" w:styleId="16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6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16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63">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64">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65">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66">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7">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68">
    <w:name w:val="样式1xz"/>
    <w:basedOn w:val="1"/>
    <w:qFormat/>
    <w:uiPriority w:val="0"/>
    <w:pPr>
      <w:tabs>
        <w:tab w:val="left" w:pos="1050"/>
        <w:tab w:val="right" w:leader="dot" w:pos="8296"/>
      </w:tabs>
    </w:pPr>
    <w:rPr>
      <w:caps/>
      <w:spacing w:val="20"/>
      <w:sz w:val="24"/>
    </w:rPr>
  </w:style>
  <w:style w:type="paragraph" w:customStyle="1" w:styleId="169">
    <w:name w:val="样式 宋体 五号 行距: 单倍行距"/>
    <w:basedOn w:val="1"/>
    <w:qFormat/>
    <w:uiPriority w:val="0"/>
    <w:pPr>
      <w:adjustRightInd w:val="0"/>
      <w:jc w:val="left"/>
    </w:pPr>
    <w:rPr>
      <w:rFonts w:ascii="宋体" w:hAnsi="宋体"/>
      <w:kern w:val="0"/>
      <w:sz w:val="21"/>
    </w:rPr>
  </w:style>
  <w:style w:type="paragraph" w:customStyle="1" w:styleId="170">
    <w:name w:val="图片文字"/>
    <w:basedOn w:val="1"/>
    <w:qFormat/>
    <w:uiPriority w:val="0"/>
    <w:pPr>
      <w:spacing w:line="240" w:lineRule="atLeast"/>
      <w:jc w:val="center"/>
    </w:pPr>
    <w:rPr>
      <w:sz w:val="21"/>
    </w:rPr>
  </w:style>
  <w:style w:type="paragraph" w:customStyle="1" w:styleId="171">
    <w:name w:val="Char"/>
    <w:basedOn w:val="1"/>
    <w:qFormat/>
    <w:uiPriority w:val="0"/>
    <w:pPr>
      <w:spacing w:line="240" w:lineRule="atLeast"/>
      <w:ind w:left="420" w:firstLine="420"/>
    </w:pPr>
    <w:rPr>
      <w:kern w:val="0"/>
      <w:sz w:val="21"/>
    </w:rPr>
  </w:style>
  <w:style w:type="paragraph" w:customStyle="1" w:styleId="172">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3">
    <w:name w:val="Note"/>
    <w:basedOn w:val="1"/>
    <w:qFormat/>
    <w:uiPriority w:val="0"/>
    <w:pPr>
      <w:pBdr>
        <w:top w:val="single" w:color="auto" w:sz="12" w:space="3"/>
        <w:bottom w:val="single" w:color="auto" w:sz="12" w:space="3"/>
      </w:pBdr>
      <w:spacing w:line="360" w:lineRule="auto"/>
    </w:pPr>
    <w:rPr>
      <w:sz w:val="24"/>
    </w:rPr>
  </w:style>
  <w:style w:type="paragraph" w:customStyle="1" w:styleId="174">
    <w:name w:val=" Char"/>
    <w:basedOn w:val="1"/>
    <w:qFormat/>
    <w:uiPriority w:val="0"/>
    <w:pPr>
      <w:spacing w:line="240" w:lineRule="atLeast"/>
      <w:ind w:left="420" w:firstLine="420"/>
    </w:pPr>
    <w:rPr>
      <w:kern w:val="0"/>
      <w:sz w:val="21"/>
    </w:rPr>
  </w:style>
  <w:style w:type="paragraph" w:customStyle="1" w:styleId="175">
    <w:name w:val=" Char Char Char"/>
    <w:basedOn w:val="1"/>
    <w:qFormat/>
    <w:uiPriority w:val="0"/>
    <w:rPr>
      <w:rFonts w:ascii="Tahoma" w:hAnsi="Tahoma"/>
      <w:sz w:val="24"/>
    </w:rPr>
  </w:style>
  <w:style w:type="paragraph" w:customStyle="1" w:styleId="176">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7">
    <w:name w:val="标书正文:  0.74 厘米"/>
    <w:basedOn w:val="1"/>
    <w:qFormat/>
    <w:uiPriority w:val="0"/>
    <w:pPr>
      <w:snapToGrid w:val="0"/>
      <w:spacing w:line="360" w:lineRule="auto"/>
      <w:ind w:firstLine="420"/>
    </w:pPr>
    <w:rPr>
      <w:sz w:val="24"/>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80">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81">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82">
    <w:name w:val=" Char Char14 Char Char"/>
    <w:basedOn w:val="1"/>
    <w:qFormat/>
    <w:uiPriority w:val="0"/>
    <w:rPr>
      <w:sz w:val="21"/>
      <w:szCs w:val="24"/>
    </w:rPr>
  </w:style>
  <w:style w:type="paragraph" w:customStyle="1" w:styleId="183">
    <w:name w:val="表号"/>
    <w:basedOn w:val="1"/>
    <w:qFormat/>
    <w:uiPriority w:val="0"/>
    <w:pPr>
      <w:numPr>
        <w:ilvl w:val="0"/>
        <w:numId w:val="8"/>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84">
    <w:name w:val="可研正文"/>
    <w:basedOn w:val="2"/>
    <w:qFormat/>
    <w:uiPriority w:val="0"/>
    <w:pPr>
      <w:adjustRightInd w:val="0"/>
      <w:snapToGrid w:val="0"/>
      <w:spacing w:line="440" w:lineRule="exact"/>
      <w:ind w:firstLine="567"/>
    </w:pPr>
    <w:rPr>
      <w:sz w:val="28"/>
    </w:rPr>
  </w:style>
  <w:style w:type="paragraph" w:customStyle="1" w:styleId="18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86">
    <w:name w:val="首行缩进"/>
    <w:basedOn w:val="1"/>
    <w:qFormat/>
    <w:uiPriority w:val="0"/>
    <w:pPr>
      <w:numPr>
        <w:ilvl w:val="0"/>
        <w:numId w:val="9"/>
      </w:numPr>
      <w:spacing w:line="360" w:lineRule="auto"/>
    </w:pPr>
    <w:rPr>
      <w:rFonts w:eastAsia="仿宋_GB2312"/>
    </w:rPr>
  </w:style>
  <w:style w:type="paragraph" w:customStyle="1" w:styleId="187">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8">
    <w:name w:val="正文 + 三号"/>
    <w:basedOn w:val="1"/>
    <w:qFormat/>
    <w:uiPriority w:val="0"/>
    <w:rPr>
      <w:sz w:val="21"/>
    </w:rPr>
  </w:style>
  <w:style w:type="paragraph" w:customStyle="1" w:styleId="189">
    <w:name w:val=" Char Char1 Char"/>
    <w:basedOn w:val="1"/>
    <w:qFormat/>
    <w:uiPriority w:val="0"/>
    <w:rPr>
      <w:rFonts w:ascii="Tahoma" w:hAnsi="Tahoma"/>
      <w:sz w:val="24"/>
      <w:szCs w:val="24"/>
    </w:rPr>
  </w:style>
  <w:style w:type="paragraph" w:customStyle="1" w:styleId="190">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9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92">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93">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94">
    <w:name w:val="样式 正文首行缩进 2 + 首行缩进:  2 字符"/>
    <w:basedOn w:val="1"/>
    <w:qFormat/>
    <w:uiPriority w:val="0"/>
    <w:pPr>
      <w:numPr>
        <w:ilvl w:val="0"/>
        <w:numId w:val="10"/>
      </w:numPr>
      <w:adjustRightInd w:val="0"/>
      <w:snapToGrid w:val="0"/>
      <w:spacing w:line="360" w:lineRule="auto"/>
    </w:pPr>
    <w:rPr>
      <w:rFonts w:ascii="Arial" w:hAnsi="Arial"/>
      <w:b/>
      <w:sz w:val="24"/>
    </w:rPr>
  </w:style>
  <w:style w:type="paragraph" w:customStyle="1" w:styleId="195">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196">
    <w:name w:val="摘要"/>
    <w:basedOn w:val="1"/>
    <w:next w:val="4"/>
    <w:qFormat/>
    <w:uiPriority w:val="0"/>
    <w:pPr>
      <w:spacing w:line="360" w:lineRule="auto"/>
    </w:pPr>
    <w:rPr>
      <w:rFonts w:eastAsia="黑体"/>
      <w:sz w:val="20"/>
    </w:rPr>
  </w:style>
  <w:style w:type="paragraph" w:customStyle="1" w:styleId="197">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98">
    <w:name w:val="正文（首行不缩进）"/>
    <w:basedOn w:val="1"/>
    <w:qFormat/>
    <w:uiPriority w:val="0"/>
    <w:pPr>
      <w:autoSpaceDE w:val="0"/>
      <w:autoSpaceDN w:val="0"/>
      <w:adjustRightInd w:val="0"/>
      <w:spacing w:line="360" w:lineRule="auto"/>
      <w:jc w:val="left"/>
    </w:pPr>
    <w:rPr>
      <w:kern w:val="0"/>
      <w:sz w:val="21"/>
    </w:rPr>
  </w:style>
  <w:style w:type="paragraph" w:customStyle="1" w:styleId="199">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200">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201">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02">
    <w:name w:val="操作步骤"/>
    <w:basedOn w:val="1"/>
    <w:qFormat/>
    <w:uiPriority w:val="0"/>
    <w:pPr>
      <w:numPr>
        <w:ilvl w:val="0"/>
        <w:numId w:val="11"/>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03">
    <w:name w:val=" Char2 Char Char Char Char Char Char"/>
    <w:basedOn w:val="1"/>
    <w:qFormat/>
    <w:uiPriority w:val="0"/>
    <w:rPr>
      <w:rFonts w:ascii="仿宋_GB2312"/>
      <w:b/>
      <w:sz w:val="30"/>
    </w:rPr>
  </w:style>
  <w:style w:type="paragraph" w:customStyle="1" w:styleId="204">
    <w:name w:val="简单回函地址"/>
    <w:basedOn w:val="1"/>
    <w:qFormat/>
    <w:uiPriority w:val="0"/>
    <w:pPr>
      <w:adjustRightInd w:val="0"/>
      <w:snapToGrid w:val="0"/>
      <w:spacing w:line="360" w:lineRule="auto"/>
    </w:pPr>
    <w:rPr>
      <w:sz w:val="24"/>
    </w:rPr>
  </w:style>
  <w:style w:type="paragraph" w:customStyle="1" w:styleId="205">
    <w:name w:val="样式 样式 首行缩进:  2 字符 + 首行缩进:  2 字符"/>
    <w:basedOn w:val="1"/>
    <w:qFormat/>
    <w:uiPriority w:val="0"/>
    <w:pPr>
      <w:numPr>
        <w:ilvl w:val="0"/>
        <w:numId w:val="12"/>
      </w:numPr>
      <w:tabs>
        <w:tab w:val="clear" w:pos="1230"/>
      </w:tabs>
      <w:spacing w:line="360" w:lineRule="auto"/>
      <w:ind w:firstLine="480" w:firstLineChars="200"/>
    </w:pPr>
    <w:rPr>
      <w:sz w:val="24"/>
    </w:rPr>
  </w:style>
  <w:style w:type="paragraph" w:customStyle="1" w:styleId="20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207">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208">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209">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0">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211">
    <w:name w:val="文本1"/>
    <w:basedOn w:val="1"/>
    <w:qFormat/>
    <w:uiPriority w:val="0"/>
    <w:pPr>
      <w:adjustRightInd w:val="0"/>
      <w:spacing w:line="312" w:lineRule="atLeast"/>
      <w:jc w:val="center"/>
      <w:textAlignment w:val="baseline"/>
    </w:pPr>
    <w:rPr>
      <w:kern w:val="0"/>
      <w:sz w:val="18"/>
    </w:rPr>
  </w:style>
  <w:style w:type="paragraph" w:customStyle="1" w:styleId="212">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213">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216">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217">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18">
    <w:name w:val="Item List"/>
    <w:qFormat/>
    <w:uiPriority w:val="0"/>
    <w:pPr>
      <w:numPr>
        <w:ilvl w:val="0"/>
        <w:numId w:val="13"/>
      </w:numPr>
      <w:spacing w:line="300" w:lineRule="auto"/>
      <w:jc w:val="both"/>
    </w:pPr>
    <w:rPr>
      <w:rFonts w:ascii="Arial" w:hAnsi="Arial" w:eastAsia="宋体" w:cs="Times New Roman"/>
      <w:sz w:val="21"/>
      <w:lang w:val="en-US" w:eastAsia="zh-CN" w:bidi="ar-SA"/>
    </w:rPr>
  </w:style>
  <w:style w:type="paragraph" w:customStyle="1" w:styleId="219">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220">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221">
    <w:name w:val="af"/>
    <w:basedOn w:val="1"/>
    <w:qFormat/>
    <w:uiPriority w:val="0"/>
    <w:pPr>
      <w:widowControl/>
      <w:spacing w:line="300" w:lineRule="atLeast"/>
      <w:jc w:val="left"/>
    </w:pPr>
    <w:rPr>
      <w:rFonts w:ascii="宋体" w:hAnsi="宋体"/>
      <w:kern w:val="0"/>
      <w:sz w:val="18"/>
    </w:rPr>
  </w:style>
  <w:style w:type="paragraph" w:customStyle="1" w:styleId="222">
    <w:name w:val="文章正文"/>
    <w:basedOn w:val="1"/>
    <w:qFormat/>
    <w:uiPriority w:val="0"/>
    <w:pPr>
      <w:ind w:firstLine="560" w:firstLineChars="200"/>
    </w:pPr>
    <w:rPr>
      <w:rFonts w:ascii="仿宋_GB2312" w:hAnsi="宋体" w:eastAsia="仿宋_GB2312"/>
      <w:color w:val="000000"/>
    </w:rPr>
  </w:style>
  <w:style w:type="paragraph" w:customStyle="1" w:styleId="223">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224">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25">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22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22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28">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229">
    <w:name w:val="默认段落字体 Para Char Char Char Char Char Char Char"/>
    <w:basedOn w:val="1"/>
    <w:qFormat/>
    <w:uiPriority w:val="0"/>
    <w:rPr>
      <w:rFonts w:ascii="Tahoma" w:hAnsi="Tahoma"/>
      <w:sz w:val="24"/>
    </w:rPr>
  </w:style>
  <w:style w:type="paragraph" w:customStyle="1" w:styleId="230">
    <w:name w:val="编号正文"/>
    <w:basedOn w:val="199"/>
    <w:qFormat/>
    <w:uiPriority w:val="0"/>
    <w:pPr>
      <w:snapToGrid/>
      <w:spacing w:line="360" w:lineRule="auto"/>
      <w:ind w:left="1407" w:hanging="1047"/>
      <w:jc w:val="left"/>
    </w:pPr>
    <w:rPr>
      <w:rFonts w:eastAsia="仿宋_GB2312"/>
    </w:rPr>
  </w:style>
  <w:style w:type="paragraph" w:customStyle="1" w:styleId="231">
    <w:name w:val="表格内文字"/>
    <w:basedOn w:val="30"/>
    <w:qFormat/>
    <w:uiPriority w:val="0"/>
    <w:pPr>
      <w:adjustRightInd w:val="0"/>
    </w:pPr>
    <w:rPr>
      <w:color w:val="000000"/>
      <w:lang w:val="en-GB"/>
    </w:rPr>
  </w:style>
  <w:style w:type="paragraph" w:customStyle="1" w:styleId="232">
    <w:name w:val="样式 行距: 1.5 倍行距1"/>
    <w:basedOn w:val="1"/>
    <w:qFormat/>
    <w:uiPriority w:val="0"/>
    <w:pPr>
      <w:snapToGrid w:val="0"/>
    </w:pPr>
    <w:rPr>
      <w:sz w:val="21"/>
    </w:rPr>
  </w:style>
  <w:style w:type="paragraph" w:customStyle="1" w:styleId="233">
    <w:name w:val=" Char Char Char Char Char Char Char"/>
    <w:basedOn w:val="1"/>
    <w:qFormat/>
    <w:uiPriority w:val="0"/>
    <w:rPr>
      <w:rFonts w:ascii="Tahoma" w:hAnsi="Tahoma"/>
      <w:sz w:val="24"/>
    </w:rPr>
  </w:style>
  <w:style w:type="paragraph" w:customStyle="1" w:styleId="234">
    <w:name w:val="表格文本"/>
    <w:qFormat/>
    <w:uiPriority w:val="0"/>
    <w:pPr>
      <w:tabs>
        <w:tab w:val="decimal" w:pos="0"/>
      </w:tabs>
    </w:pPr>
    <w:rPr>
      <w:rFonts w:ascii="Arial" w:hAnsi="Arial" w:eastAsia="宋体" w:cs="Times New Roman"/>
      <w:sz w:val="21"/>
      <w:lang w:val="en-US" w:eastAsia="zh-CN" w:bidi="ar-SA"/>
    </w:rPr>
  </w:style>
  <w:style w:type="paragraph" w:customStyle="1" w:styleId="235">
    <w:name w:val="正文表格"/>
    <w:basedOn w:val="1"/>
    <w:qFormat/>
    <w:uiPriority w:val="0"/>
    <w:pPr>
      <w:adjustRightInd w:val="0"/>
      <w:spacing w:before="40" w:beforeLines="0" w:beforeAutospacing="0" w:after="40" w:afterLines="0" w:afterAutospacing="0"/>
    </w:pPr>
    <w:rPr>
      <w:sz w:val="24"/>
    </w:rPr>
  </w:style>
  <w:style w:type="paragraph" w:customStyle="1" w:styleId="236">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237">
    <w:name w:val=" Char Char Char Char Char Char Char Char Char Char Char Char Char Char Char Char"/>
    <w:basedOn w:val="1"/>
    <w:qFormat/>
    <w:uiPriority w:val="0"/>
    <w:pPr>
      <w:tabs>
        <w:tab w:val="left" w:pos="360"/>
      </w:tabs>
    </w:pPr>
    <w:rPr>
      <w:sz w:val="24"/>
    </w:rPr>
  </w:style>
  <w:style w:type="paragraph" w:customStyle="1" w:styleId="238">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39">
    <w:name w:val="标准正文"/>
    <w:basedOn w:val="23"/>
    <w:qFormat/>
    <w:uiPriority w:val="0"/>
    <w:pPr>
      <w:spacing w:before="60" w:beforeLines="0" w:after="60" w:afterLines="0" w:line="360" w:lineRule="auto"/>
      <w:ind w:left="0" w:firstLine="482"/>
    </w:pPr>
    <w:rPr>
      <w:rFonts w:ascii="Arial" w:hAnsi="Arial"/>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34</Pages>
  <Words>13606</Words>
  <Characters>14249</Characters>
  <Lines>166</Lines>
  <Paragraphs>46</Paragraphs>
  <TotalTime>0</TotalTime>
  <ScaleCrop>false</ScaleCrop>
  <LinksUpToDate>false</LinksUpToDate>
  <CharactersWithSpaces>15786</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2022-06-13T08:38:00Z</dcterms:created>
  <dc:creator>罗成</dc:creator>
  <cp:lastModifiedBy>周洋</cp:lastModifiedBy>
  <cp:lastPrinted>2022-05-18T09:11:00Z</cp:lastPrinted>
  <dcterms:modified xsi:type="dcterms:W3CDTF">2023-03-07T01:26:20Z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A2F1A15EF037402887C7EC738A533758</vt:lpwstr>
  </property>
</Properties>
</file>