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全自动生化免疫分析流水线系统市场调查参数</w:t>
      </w:r>
      <w:bookmarkEnd w:id="0"/>
    </w:p>
    <w:tbl>
      <w:tblPr>
        <w:tblStyle w:val="3"/>
        <w:tblW w:w="756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6559"/>
      </w:tblGrid>
      <w:tr>
        <w:trPr>
          <w:trHeight w:val="1063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全自动生化免疫分析流水线系统应由同一轨道连接多台仪器，可实现样本在线装载、离心、去盖、全自动生化检测、全自动免疫检测、加膜（盖）、自动再次上线复检、后处理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以及免费开放流水线，拓展接入其他仪器等功能。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 w:val="24"/>
              </w:rPr>
              <w:t>样本进样模块：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2.1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进样处理能力≥1200管/小时, 采用倾倒方式进样。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2.2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具备急诊插入，急诊优先处理功能（包括离心、进样、检测等模块）；适配医院所用所有类型样品管。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2.3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可对试管拍照识别试管类型、管盖类型/颜色、样本体积、样本液位检测和读取条码ID，自动判断血清质量，对溶血、脂血、黄疸的标本进行监测。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 w:val="24"/>
              </w:rPr>
              <w:t>离心机模块：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3.1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离心机总处理能力≥900管/小时；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3.1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低温可调（2-8℃），最大离心力≥3000g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 w:val="24"/>
              </w:rPr>
              <w:t>去盖模块：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4.1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去盖模块处理能力≥1200管/小时,支持多种类型的样本管盖去盖；且能根据管帽颜色及类型自动识别是否去盖。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4.2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去盖方式为螺旋开盖，避免开盖造成的样本溅出，造成污染。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 w:val="24"/>
              </w:rPr>
              <w:t>出样模块：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5.1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最小出样模块处理能力≥1200管/小时。可自定义预设出样区≥5个。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 w:val="24"/>
              </w:rPr>
              <w:t>加盖模块：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6.1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单加盖模块处理能力≥1200管/小时,使用通用型样本管盖,支持多种类型的样本管盖的加盖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说明加盖方式和成本/每人份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 w:val="24"/>
              </w:rPr>
              <w:t>样本后存储系统：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7.1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处理能力≥800管/小时,支持多种类型样本管存储；样本容量≥12000管。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7.2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系统自动定位和调取样品回到线上重新测定、过期样品预设自动丢弃。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 w:val="24"/>
              </w:rPr>
              <w:t>轨道系统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8.1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extAlignment w:val="bottom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流水线系统连接具有灵活性，样本流程灵活；单轨运输速度≥1000管/小时；满足门急诊优先策略（100样本量/批次）；生化分析仪接口≥2个、免疫分析仪接口≥4个。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8.2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extAlignment w:val="bottom"/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流水线需包括常规样本轨道、急诊样本轨道和样本返回轨道,急诊样本可通过急诊轨道优先进入分析单元进行检测。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9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 w:val="24"/>
              </w:rPr>
              <w:t>全自动生化分析单元：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9.1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总光学检测速度≥2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00测试/小时，总电解质速度≥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00测试/小时；（单个光学模块的处理能力≥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00测试/小时,单个电解质模块的处理能力≥600测试/小时）。根据医院业务需要提供软硬件升级，不另外付费。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9.2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全自动生化分析单元具有自动稀释,自动重测,凝块检测,液面感应,血清指数检测（无单独成本）功能；检测方法学至少包括:终点法、速率法、固定时间法、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免疫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比浊法、间接离子选择电极法。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9.3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全自动生化分析仪连接流水线后仍具备手工样本架批量进样模式,单次进样量≥200样本。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9.4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反应杯的混匀采用超声波混匀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或者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机械式混匀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其携带污染率应≤10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vertAlign w:val="superscript"/>
                <w:lang w:val="en-US" w:eastAsia="zh-CN"/>
              </w:rPr>
              <w:t>-5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9.5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可在运行中不停机装载卸载试剂耗材；重检功能:对异常结果标本实行实时或批量自动重检,如遇特高浓度的样本,可以自动进行稀释后复检。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9.6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生化试剂系统:免费开放试剂通道,满足任意选择不同厂家试剂使用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9.7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所有试剂（包括质控品和校准品）能溯源至国际参考物质或参考方法并提供溯源报告，能达到检验医学科ISO 15189质量管理体系要求。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9.8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提供生化仪免疫球蛋白检测项目清单和技术参数。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9.9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是否具备前带监测、底物过剩监测等功能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 w:val="24"/>
              </w:rPr>
              <w:t>全自动免疫分析单元：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10.1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检测原理:化学发光免疫分析技术。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10.2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免疫分析仪器总测试速度≥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1000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测试/小时，单模块测试速度≥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00测试/小时。根据医院业务需要提供软硬件升级。不另外付费。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10.3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可在运行中不停机装载卸载试剂耗材；重检功能:对异常结果标本实行实时或批量自动重检,如遇特高浓度的样本,可以自动进行稀释后复检。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10.4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急诊样品:可在任何时间即时插入急诊样品,即时测试。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10.5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采用一次性tip头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或者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钢针加样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其携带污染率应≤10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vertAlign w:val="superscript"/>
                <w:lang w:val="en-US" w:eastAsia="zh-CN"/>
              </w:rPr>
              <w:t>-5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10.6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项目试剂盒有原厂母定标曲线信息,所有检测项目用户只需做≤2点试剂定标,批定标有效期≥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个月,批内免定标；定标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lang w:val="en-US" w:eastAsia="zh-CN"/>
              </w:rPr>
              <w:t>消耗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由厂家定期补足所有定标试剂和消耗品。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10.7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所有试剂（包括质控品和校准品）能溯源至国际参考物质或参考方法并提供溯源报告，能达到检验医学科ISO 15189质量管理体系要求。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lang w:val="en-US" w:eastAsia="zh-CN"/>
              </w:rPr>
              <w:t>11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 w:val="24"/>
              </w:rPr>
              <w:t>数据管理系统: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11.1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能够集中控制并管理在线仪器,可实时监控检测的标本状态和追踪标本位置信息以及仪器运行状态、试剂和耗材信息。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11.2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开放数据接口并能与本院LIS系统连接,提供数据接口文档；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11.3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具有结果自动审核功能,能够结合仪器报警、测试项目正常范围、质控结果、差值校验以及客户自定义规则作自动审核,并建立危急值管理。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11.4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</w:rPr>
              <w:t>数据管理系统具有大屏幕管理功能,支持危急值管理,样本TAT管理、仪器质控状态及样本工作量管理等功能,及时提醒危急值、TAT超时、异常质控状态。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11.5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Times New Roman"/>
                <w:color w:val="auto"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val="en-US" w:eastAsia="zh-CN"/>
              </w:rPr>
              <w:t>所有项目是否有卫生部室间质评单独分组，提供清单和最近一个周期的报告；没有备注说明。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11.6</w:t>
            </w:r>
          </w:p>
        </w:tc>
        <w:tc>
          <w:tcPr>
            <w:tcW w:w="6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val="en-US" w:eastAsia="zh-CN"/>
              </w:rPr>
              <w:t>市场占有率，尤其是重庆市场，其中是否有通过ISO15189认可的实验室。（提供相应证明资料）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2.提供以下表中所有项目的单人份试剂和耗材价格。表一中的试剂必须为原装配套试剂，表2中的试剂如不能提供原装配套试剂，试剂生产厂家不超过3家；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表一：</w:t>
      </w:r>
    </w:p>
    <w:tbl>
      <w:tblPr>
        <w:tblStyle w:val="4"/>
        <w:tblW w:w="86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362"/>
        <w:gridCol w:w="6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试剂名称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乙肝五项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HBsAg、HBsAb、HBeAg、HBeAb、HBcAb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优生优育IgG和IgM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TOX、RuV、CMV等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HIV第四代抗原抗体联合检测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艾滋（HIV）第四代抗原抗体联合检测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丙肝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丙肝（HCV）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梅毒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梅毒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10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电解质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钾K、钠Na、氯Cl、钙Ca、磷PHOS、镁Mg、二氧化碳CO</w:t>
            </w:r>
            <w:r>
              <w:rPr>
                <w:rFonts w:hint="eastAsia" w:ascii="宋体" w:hAnsi="宋体" w:eastAsia="宋体" w:cs="宋体"/>
                <w:color w:val="auto"/>
                <w:sz w:val="24"/>
                <w:vertAlign w:val="sub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11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肝功能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总胆红素TBIL、直接胆红素DBIL、总蛋白TP、白蛋白ALB、谷丙氨酸氨基转氨酶ALT、天门冬氨酸氨基转移酶AST、碱性磷酸酶ALP、γ-谷氨酰转移酶GGT、胆碱酯酶CHE、乳酸脱氢酶LDH、前白蛋白PA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12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肾功能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尿酸UA、肌酐CREA酶法、尿素UN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13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血脂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胆固醇TCH、甘油三酯TG、高密度脂蛋白HDL-C、低密度脂肪蛋白LDL-C、脂蛋白Lp（a）、载脂蛋白APO A1、载脂蛋白APO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14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糖代谢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血糖GLU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15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肌酶谱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肌酸激酶CK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16</w:t>
            </w:r>
          </w:p>
        </w:tc>
        <w:tc>
          <w:tcPr>
            <w:tcW w:w="136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胰腺功能</w:t>
            </w:r>
          </w:p>
        </w:tc>
        <w:tc>
          <w:tcPr>
            <w:tcW w:w="65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淀粉酶AMY、脂肪酶LIP</w:t>
            </w:r>
          </w:p>
        </w:tc>
      </w:tr>
    </w:tbl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表二</w:t>
      </w:r>
    </w:p>
    <w:tbl>
      <w:tblPr>
        <w:tblStyle w:val="4"/>
        <w:tblW w:w="86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440"/>
        <w:gridCol w:w="6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650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试剂名称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肝功能</w:t>
            </w:r>
          </w:p>
        </w:tc>
        <w:tc>
          <w:tcPr>
            <w:tcW w:w="650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胆汁酸TBA、视黄醇结合蛋白RBP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谷胱甘肽还原酶GR、腺苷脱氨酶ADA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肾功能</w:t>
            </w:r>
          </w:p>
        </w:tc>
        <w:tc>
          <w:tcPr>
            <w:tcW w:w="650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胱抑素CYS-C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糖代谢</w:t>
            </w:r>
          </w:p>
        </w:tc>
        <w:tc>
          <w:tcPr>
            <w:tcW w:w="650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β-羟丁酸D3HB、游离脂肪酸NEFA、丙酮酸PYR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脂联素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肌酶谱</w:t>
            </w:r>
          </w:p>
        </w:tc>
        <w:tc>
          <w:tcPr>
            <w:tcW w:w="650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α-羟丁酸脱氢酶α-HBDH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优生优育</w:t>
            </w:r>
          </w:p>
        </w:tc>
        <w:tc>
          <w:tcPr>
            <w:tcW w:w="650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HSV1/2等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Anti-CCP</w:t>
            </w:r>
          </w:p>
        </w:tc>
        <w:tc>
          <w:tcPr>
            <w:tcW w:w="650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Anti-CCP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免疫球蛋白</w:t>
            </w:r>
          </w:p>
        </w:tc>
        <w:tc>
          <w:tcPr>
            <w:tcW w:w="6504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IgA/IgG/IgM/IgE/C3/C4/IgG亚类/C1q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1440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血清指数</w:t>
            </w:r>
          </w:p>
        </w:tc>
        <w:tc>
          <w:tcPr>
            <w:tcW w:w="6504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溶血黄疸脂血HIL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eastAsia="宋体" w:cs="宋体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520FE"/>
    <w:rsid w:val="014C2F8F"/>
    <w:rsid w:val="025C1A8B"/>
    <w:rsid w:val="02917C27"/>
    <w:rsid w:val="02DD4FE1"/>
    <w:rsid w:val="03724EC0"/>
    <w:rsid w:val="045F1CBB"/>
    <w:rsid w:val="04F7077C"/>
    <w:rsid w:val="06921793"/>
    <w:rsid w:val="06A050DA"/>
    <w:rsid w:val="06C63ED6"/>
    <w:rsid w:val="06DB7080"/>
    <w:rsid w:val="06EF7551"/>
    <w:rsid w:val="06F11A22"/>
    <w:rsid w:val="08C31EC9"/>
    <w:rsid w:val="08C33B78"/>
    <w:rsid w:val="094277F1"/>
    <w:rsid w:val="0A5A064E"/>
    <w:rsid w:val="0B82203D"/>
    <w:rsid w:val="0B933BF7"/>
    <w:rsid w:val="0BE171A3"/>
    <w:rsid w:val="0C61493D"/>
    <w:rsid w:val="0C9C4D37"/>
    <w:rsid w:val="0D9F3A30"/>
    <w:rsid w:val="0E1E6B4C"/>
    <w:rsid w:val="0E845B2A"/>
    <w:rsid w:val="0E900F8B"/>
    <w:rsid w:val="0E9E5826"/>
    <w:rsid w:val="0ED25F7D"/>
    <w:rsid w:val="0EF818D0"/>
    <w:rsid w:val="0F536DF3"/>
    <w:rsid w:val="0FC66EE7"/>
    <w:rsid w:val="0FD3410C"/>
    <w:rsid w:val="1017588D"/>
    <w:rsid w:val="103C4E7F"/>
    <w:rsid w:val="10B97BE9"/>
    <w:rsid w:val="11285FD6"/>
    <w:rsid w:val="11611C0F"/>
    <w:rsid w:val="117778CE"/>
    <w:rsid w:val="11BE599B"/>
    <w:rsid w:val="127C5A75"/>
    <w:rsid w:val="133038A0"/>
    <w:rsid w:val="13985948"/>
    <w:rsid w:val="14036076"/>
    <w:rsid w:val="145B2467"/>
    <w:rsid w:val="148408B9"/>
    <w:rsid w:val="148C5E21"/>
    <w:rsid w:val="169274F8"/>
    <w:rsid w:val="16B35114"/>
    <w:rsid w:val="16BD3342"/>
    <w:rsid w:val="16E56548"/>
    <w:rsid w:val="17012C45"/>
    <w:rsid w:val="171F0673"/>
    <w:rsid w:val="1935751B"/>
    <w:rsid w:val="193D05A2"/>
    <w:rsid w:val="1940658E"/>
    <w:rsid w:val="194D4668"/>
    <w:rsid w:val="194F2D97"/>
    <w:rsid w:val="19A367B1"/>
    <w:rsid w:val="1A3D6A4C"/>
    <w:rsid w:val="1A9C7B3F"/>
    <w:rsid w:val="1AC76FA9"/>
    <w:rsid w:val="1BC26633"/>
    <w:rsid w:val="1C2704EB"/>
    <w:rsid w:val="1C294952"/>
    <w:rsid w:val="1C7E216F"/>
    <w:rsid w:val="1D1A7EF8"/>
    <w:rsid w:val="1D313A4E"/>
    <w:rsid w:val="1D4913CC"/>
    <w:rsid w:val="1D5F2AE0"/>
    <w:rsid w:val="1D7E7F8E"/>
    <w:rsid w:val="1E68049B"/>
    <w:rsid w:val="1FA91EBC"/>
    <w:rsid w:val="1FA966EE"/>
    <w:rsid w:val="1FF62305"/>
    <w:rsid w:val="202C5B1B"/>
    <w:rsid w:val="20441608"/>
    <w:rsid w:val="209309E5"/>
    <w:rsid w:val="20D52B84"/>
    <w:rsid w:val="21196EEE"/>
    <w:rsid w:val="21354AB4"/>
    <w:rsid w:val="219D11CA"/>
    <w:rsid w:val="23167A99"/>
    <w:rsid w:val="23C4345E"/>
    <w:rsid w:val="245F0690"/>
    <w:rsid w:val="25154670"/>
    <w:rsid w:val="27044346"/>
    <w:rsid w:val="28127E97"/>
    <w:rsid w:val="283D6C6F"/>
    <w:rsid w:val="286C6D39"/>
    <w:rsid w:val="29294F60"/>
    <w:rsid w:val="2AF110AF"/>
    <w:rsid w:val="2BBB3782"/>
    <w:rsid w:val="2C473151"/>
    <w:rsid w:val="2C67169E"/>
    <w:rsid w:val="2CCA7E35"/>
    <w:rsid w:val="2DCE282B"/>
    <w:rsid w:val="2EE13AF8"/>
    <w:rsid w:val="2F0C51C1"/>
    <w:rsid w:val="2FF03A2F"/>
    <w:rsid w:val="30142680"/>
    <w:rsid w:val="302A1282"/>
    <w:rsid w:val="324A223F"/>
    <w:rsid w:val="336E6CF5"/>
    <w:rsid w:val="33A34DF3"/>
    <w:rsid w:val="35320ACC"/>
    <w:rsid w:val="359935B1"/>
    <w:rsid w:val="35D73DAA"/>
    <w:rsid w:val="363F4519"/>
    <w:rsid w:val="37274676"/>
    <w:rsid w:val="37345C84"/>
    <w:rsid w:val="373B78EC"/>
    <w:rsid w:val="38216DC9"/>
    <w:rsid w:val="38CD161E"/>
    <w:rsid w:val="39AD042F"/>
    <w:rsid w:val="39DA0AB8"/>
    <w:rsid w:val="39EE3018"/>
    <w:rsid w:val="3A092745"/>
    <w:rsid w:val="3A5B49B8"/>
    <w:rsid w:val="3BC70D7E"/>
    <w:rsid w:val="3C1B7739"/>
    <w:rsid w:val="3CA153C6"/>
    <w:rsid w:val="3CC54D36"/>
    <w:rsid w:val="3CE1739D"/>
    <w:rsid w:val="3D7067E4"/>
    <w:rsid w:val="3D96513D"/>
    <w:rsid w:val="3DDE51D9"/>
    <w:rsid w:val="3E162433"/>
    <w:rsid w:val="3E2442A3"/>
    <w:rsid w:val="3E461D18"/>
    <w:rsid w:val="3F3A465D"/>
    <w:rsid w:val="3FE060DB"/>
    <w:rsid w:val="40C93E7A"/>
    <w:rsid w:val="411C1A53"/>
    <w:rsid w:val="41767702"/>
    <w:rsid w:val="41794022"/>
    <w:rsid w:val="42091A8C"/>
    <w:rsid w:val="421434C8"/>
    <w:rsid w:val="42493A9F"/>
    <w:rsid w:val="42821A74"/>
    <w:rsid w:val="42A107D4"/>
    <w:rsid w:val="42F67539"/>
    <w:rsid w:val="43796E2A"/>
    <w:rsid w:val="43CC00EB"/>
    <w:rsid w:val="44115B44"/>
    <w:rsid w:val="4447082D"/>
    <w:rsid w:val="45475FEB"/>
    <w:rsid w:val="45495105"/>
    <w:rsid w:val="45FA2A10"/>
    <w:rsid w:val="46943149"/>
    <w:rsid w:val="46FD5C4E"/>
    <w:rsid w:val="48C327D8"/>
    <w:rsid w:val="48DC33DF"/>
    <w:rsid w:val="49262783"/>
    <w:rsid w:val="4AC15EA5"/>
    <w:rsid w:val="4BA041F4"/>
    <w:rsid w:val="4C445FBB"/>
    <w:rsid w:val="4C9E1C07"/>
    <w:rsid w:val="4CC81C35"/>
    <w:rsid w:val="4D2C4D02"/>
    <w:rsid w:val="4D47786E"/>
    <w:rsid w:val="4DDF6218"/>
    <w:rsid w:val="4E0E7BF9"/>
    <w:rsid w:val="4EC365F8"/>
    <w:rsid w:val="4ED44F2C"/>
    <w:rsid w:val="4EFB074D"/>
    <w:rsid w:val="4F040331"/>
    <w:rsid w:val="50B034FC"/>
    <w:rsid w:val="52A34B3D"/>
    <w:rsid w:val="536D782E"/>
    <w:rsid w:val="53814624"/>
    <w:rsid w:val="54C60813"/>
    <w:rsid w:val="55066A82"/>
    <w:rsid w:val="557401A6"/>
    <w:rsid w:val="55AF4A98"/>
    <w:rsid w:val="55D92E08"/>
    <w:rsid w:val="560C6EE4"/>
    <w:rsid w:val="56231241"/>
    <w:rsid w:val="57ED6D9A"/>
    <w:rsid w:val="583F0EA4"/>
    <w:rsid w:val="58AB7B2D"/>
    <w:rsid w:val="58D3233F"/>
    <w:rsid w:val="59934E77"/>
    <w:rsid w:val="59F93769"/>
    <w:rsid w:val="5A6E0D03"/>
    <w:rsid w:val="5B853F55"/>
    <w:rsid w:val="5BB37DF1"/>
    <w:rsid w:val="5BE86AAF"/>
    <w:rsid w:val="5CB76EA2"/>
    <w:rsid w:val="5D67605E"/>
    <w:rsid w:val="5E841D20"/>
    <w:rsid w:val="5ED52A8B"/>
    <w:rsid w:val="60022C75"/>
    <w:rsid w:val="60EE2F03"/>
    <w:rsid w:val="618212DB"/>
    <w:rsid w:val="630442B5"/>
    <w:rsid w:val="630E60FD"/>
    <w:rsid w:val="65652594"/>
    <w:rsid w:val="66B42CAA"/>
    <w:rsid w:val="670E2962"/>
    <w:rsid w:val="67812133"/>
    <w:rsid w:val="69732FF0"/>
    <w:rsid w:val="6A3D7271"/>
    <w:rsid w:val="6B730775"/>
    <w:rsid w:val="6CC01B81"/>
    <w:rsid w:val="6CFF2630"/>
    <w:rsid w:val="6D2E6A90"/>
    <w:rsid w:val="6DC55433"/>
    <w:rsid w:val="6F903FEF"/>
    <w:rsid w:val="70097559"/>
    <w:rsid w:val="70100BDC"/>
    <w:rsid w:val="70B176AC"/>
    <w:rsid w:val="70B33A1C"/>
    <w:rsid w:val="70C97327"/>
    <w:rsid w:val="72BB416B"/>
    <w:rsid w:val="7449157A"/>
    <w:rsid w:val="74B81C0C"/>
    <w:rsid w:val="75D166DA"/>
    <w:rsid w:val="76213C1C"/>
    <w:rsid w:val="77F558CD"/>
    <w:rsid w:val="78DF6E5B"/>
    <w:rsid w:val="798520FE"/>
    <w:rsid w:val="798F5890"/>
    <w:rsid w:val="79A0287E"/>
    <w:rsid w:val="79AB727F"/>
    <w:rsid w:val="79B17139"/>
    <w:rsid w:val="7B72569B"/>
    <w:rsid w:val="7C2B1EB0"/>
    <w:rsid w:val="7D100318"/>
    <w:rsid w:val="7E2A1388"/>
    <w:rsid w:val="7E3542A9"/>
    <w:rsid w:val="7E6F26B0"/>
    <w:rsid w:val="7EA668B3"/>
    <w:rsid w:val="7ED5012E"/>
    <w:rsid w:val="7F043C8D"/>
    <w:rsid w:val="7FE6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table" w:customStyle="1" w:styleId="7">
    <w:name w:val="List Table 3 Accent 5"/>
    <w:basedOn w:val="3"/>
    <w:qFormat/>
    <w:uiPriority w:val="48"/>
    <w:tblPr>
      <w:tblBorders>
        <w:top w:val="single" w:color="30C0B4" w:themeColor="accent5" w:sz="4" w:space="0"/>
        <w:left w:val="single" w:color="30C0B4" w:themeColor="accent5" w:sz="4" w:space="0"/>
        <w:bottom w:val="single" w:color="30C0B4" w:themeColor="accent5" w:sz="4" w:space="0"/>
        <w:right w:val="single" w:color="30C0B4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0C0B4" w:themeFill="accent5"/>
      </w:tcPr>
    </w:tblStylePr>
    <w:tblStylePr w:type="lastRow">
      <w:rPr>
        <w:b/>
        <w:bCs/>
      </w:rPr>
      <w:tcPr>
        <w:tcBorders>
          <w:top w:val="double" w:color="30C0B4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30C0B4" w:themeColor="accent5" w:sz="4" w:space="0"/>
          <w:right w:val="single" w:color="30C0B4" w:themeColor="accent5" w:sz="4" w:space="0"/>
        </w:tcBorders>
      </w:tcPr>
    </w:tblStylePr>
    <w:tblStylePr w:type="band1Horz">
      <w:tcPr>
        <w:tcBorders>
          <w:top w:val="single" w:color="30C0B4" w:themeColor="accent5" w:sz="4" w:space="0"/>
          <w:bottom w:val="single" w:color="30C0B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30C0B4" w:themeColor="accent5" w:sz="4" w:space="0"/>
          <w:left w:val="nil"/>
        </w:tcBorders>
      </w:tcPr>
    </w:tblStylePr>
    <w:tblStylePr w:type="swCell">
      <w:tcPr>
        <w:tcBorders>
          <w:top w:val="double" w:color="30C0B4" w:themeColor="accent5" w:sz="4" w:space="0"/>
          <w:right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2247</Words>
  <Characters>2593</Characters>
  <Lines>0</Lines>
  <Paragraphs>0</Paragraphs>
  <TotalTime>130</TotalTime>
  <ScaleCrop>false</ScaleCrop>
  <LinksUpToDate>false</LinksUpToDate>
  <CharactersWithSpaces>2598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2025-03-01T07:04:00Z</dcterms:created>
  <dc:creator>王寒</dc:creator>
  <cp:lastModifiedBy>Administrator</cp:lastModifiedBy>
  <dcterms:modified xsi:type="dcterms:W3CDTF">2025-08-22T07:25:32Z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66965177FB0B43D9B9C0C6C11FF1C225</vt:lpwstr>
  </property>
  <property fmtid="{D5CDD505-2E9C-101B-9397-08002B2CF9AE}" pid="4" name="KSOTemplateDocerSaveRecord">
    <vt:lpwstr>eyJoZGlkIjoiYzkyMTkzNGRhZDA3M2IxYjgwMjg1N2Q2ZDJkYTBmMmQiLCJ1c2VySWQiOiI0MzM0ODkyMTIifQ==</vt:lpwstr>
  </property>
</Properties>
</file>