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360" w:lineRule="auto"/>
        <w:jc w:val="center"/>
        <w:rPr>
          <w:rFonts w:hint="eastAsia" w:ascii="宋体" w:hAnsi="宋体" w:eastAsia="宋体" w:cs="宋体"/>
          <w:b/>
          <w:bCs/>
          <w:sz w:val="32"/>
          <w:szCs w:val="32"/>
        </w:rPr>
      </w:pPr>
      <w:r>
        <w:rPr>
          <w:rFonts w:hint="eastAsia" w:ascii="宋体" w:hAnsi="宋体" w:eastAsia="宋体" w:cs="宋体"/>
          <w:b/>
          <w:bCs/>
          <w:sz w:val="32"/>
          <w:szCs w:val="32"/>
        </w:rPr>
        <w:t>重庆医科大学附属儿童医院高低压配电系统、柴油发电机及UPS运维服务项目招标市场调查公告</w:t>
      </w:r>
    </w:p>
    <w:p>
      <w:pPr>
        <w:spacing w:line="360" w:lineRule="auto"/>
        <w:ind w:firstLine="520" w:firstLineChars="200"/>
        <w:jc w:val="left"/>
        <w:rPr>
          <w:rFonts w:hint="eastAsia" w:ascii="宋体" w:hAnsi="宋体" w:eastAsia="宋体" w:cs="宋体"/>
          <w:b w:val="0"/>
          <w:bCs w:val="0"/>
          <w:kern w:val="44"/>
          <w:sz w:val="26"/>
          <w:szCs w:val="26"/>
          <w:lang w:val="en-US" w:eastAsia="zh-CN" w:bidi="ar"/>
        </w:rPr>
      </w:pPr>
      <w:r>
        <w:rPr>
          <w:rFonts w:hint="eastAsia" w:ascii="宋体" w:hAnsi="宋体" w:eastAsia="宋体" w:cs="宋体"/>
          <w:b w:val="0"/>
          <w:bCs w:val="0"/>
          <w:kern w:val="44"/>
          <w:sz w:val="26"/>
          <w:szCs w:val="26"/>
          <w:lang w:val="en-US" w:eastAsia="zh-CN" w:bidi="ar"/>
        </w:rPr>
        <w:t>重庆医科大学附属儿童医院拟对渝中与两江院区高低压配电系统、柴油发电机及UPS运维招标进行前期市场调查，邀请有合作意向且符合条件的单位参与，现将有关事项公告如下：</w:t>
      </w:r>
    </w:p>
    <w:p>
      <w:pPr>
        <w:pStyle w:val="4"/>
        <w:keepNext w:val="0"/>
        <w:keepLines w:val="0"/>
        <w:widowControl/>
        <w:numPr>
          <w:ilvl w:val="0"/>
          <w:numId w:val="1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75" w:afterAutospacing="0" w:line="315" w:lineRule="atLeast"/>
        <w:ind w:left="0" w:right="0" w:firstLine="450"/>
        <w:rPr>
          <w:rFonts w:hint="eastAsia" w:ascii="宋体" w:hAnsi="宋体" w:eastAsia="宋体" w:cs="宋体"/>
          <w:b/>
          <w:bCs/>
          <w:kern w:val="44"/>
          <w:sz w:val="26"/>
          <w:szCs w:val="26"/>
          <w:lang w:val="en-US" w:eastAsia="zh-CN" w:bidi="ar"/>
        </w:rPr>
      </w:pPr>
      <w:r>
        <w:rPr>
          <w:rFonts w:hint="eastAsia" w:ascii="宋体" w:hAnsi="宋体" w:eastAsia="宋体" w:cs="宋体"/>
          <w:b/>
          <w:bCs/>
          <w:kern w:val="44"/>
          <w:sz w:val="26"/>
          <w:szCs w:val="26"/>
          <w:lang w:val="en-US" w:eastAsia="zh-CN" w:bidi="ar"/>
        </w:rPr>
        <w:t>调查范围与项目简述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75" w:afterAutospacing="0" w:line="315" w:lineRule="atLeast"/>
        <w:ind w:left="0" w:right="0" w:firstLine="450"/>
        <w:rPr>
          <w:rFonts w:hint="eastAsia" w:ascii="宋体" w:hAnsi="宋体" w:eastAsia="宋体" w:cs="宋体"/>
          <w:b w:val="0"/>
          <w:bCs w:val="0"/>
          <w:kern w:val="44"/>
          <w:sz w:val="26"/>
          <w:szCs w:val="26"/>
          <w:lang w:val="en-US" w:eastAsia="zh-CN" w:bidi="ar"/>
        </w:rPr>
      </w:pPr>
      <w:r>
        <w:rPr>
          <w:rFonts w:hint="eastAsia" w:ascii="宋体" w:hAnsi="宋体" w:eastAsia="宋体" w:cs="宋体"/>
          <w:b w:val="0"/>
          <w:bCs w:val="0"/>
          <w:kern w:val="44"/>
          <w:sz w:val="26"/>
          <w:szCs w:val="26"/>
          <w:lang w:val="en-US" w:eastAsia="zh-CN" w:bidi="ar"/>
        </w:rPr>
        <w:t>（一）设备范围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75" w:afterAutospacing="0" w:line="315" w:lineRule="atLeast"/>
        <w:ind w:left="0" w:right="0" w:firstLine="450"/>
        <w:rPr>
          <w:rFonts w:hint="default" w:ascii="宋体" w:hAnsi="宋体" w:eastAsia="宋体" w:cs="宋体"/>
          <w:b w:val="0"/>
          <w:bCs w:val="0"/>
          <w:kern w:val="44"/>
          <w:sz w:val="26"/>
          <w:szCs w:val="26"/>
          <w:lang w:val="en-US" w:eastAsia="zh-CN" w:bidi="ar"/>
        </w:rPr>
      </w:pPr>
      <w:r>
        <w:rPr>
          <w:rFonts w:hint="eastAsia" w:ascii="宋体" w:hAnsi="宋体" w:eastAsia="宋体" w:cs="宋体"/>
          <w:b w:val="0"/>
          <w:bCs w:val="0"/>
          <w:kern w:val="44"/>
          <w:sz w:val="26"/>
          <w:szCs w:val="26"/>
          <w:lang w:val="en-US" w:eastAsia="zh-CN" w:bidi="ar"/>
        </w:rPr>
        <w:t>重庆医科大学附属儿童医院渝中院区与两江院区共计有3个高压开闭所、13个高低压配电房（两江院区四期投用后，将增加1个配电房），其内部包含高压配电柜、高压外线电缆、低压配电柜、PT柜、变压器、直流屏等。渝中院区有2条10KVA高压外线，渝中院区共计11台变压器，总容量为10650KVA；两江院区有6条10KVA高压外线，配电房内共计27台变压器，合计容量36200KVA。两院区共有6台柴油发电机、162台UPS备用电源（ups设备数量可能根据现场实际情况而存在变化）。</w:t>
      </w:r>
      <w:bookmarkStart w:id="0" w:name="_GoBack"/>
      <w:bookmarkEnd w:id="0"/>
    </w:p>
    <w:p>
      <w:pPr>
        <w:pStyle w:val="4"/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75" w:afterAutospacing="0" w:line="315" w:lineRule="atLeast"/>
        <w:ind w:left="450" w:leftChars="0" w:right="0" w:rightChars="0"/>
        <w:rPr>
          <w:rFonts w:hint="eastAsia" w:ascii="宋体" w:hAnsi="宋体" w:eastAsia="宋体" w:cs="宋体"/>
          <w:b w:val="0"/>
          <w:bCs w:val="0"/>
          <w:kern w:val="44"/>
          <w:sz w:val="26"/>
          <w:szCs w:val="26"/>
          <w:lang w:val="en-US" w:eastAsia="zh-CN" w:bidi="ar"/>
        </w:rPr>
      </w:pPr>
      <w:r>
        <w:rPr>
          <w:rFonts w:hint="eastAsia" w:ascii="宋体" w:hAnsi="宋体" w:eastAsia="宋体" w:cs="宋体"/>
          <w:b w:val="0"/>
          <w:bCs w:val="0"/>
          <w:kern w:val="44"/>
          <w:sz w:val="26"/>
          <w:szCs w:val="26"/>
          <w:lang w:val="en-US" w:eastAsia="zh-CN" w:bidi="ar"/>
        </w:rPr>
        <w:t>（二）工作范围</w:t>
      </w:r>
    </w:p>
    <w:p>
      <w:pPr>
        <w:pStyle w:val="4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75" w:afterAutospacing="0" w:line="315" w:lineRule="atLeast"/>
        <w:ind w:left="0" w:leftChars="0" w:right="0" w:rightChars="0" w:firstLine="520" w:firstLineChars="200"/>
        <w:textAlignment w:val="auto"/>
        <w:rPr>
          <w:rFonts w:hint="eastAsia" w:ascii="宋体" w:hAnsi="宋体" w:eastAsia="宋体" w:cs="宋体"/>
          <w:b w:val="0"/>
          <w:bCs w:val="0"/>
          <w:kern w:val="44"/>
          <w:sz w:val="26"/>
          <w:szCs w:val="26"/>
          <w:lang w:val="en-US" w:eastAsia="zh-CN" w:bidi="ar"/>
        </w:rPr>
      </w:pPr>
      <w:r>
        <w:rPr>
          <w:rFonts w:hint="eastAsia" w:ascii="宋体" w:hAnsi="宋体" w:eastAsia="宋体" w:cs="宋体"/>
          <w:b w:val="0"/>
          <w:bCs w:val="0"/>
          <w:kern w:val="44"/>
          <w:sz w:val="26"/>
          <w:szCs w:val="26"/>
          <w:lang w:val="en-US" w:eastAsia="zh-CN" w:bidi="ar"/>
        </w:rPr>
        <w:t>1.负责</w:t>
      </w:r>
      <w:r>
        <w:rPr>
          <w:rFonts w:hint="eastAsia" w:ascii="宋体" w:hAnsi="宋体" w:eastAsia="宋体" w:cs="宋体"/>
          <w:color w:val="auto"/>
          <w:sz w:val="26"/>
          <w:szCs w:val="26"/>
        </w:rPr>
        <w:t>实现所有配电室“无人值班，少人值守”</w:t>
      </w:r>
      <w:r>
        <w:rPr>
          <w:rFonts w:hint="eastAsia" w:ascii="宋体" w:hAnsi="宋体" w:eastAsia="宋体" w:cs="宋体"/>
          <w:color w:val="auto"/>
          <w:sz w:val="26"/>
          <w:szCs w:val="26"/>
          <w:lang w:eastAsia="zh-CN"/>
        </w:rPr>
        <w:t>，</w:t>
      </w:r>
      <w:r>
        <w:rPr>
          <w:rFonts w:hint="eastAsia" w:ascii="宋体" w:hAnsi="宋体" w:eastAsia="宋体" w:cs="宋体"/>
          <w:color w:val="auto"/>
          <w:sz w:val="26"/>
          <w:szCs w:val="26"/>
          <w:lang w:val="en-US" w:eastAsia="zh-CN"/>
        </w:rPr>
        <w:t>完善已有电力监控</w:t>
      </w:r>
      <w:r>
        <w:rPr>
          <w:rFonts w:hint="eastAsia" w:ascii="宋体" w:hAnsi="宋体" w:eastAsia="宋体" w:cs="宋体"/>
          <w:color w:val="auto"/>
          <w:sz w:val="26"/>
          <w:szCs w:val="26"/>
        </w:rPr>
        <w:t>系统</w:t>
      </w:r>
      <w:r>
        <w:rPr>
          <w:rFonts w:hint="eastAsia" w:ascii="宋体" w:hAnsi="宋体" w:eastAsia="宋体" w:cs="宋体"/>
          <w:color w:val="auto"/>
          <w:sz w:val="26"/>
          <w:szCs w:val="26"/>
          <w:lang w:val="en-US" w:eastAsia="zh-CN"/>
        </w:rPr>
        <w:t>和</w:t>
      </w:r>
      <w:r>
        <w:rPr>
          <w:rFonts w:hint="eastAsia" w:ascii="宋体" w:hAnsi="宋体" w:eastAsia="宋体" w:cs="宋体"/>
          <w:color w:val="auto"/>
          <w:sz w:val="26"/>
          <w:szCs w:val="26"/>
        </w:rPr>
        <w:t>手机APP或微信小程序</w:t>
      </w:r>
      <w:r>
        <w:rPr>
          <w:rFonts w:hint="eastAsia" w:ascii="宋体" w:hAnsi="宋体" w:eastAsia="宋体" w:cs="宋体"/>
          <w:color w:val="auto"/>
          <w:sz w:val="26"/>
          <w:szCs w:val="26"/>
          <w:lang w:val="en-US" w:eastAsia="zh-CN"/>
        </w:rPr>
        <w:t>的功能以及后续的日常维护维修升级，</w:t>
      </w:r>
      <w:r>
        <w:rPr>
          <w:rFonts w:hint="eastAsia" w:ascii="宋体" w:hAnsi="宋体" w:eastAsia="宋体" w:cs="宋体"/>
          <w:b w:val="0"/>
          <w:bCs w:val="0"/>
          <w:kern w:val="44"/>
          <w:sz w:val="26"/>
          <w:szCs w:val="26"/>
          <w:lang w:val="en-US" w:eastAsia="zh-CN" w:bidi="ar"/>
        </w:rPr>
        <w:t>配置高压电力专业的管理和运维人员，保障每班次双人双岗；</w:t>
      </w:r>
    </w:p>
    <w:p>
      <w:pPr>
        <w:pStyle w:val="4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75" w:afterAutospacing="0" w:line="315" w:lineRule="atLeast"/>
        <w:ind w:left="0" w:leftChars="0" w:right="0" w:rightChars="0" w:firstLine="520" w:firstLineChars="200"/>
        <w:textAlignment w:val="auto"/>
        <w:rPr>
          <w:rFonts w:hint="eastAsia" w:ascii="宋体" w:hAnsi="宋体" w:eastAsia="宋体" w:cs="宋体"/>
          <w:b w:val="0"/>
          <w:bCs w:val="0"/>
          <w:kern w:val="44"/>
          <w:sz w:val="26"/>
          <w:szCs w:val="26"/>
          <w:lang w:val="en-US" w:eastAsia="zh-CN" w:bidi="ar"/>
        </w:rPr>
      </w:pPr>
      <w:r>
        <w:rPr>
          <w:rFonts w:hint="eastAsia" w:ascii="宋体" w:hAnsi="宋体" w:eastAsia="宋体" w:cs="宋体"/>
          <w:b w:val="0"/>
          <w:bCs w:val="0"/>
          <w:kern w:val="44"/>
          <w:sz w:val="26"/>
          <w:szCs w:val="26"/>
          <w:lang w:val="en-US" w:eastAsia="zh-CN" w:bidi="ar"/>
        </w:rPr>
        <w:t>2.负责所有开闭所与配电室内设施设备维修维护，模式为全包，要求故障停电不超过5分钟，预防性试验停电不超过20分钟，不得有安全类事件发生；</w:t>
      </w:r>
    </w:p>
    <w:p>
      <w:pPr>
        <w:pStyle w:val="4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75" w:afterAutospacing="0" w:line="315" w:lineRule="atLeast"/>
        <w:ind w:left="0" w:leftChars="0" w:right="0" w:rightChars="0" w:firstLine="520" w:firstLineChars="200"/>
        <w:textAlignment w:val="auto"/>
        <w:rPr>
          <w:rFonts w:hint="eastAsia" w:ascii="宋体" w:hAnsi="宋体" w:eastAsia="宋体" w:cs="宋体"/>
          <w:b w:val="0"/>
          <w:bCs w:val="0"/>
          <w:kern w:val="44"/>
          <w:sz w:val="26"/>
          <w:szCs w:val="26"/>
          <w:lang w:val="en-US" w:eastAsia="zh-CN" w:bidi="ar"/>
        </w:rPr>
      </w:pPr>
      <w:r>
        <w:rPr>
          <w:rFonts w:hint="eastAsia" w:ascii="宋体" w:hAnsi="宋体" w:eastAsia="宋体" w:cs="宋体"/>
          <w:b w:val="0"/>
          <w:bCs w:val="0"/>
          <w:kern w:val="44"/>
          <w:sz w:val="26"/>
          <w:szCs w:val="26"/>
          <w:lang w:val="en-US" w:eastAsia="zh-CN" w:bidi="ar"/>
        </w:rPr>
        <w:t>3.负责完成所有开闭所与配电房高低压配电设施预防性试验（服务期内只需在2027年完成一次），并提供有效报告；</w:t>
      </w:r>
    </w:p>
    <w:p>
      <w:pPr>
        <w:pStyle w:val="4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75" w:afterAutospacing="0" w:line="315" w:lineRule="atLeast"/>
        <w:ind w:left="0" w:leftChars="0" w:right="0" w:rightChars="0" w:firstLine="520" w:firstLineChars="200"/>
        <w:textAlignment w:val="auto"/>
        <w:rPr>
          <w:rFonts w:hint="eastAsia" w:ascii="宋体" w:hAnsi="宋体" w:eastAsia="宋体" w:cs="宋体"/>
          <w:b w:val="0"/>
          <w:bCs w:val="0"/>
          <w:kern w:val="44"/>
          <w:sz w:val="26"/>
          <w:szCs w:val="26"/>
          <w:lang w:val="en-US" w:eastAsia="zh-CN" w:bidi="ar"/>
        </w:rPr>
      </w:pPr>
      <w:r>
        <w:rPr>
          <w:rFonts w:hint="eastAsia" w:ascii="宋体" w:hAnsi="宋体" w:eastAsia="宋体" w:cs="宋体"/>
          <w:b w:val="0"/>
          <w:bCs w:val="0"/>
          <w:kern w:val="44"/>
          <w:sz w:val="26"/>
          <w:szCs w:val="26"/>
          <w:lang w:val="en-US" w:eastAsia="zh-CN" w:bidi="ar"/>
        </w:rPr>
        <w:t>4.负责柴油发电机日常巡查、应急启动保供、空载运行、带载测试与试验，每两年完成一次C类保养（服务期内只需完成2次所有发电机保养，分别于2025与2027年完成）、柴油补加和全包维修；</w:t>
      </w:r>
    </w:p>
    <w:p>
      <w:pPr>
        <w:pStyle w:val="4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75" w:afterAutospacing="0" w:line="315" w:lineRule="atLeast"/>
        <w:ind w:left="0" w:leftChars="0" w:right="0" w:rightChars="0" w:firstLine="520" w:firstLineChars="200"/>
        <w:textAlignment w:val="auto"/>
        <w:rPr>
          <w:rFonts w:hint="eastAsia" w:ascii="宋体" w:hAnsi="宋体" w:eastAsia="宋体" w:cs="宋体"/>
          <w:b w:val="0"/>
          <w:bCs w:val="0"/>
          <w:kern w:val="44"/>
          <w:sz w:val="26"/>
          <w:szCs w:val="26"/>
          <w:lang w:val="en-US" w:eastAsia="zh-CN" w:bidi="ar"/>
        </w:rPr>
      </w:pPr>
      <w:r>
        <w:rPr>
          <w:rFonts w:hint="eastAsia" w:ascii="宋体" w:hAnsi="宋体" w:eastAsia="宋体" w:cs="宋体"/>
          <w:b w:val="0"/>
          <w:bCs w:val="0"/>
          <w:kern w:val="44"/>
          <w:sz w:val="26"/>
          <w:szCs w:val="26"/>
          <w:lang w:val="en-US" w:eastAsia="zh-CN" w:bidi="ar"/>
        </w:rPr>
        <w:t>5.负责全院162台（数量可能存在变化）UPS备用电源巡检、保养、测试等，维修模式为除蓄电池外全包；</w:t>
      </w:r>
    </w:p>
    <w:p>
      <w:pPr>
        <w:pStyle w:val="4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75" w:afterAutospacing="0" w:line="315" w:lineRule="atLeast"/>
        <w:ind w:left="0" w:leftChars="0" w:right="0" w:rightChars="0" w:firstLine="520" w:firstLineChars="200"/>
        <w:textAlignment w:val="auto"/>
        <w:rPr>
          <w:rFonts w:hint="eastAsia" w:ascii="宋体" w:hAnsi="宋体" w:eastAsia="宋体" w:cs="宋体"/>
          <w:b w:val="0"/>
          <w:bCs w:val="0"/>
          <w:kern w:val="44"/>
          <w:sz w:val="26"/>
          <w:szCs w:val="26"/>
          <w:lang w:val="en-US" w:eastAsia="zh-CN" w:bidi="ar"/>
        </w:rPr>
      </w:pPr>
      <w:r>
        <w:rPr>
          <w:rFonts w:hint="eastAsia" w:ascii="宋体" w:hAnsi="宋体" w:eastAsia="宋体" w:cs="宋体"/>
          <w:b w:val="0"/>
          <w:bCs w:val="0"/>
          <w:kern w:val="44"/>
          <w:sz w:val="26"/>
          <w:szCs w:val="26"/>
          <w:lang w:val="en-US" w:eastAsia="zh-CN" w:bidi="ar"/>
        </w:rPr>
        <w:t>6.负责日常运维机具、办公用品、个人防护用品等采购与使用，同时负责所有机房标准化打造，补充与完善标识标牌；</w:t>
      </w:r>
    </w:p>
    <w:p>
      <w:pPr>
        <w:pStyle w:val="4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75" w:afterAutospacing="0" w:line="315" w:lineRule="atLeast"/>
        <w:ind w:left="0" w:leftChars="0" w:right="0" w:rightChars="0" w:firstLine="520" w:firstLineChars="200"/>
        <w:textAlignment w:val="auto"/>
        <w:rPr>
          <w:rFonts w:hint="eastAsia" w:ascii="宋体" w:hAnsi="宋体" w:eastAsia="宋体" w:cs="宋体"/>
          <w:b w:val="0"/>
          <w:bCs w:val="0"/>
          <w:kern w:val="44"/>
          <w:sz w:val="26"/>
          <w:szCs w:val="26"/>
          <w:lang w:val="en-US" w:eastAsia="zh-CN" w:bidi="ar"/>
        </w:rPr>
      </w:pPr>
      <w:r>
        <w:rPr>
          <w:rFonts w:hint="eastAsia" w:ascii="宋体" w:hAnsi="宋体" w:eastAsia="宋体" w:cs="宋体"/>
          <w:b w:val="0"/>
          <w:bCs w:val="0"/>
          <w:kern w:val="44"/>
          <w:sz w:val="26"/>
          <w:szCs w:val="26"/>
          <w:lang w:val="en-US" w:eastAsia="zh-CN" w:bidi="ar"/>
        </w:rPr>
        <w:t>7.负责接受供电局调度培训与指令，配合供电部门安全检查与相关手续办理等，每月与供电局电费账单、光伏、并网发电等相关电量数据核对，完成对每栋楼、每个重要供电回路计量、分析并形成报表。</w:t>
      </w:r>
    </w:p>
    <w:p>
      <w:pPr>
        <w:pStyle w:val="4"/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75" w:afterAutospacing="0" w:line="315" w:lineRule="atLeast"/>
        <w:ind w:left="450" w:leftChars="0" w:right="0" w:rightChars="0"/>
        <w:rPr>
          <w:rFonts w:hint="eastAsia" w:ascii="宋体" w:hAnsi="宋体" w:eastAsia="宋体" w:cs="宋体"/>
          <w:b w:val="0"/>
          <w:bCs w:val="0"/>
          <w:kern w:val="44"/>
          <w:sz w:val="26"/>
          <w:szCs w:val="26"/>
          <w:lang w:val="en-US" w:eastAsia="zh-CN" w:bidi="ar"/>
        </w:rPr>
      </w:pPr>
      <w:r>
        <w:rPr>
          <w:rFonts w:hint="eastAsia" w:ascii="宋体" w:hAnsi="宋体" w:eastAsia="宋体" w:cs="宋体"/>
          <w:b w:val="0"/>
          <w:bCs w:val="0"/>
          <w:kern w:val="44"/>
          <w:sz w:val="26"/>
          <w:szCs w:val="26"/>
          <w:lang w:val="en-US" w:eastAsia="zh-CN" w:bidi="ar"/>
        </w:rPr>
        <w:t>（三）规范要求与目标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75" w:afterAutospacing="0" w:line="315" w:lineRule="atLeast"/>
        <w:ind w:left="0" w:right="0" w:firstLine="450"/>
        <w:rPr>
          <w:rFonts w:hint="eastAsia" w:ascii="宋体" w:hAnsi="宋体" w:eastAsia="宋体" w:cs="宋体"/>
          <w:b w:val="0"/>
          <w:bCs w:val="0"/>
          <w:kern w:val="44"/>
          <w:sz w:val="26"/>
          <w:szCs w:val="26"/>
          <w:lang w:val="en-US" w:eastAsia="zh-CN" w:bidi="ar"/>
        </w:rPr>
      </w:pPr>
      <w:r>
        <w:rPr>
          <w:rFonts w:hint="eastAsia" w:ascii="宋体" w:hAnsi="宋体" w:eastAsia="宋体" w:cs="宋体"/>
          <w:b w:val="0"/>
          <w:bCs w:val="0"/>
          <w:kern w:val="44"/>
          <w:sz w:val="26"/>
          <w:szCs w:val="26"/>
          <w:lang w:val="en-US" w:eastAsia="zh-CN" w:bidi="ar"/>
        </w:rPr>
        <w:t>1.满足且不低于《国家电网公司电力安全工作规程》、《配电室安全管理规范》DB11/T527-2021、《后勤安全生产工作管理指南》等相关法律法规与标准规范要求；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75" w:afterAutospacing="0" w:line="315" w:lineRule="atLeast"/>
        <w:ind w:left="0" w:right="0" w:firstLine="450"/>
        <w:rPr>
          <w:rFonts w:hint="eastAsia" w:ascii="宋体" w:hAnsi="宋体" w:eastAsia="宋体" w:cs="宋体"/>
          <w:b w:val="0"/>
          <w:bCs w:val="0"/>
          <w:kern w:val="44"/>
          <w:sz w:val="26"/>
          <w:szCs w:val="26"/>
          <w:lang w:val="en-US" w:eastAsia="zh-CN" w:bidi="ar"/>
        </w:rPr>
      </w:pPr>
      <w:r>
        <w:rPr>
          <w:rFonts w:hint="eastAsia" w:ascii="宋体" w:hAnsi="宋体" w:eastAsia="宋体" w:cs="宋体"/>
          <w:b w:val="0"/>
          <w:bCs w:val="0"/>
          <w:kern w:val="44"/>
          <w:sz w:val="26"/>
          <w:szCs w:val="26"/>
          <w:lang w:val="en-US" w:eastAsia="zh-CN" w:bidi="ar"/>
        </w:rPr>
        <w:t>2.开闭所、配电房、发电机、UPS等全部设备无安全类事件，停电故障及时消缺与恢复供电，要求故障停电不超过5分钟，预防性试验停电不超过20分钟。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75" w:afterAutospacing="0" w:line="315" w:lineRule="atLeast"/>
        <w:ind w:left="0" w:right="0" w:firstLine="450"/>
        <w:rPr>
          <w:rFonts w:hint="eastAsia" w:ascii="宋体" w:hAnsi="宋体" w:eastAsia="宋体" w:cs="宋体"/>
          <w:b w:val="0"/>
          <w:bCs w:val="0"/>
          <w:kern w:val="44"/>
          <w:sz w:val="26"/>
          <w:szCs w:val="26"/>
          <w:lang w:val="en-US" w:eastAsia="zh-CN" w:bidi="ar"/>
        </w:rPr>
      </w:pPr>
      <w:r>
        <w:rPr>
          <w:rFonts w:hint="eastAsia" w:ascii="宋体" w:hAnsi="宋体" w:eastAsia="宋体" w:cs="宋体"/>
          <w:b w:val="0"/>
          <w:bCs w:val="0"/>
          <w:kern w:val="44"/>
          <w:sz w:val="26"/>
          <w:szCs w:val="26"/>
          <w:lang w:val="en-US" w:eastAsia="zh-CN" w:bidi="ar"/>
        </w:rPr>
        <w:t>3.机房内设施设备安全温度且节能运行，运行完好率不低于98%，关键设备（如变压器、断路器等）运行完好率须达到100%。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75" w:afterAutospacing="0" w:line="315" w:lineRule="atLeast"/>
        <w:ind w:left="0" w:right="0" w:firstLine="450"/>
        <w:rPr>
          <w:rFonts w:hint="eastAsia" w:ascii="宋体" w:hAnsi="宋体" w:eastAsia="宋体" w:cs="宋体"/>
          <w:b/>
          <w:bCs/>
          <w:kern w:val="44"/>
          <w:sz w:val="26"/>
          <w:szCs w:val="26"/>
          <w:lang w:val="en-US" w:eastAsia="zh-CN" w:bidi="ar"/>
        </w:rPr>
      </w:pPr>
      <w:r>
        <w:rPr>
          <w:rFonts w:hint="eastAsia" w:ascii="宋体" w:hAnsi="宋体" w:eastAsia="宋体" w:cs="宋体"/>
          <w:b/>
          <w:bCs/>
          <w:kern w:val="44"/>
          <w:sz w:val="26"/>
          <w:szCs w:val="26"/>
          <w:lang w:val="en-US" w:eastAsia="zh-CN" w:bidi="ar"/>
        </w:rPr>
        <w:t>二、参与单位资格要求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75" w:afterAutospacing="0" w:line="315" w:lineRule="atLeast"/>
        <w:ind w:left="0" w:right="0" w:firstLine="450"/>
        <w:rPr>
          <w:rFonts w:hint="eastAsia" w:ascii="宋体" w:hAnsi="宋体" w:eastAsia="宋体" w:cs="宋体"/>
          <w:b w:val="0"/>
          <w:bCs w:val="0"/>
          <w:kern w:val="44"/>
          <w:sz w:val="26"/>
          <w:szCs w:val="26"/>
          <w:lang w:val="en-US" w:eastAsia="zh-CN" w:bidi="ar"/>
        </w:rPr>
      </w:pPr>
      <w:r>
        <w:rPr>
          <w:rFonts w:hint="eastAsia" w:ascii="宋体" w:hAnsi="宋体" w:eastAsia="宋体" w:cs="宋体"/>
          <w:b w:val="0"/>
          <w:bCs w:val="0"/>
          <w:kern w:val="44"/>
          <w:sz w:val="26"/>
          <w:szCs w:val="26"/>
          <w:lang w:val="en-US" w:eastAsia="zh-CN" w:bidi="ar"/>
        </w:rPr>
        <w:t>（一）基本资格条件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75" w:afterAutospacing="0" w:line="315" w:lineRule="atLeast"/>
        <w:ind w:left="0" w:right="0" w:firstLine="450"/>
        <w:rPr>
          <w:rFonts w:hint="eastAsia" w:ascii="宋体" w:hAnsi="宋体" w:eastAsia="宋体" w:cs="宋体"/>
          <w:b w:val="0"/>
          <w:bCs w:val="0"/>
          <w:kern w:val="44"/>
          <w:sz w:val="26"/>
          <w:szCs w:val="26"/>
          <w:lang w:val="en-US" w:eastAsia="zh-CN" w:bidi="ar"/>
        </w:rPr>
      </w:pPr>
      <w:r>
        <w:rPr>
          <w:rFonts w:hint="eastAsia" w:ascii="宋体" w:hAnsi="宋体" w:eastAsia="宋体" w:cs="宋体"/>
          <w:b w:val="0"/>
          <w:bCs w:val="0"/>
          <w:kern w:val="44"/>
          <w:sz w:val="26"/>
          <w:szCs w:val="26"/>
          <w:lang w:val="en-US" w:eastAsia="zh-CN" w:bidi="ar"/>
        </w:rPr>
        <w:t>1.具有独立承担民事责任的能力。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75" w:afterAutospacing="0" w:line="315" w:lineRule="atLeast"/>
        <w:ind w:left="0" w:right="0" w:firstLine="450"/>
        <w:rPr>
          <w:rFonts w:hint="eastAsia" w:ascii="宋体" w:hAnsi="宋体" w:eastAsia="宋体" w:cs="宋体"/>
          <w:b w:val="0"/>
          <w:bCs w:val="0"/>
          <w:kern w:val="44"/>
          <w:sz w:val="26"/>
          <w:szCs w:val="26"/>
          <w:lang w:val="en-US" w:eastAsia="zh-CN" w:bidi="ar"/>
        </w:rPr>
      </w:pPr>
      <w:r>
        <w:rPr>
          <w:rFonts w:hint="eastAsia" w:ascii="宋体" w:hAnsi="宋体" w:eastAsia="宋体" w:cs="宋体"/>
          <w:b w:val="0"/>
          <w:bCs w:val="0"/>
          <w:kern w:val="44"/>
          <w:sz w:val="26"/>
          <w:szCs w:val="26"/>
          <w:lang w:val="en-US" w:eastAsia="zh-CN" w:bidi="ar"/>
        </w:rPr>
        <w:t>2.具有良好的商业信誉和健全的财务会计制度。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75" w:afterAutospacing="0" w:line="315" w:lineRule="atLeast"/>
        <w:ind w:left="0" w:right="0" w:firstLine="450"/>
        <w:rPr>
          <w:rFonts w:hint="eastAsia" w:ascii="宋体" w:hAnsi="宋体" w:eastAsia="宋体" w:cs="宋体"/>
          <w:b w:val="0"/>
          <w:bCs w:val="0"/>
          <w:kern w:val="44"/>
          <w:sz w:val="26"/>
          <w:szCs w:val="26"/>
          <w:lang w:val="en-US" w:eastAsia="zh-CN" w:bidi="ar"/>
        </w:rPr>
      </w:pPr>
      <w:r>
        <w:rPr>
          <w:rFonts w:hint="eastAsia" w:ascii="宋体" w:hAnsi="宋体" w:eastAsia="宋体" w:cs="宋体"/>
          <w:b w:val="0"/>
          <w:bCs w:val="0"/>
          <w:kern w:val="44"/>
          <w:sz w:val="26"/>
          <w:szCs w:val="26"/>
          <w:lang w:val="en-US" w:eastAsia="zh-CN" w:bidi="ar"/>
        </w:rPr>
        <w:t>3.具有履行合同所必需的设备和专业技术能力。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75" w:afterAutospacing="0" w:line="315" w:lineRule="atLeast"/>
        <w:ind w:left="0" w:right="0" w:firstLine="450"/>
        <w:rPr>
          <w:rFonts w:hint="eastAsia" w:ascii="宋体" w:hAnsi="宋体" w:eastAsia="宋体" w:cs="宋体"/>
          <w:b w:val="0"/>
          <w:bCs w:val="0"/>
          <w:kern w:val="44"/>
          <w:sz w:val="26"/>
          <w:szCs w:val="26"/>
          <w:lang w:val="en-US" w:eastAsia="zh-CN" w:bidi="ar"/>
        </w:rPr>
      </w:pPr>
      <w:r>
        <w:rPr>
          <w:rFonts w:hint="eastAsia" w:ascii="宋体" w:hAnsi="宋体" w:eastAsia="宋体" w:cs="宋体"/>
          <w:b w:val="0"/>
          <w:bCs w:val="0"/>
          <w:kern w:val="44"/>
          <w:sz w:val="26"/>
          <w:szCs w:val="26"/>
          <w:lang w:val="en-US" w:eastAsia="zh-CN" w:bidi="ar"/>
        </w:rPr>
        <w:t>4.有依法缴纳税收和社会保障资金的良好记录。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75" w:afterAutospacing="0" w:line="315" w:lineRule="atLeast"/>
        <w:ind w:left="0" w:right="0" w:firstLine="450"/>
        <w:rPr>
          <w:rFonts w:hint="eastAsia" w:ascii="宋体" w:hAnsi="宋体" w:eastAsia="宋体" w:cs="宋体"/>
          <w:b w:val="0"/>
          <w:bCs w:val="0"/>
          <w:kern w:val="44"/>
          <w:sz w:val="26"/>
          <w:szCs w:val="26"/>
          <w:lang w:val="en-US" w:eastAsia="zh-CN" w:bidi="ar"/>
        </w:rPr>
      </w:pPr>
      <w:r>
        <w:rPr>
          <w:rFonts w:hint="eastAsia" w:ascii="宋体" w:hAnsi="宋体" w:eastAsia="宋体" w:cs="宋体"/>
          <w:b w:val="0"/>
          <w:bCs w:val="0"/>
          <w:kern w:val="44"/>
          <w:sz w:val="26"/>
          <w:szCs w:val="26"/>
          <w:lang w:val="en-US" w:eastAsia="zh-CN" w:bidi="ar"/>
        </w:rPr>
        <w:t>5.参加政府采购活动前三年内，在经营活动中没有重大违法记录。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75" w:afterAutospacing="0" w:line="315" w:lineRule="atLeast"/>
        <w:ind w:left="0" w:right="0" w:firstLine="450"/>
        <w:rPr>
          <w:rFonts w:hint="eastAsia" w:ascii="宋体" w:hAnsi="宋体" w:eastAsia="宋体" w:cs="宋体"/>
          <w:b w:val="0"/>
          <w:bCs w:val="0"/>
          <w:kern w:val="44"/>
          <w:sz w:val="26"/>
          <w:szCs w:val="26"/>
          <w:lang w:val="en-US" w:eastAsia="zh-CN" w:bidi="ar"/>
        </w:rPr>
      </w:pPr>
      <w:r>
        <w:rPr>
          <w:rFonts w:hint="eastAsia" w:ascii="宋体" w:hAnsi="宋体" w:eastAsia="宋体" w:cs="宋体"/>
          <w:b w:val="0"/>
          <w:bCs w:val="0"/>
          <w:kern w:val="44"/>
          <w:sz w:val="26"/>
          <w:szCs w:val="26"/>
          <w:lang w:val="en-US" w:eastAsia="zh-CN" w:bidi="ar"/>
        </w:rPr>
        <w:t>6.政府取消投标资格记录期间的企业或个人不得参与投标。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75" w:afterAutospacing="0" w:line="315" w:lineRule="atLeast"/>
        <w:ind w:left="0" w:right="0" w:firstLine="450"/>
        <w:rPr>
          <w:rFonts w:hint="eastAsia" w:ascii="宋体" w:hAnsi="宋体" w:eastAsia="宋体" w:cs="宋体"/>
          <w:b w:val="0"/>
          <w:bCs w:val="0"/>
          <w:kern w:val="44"/>
          <w:sz w:val="26"/>
          <w:szCs w:val="26"/>
          <w:lang w:val="en-US" w:eastAsia="zh-CN" w:bidi="ar"/>
        </w:rPr>
      </w:pPr>
      <w:r>
        <w:rPr>
          <w:rFonts w:hint="eastAsia" w:ascii="宋体" w:hAnsi="宋体" w:eastAsia="宋体" w:cs="宋体"/>
          <w:b w:val="0"/>
          <w:bCs w:val="0"/>
          <w:kern w:val="44"/>
          <w:sz w:val="26"/>
          <w:szCs w:val="26"/>
          <w:lang w:val="en-US" w:eastAsia="zh-CN" w:bidi="ar"/>
        </w:rPr>
        <w:t>7.法律、行政法规规定的其他条件。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75" w:afterAutospacing="0" w:line="315" w:lineRule="atLeast"/>
        <w:ind w:left="0" w:right="0" w:firstLine="450"/>
        <w:rPr>
          <w:rFonts w:hint="eastAsia" w:ascii="宋体" w:hAnsi="宋体" w:eastAsia="宋体" w:cs="宋体"/>
          <w:b w:val="0"/>
          <w:bCs w:val="0"/>
          <w:kern w:val="44"/>
          <w:sz w:val="26"/>
          <w:szCs w:val="26"/>
          <w:lang w:val="en-US" w:eastAsia="zh-CN" w:bidi="ar"/>
        </w:rPr>
      </w:pPr>
      <w:r>
        <w:rPr>
          <w:rFonts w:hint="eastAsia" w:ascii="宋体" w:hAnsi="宋体" w:eastAsia="宋体" w:cs="宋体"/>
          <w:b w:val="0"/>
          <w:bCs w:val="0"/>
          <w:kern w:val="44"/>
          <w:sz w:val="26"/>
          <w:szCs w:val="26"/>
          <w:lang w:val="en-US" w:eastAsia="zh-CN" w:bidi="ar"/>
        </w:rPr>
        <w:t>（二）特定资格条件</w:t>
      </w:r>
    </w:p>
    <w:p>
      <w:pPr>
        <w:spacing w:line="360" w:lineRule="auto"/>
        <w:jc w:val="left"/>
        <w:rPr>
          <w:rFonts w:hint="eastAsia" w:ascii="宋体" w:hAnsi="宋体" w:eastAsia="宋体" w:cs="宋体"/>
          <w:b w:val="0"/>
          <w:bCs w:val="0"/>
          <w:kern w:val="44"/>
          <w:sz w:val="26"/>
          <w:szCs w:val="26"/>
          <w:lang w:val="en-US" w:eastAsia="zh-CN" w:bidi="ar"/>
        </w:rPr>
      </w:pPr>
      <w:r>
        <w:rPr>
          <w:rFonts w:hint="eastAsia" w:ascii="宋体" w:hAnsi="宋体" w:eastAsia="宋体" w:cs="宋体"/>
          <w:b w:val="0"/>
          <w:bCs w:val="0"/>
          <w:kern w:val="44"/>
          <w:sz w:val="26"/>
          <w:szCs w:val="26"/>
          <w:lang w:val="en-US" w:eastAsia="zh-CN" w:bidi="ar"/>
        </w:rPr>
        <w:t>1.具有承修、试电力设施许可证（承修、承试四级及以上资质）。</w:t>
      </w:r>
    </w:p>
    <w:p>
      <w:pPr>
        <w:spacing w:line="360" w:lineRule="auto"/>
        <w:jc w:val="left"/>
        <w:rPr>
          <w:rFonts w:hint="eastAsia" w:ascii="宋体" w:hAnsi="宋体" w:eastAsia="宋体" w:cs="宋体"/>
          <w:b w:val="0"/>
          <w:bCs w:val="0"/>
          <w:kern w:val="44"/>
          <w:sz w:val="26"/>
          <w:szCs w:val="26"/>
          <w:lang w:val="en-US" w:eastAsia="zh-CN" w:bidi="ar"/>
        </w:rPr>
      </w:pPr>
      <w:r>
        <w:rPr>
          <w:rFonts w:hint="eastAsia" w:ascii="宋体" w:hAnsi="宋体" w:eastAsia="宋体" w:cs="宋体"/>
          <w:b w:val="0"/>
          <w:bCs w:val="0"/>
          <w:kern w:val="44"/>
          <w:sz w:val="26"/>
          <w:szCs w:val="26"/>
          <w:lang w:val="en-US" w:eastAsia="zh-CN" w:bidi="ar"/>
        </w:rPr>
        <w:t>3.具有类似运维服务业绩。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75" w:afterAutospacing="0" w:line="315" w:lineRule="atLeast"/>
        <w:ind w:left="0" w:right="0" w:firstLine="450"/>
        <w:rPr>
          <w:rFonts w:hint="eastAsia" w:ascii="宋体" w:hAnsi="宋体" w:eastAsia="宋体" w:cs="宋体"/>
          <w:b/>
          <w:bCs/>
          <w:kern w:val="44"/>
          <w:sz w:val="26"/>
          <w:szCs w:val="26"/>
          <w:lang w:val="en-US" w:eastAsia="zh-CN" w:bidi="ar"/>
        </w:rPr>
      </w:pPr>
      <w:r>
        <w:rPr>
          <w:rFonts w:hint="eastAsia" w:ascii="宋体" w:hAnsi="宋体" w:eastAsia="宋体" w:cs="宋体"/>
          <w:b/>
          <w:bCs/>
          <w:kern w:val="44"/>
          <w:sz w:val="26"/>
          <w:szCs w:val="26"/>
          <w:lang w:val="en-US" w:eastAsia="zh-CN" w:bidi="ar"/>
        </w:rPr>
        <w:t>三、报名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75" w:afterAutospacing="0" w:line="315" w:lineRule="atLeast"/>
        <w:ind w:left="0" w:right="0" w:firstLine="450"/>
        <w:rPr>
          <w:rFonts w:hint="eastAsia" w:ascii="宋体" w:hAnsi="宋体" w:eastAsia="宋体" w:cs="宋体"/>
          <w:b w:val="0"/>
          <w:bCs w:val="0"/>
          <w:kern w:val="44"/>
          <w:sz w:val="26"/>
          <w:szCs w:val="26"/>
          <w:lang w:val="en-US" w:eastAsia="zh-CN" w:bidi="ar"/>
        </w:rPr>
      </w:pPr>
      <w:r>
        <w:rPr>
          <w:rFonts w:hint="eastAsia" w:ascii="宋体" w:hAnsi="宋体" w:eastAsia="宋体" w:cs="宋体"/>
          <w:b w:val="0"/>
          <w:bCs w:val="0"/>
          <w:kern w:val="44"/>
          <w:sz w:val="26"/>
          <w:szCs w:val="26"/>
          <w:lang w:val="en-US" w:eastAsia="zh-CN" w:bidi="ar"/>
        </w:rPr>
        <w:t>（一）</w:t>
      </w:r>
      <w:r>
        <w:rPr>
          <w:rFonts w:hint="eastAsia" w:ascii="宋体" w:hAnsi="宋体" w:eastAsia="宋体" w:cs="宋体"/>
          <w:b w:val="0"/>
          <w:bCs w:val="0"/>
          <w:color w:val="auto"/>
          <w:kern w:val="44"/>
          <w:sz w:val="26"/>
          <w:szCs w:val="26"/>
          <w:lang w:val="en-US" w:eastAsia="zh-CN" w:bidi="ar"/>
        </w:rPr>
        <w:t>报名时间：2025年2月14日-2025年2月20日</w:t>
      </w:r>
      <w:r>
        <w:rPr>
          <w:rFonts w:hint="eastAsia" w:ascii="宋体" w:hAnsi="宋体" w:eastAsia="宋体" w:cs="宋体"/>
          <w:b w:val="0"/>
          <w:bCs w:val="0"/>
          <w:kern w:val="44"/>
          <w:sz w:val="26"/>
          <w:szCs w:val="26"/>
          <w:lang w:val="en-US" w:eastAsia="zh-CN" w:bidi="ar"/>
        </w:rPr>
        <w:t>（工作日上午8:30-11:00，下午14:30—17:00）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75" w:afterAutospacing="0" w:line="315" w:lineRule="atLeast"/>
        <w:ind w:left="0" w:right="0" w:firstLine="450"/>
        <w:rPr>
          <w:rFonts w:hint="eastAsia" w:ascii="宋体" w:hAnsi="宋体" w:eastAsia="宋体" w:cs="宋体"/>
          <w:b w:val="0"/>
          <w:bCs w:val="0"/>
          <w:kern w:val="44"/>
          <w:sz w:val="26"/>
          <w:szCs w:val="26"/>
          <w:lang w:val="en-US" w:eastAsia="zh-CN" w:bidi="ar"/>
        </w:rPr>
      </w:pPr>
      <w:r>
        <w:rPr>
          <w:rFonts w:hint="eastAsia" w:ascii="宋体" w:hAnsi="宋体" w:eastAsia="宋体" w:cs="宋体"/>
          <w:b w:val="0"/>
          <w:bCs w:val="0"/>
          <w:kern w:val="44"/>
          <w:sz w:val="26"/>
          <w:szCs w:val="26"/>
          <w:lang w:val="en-US" w:eastAsia="zh-CN" w:bidi="ar"/>
        </w:rPr>
        <w:t>（二）联系人：叶老师，电话：023-68370052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75" w:afterAutospacing="0" w:line="315" w:lineRule="atLeast"/>
        <w:ind w:left="0" w:right="0" w:firstLine="450"/>
        <w:rPr>
          <w:rFonts w:hint="eastAsia" w:ascii="宋体" w:hAnsi="宋体" w:eastAsia="宋体" w:cs="宋体"/>
          <w:b w:val="0"/>
          <w:bCs w:val="0"/>
          <w:kern w:val="44"/>
          <w:sz w:val="26"/>
          <w:szCs w:val="26"/>
          <w:lang w:val="en-US" w:eastAsia="zh-CN" w:bidi="ar"/>
        </w:rPr>
      </w:pPr>
      <w:r>
        <w:rPr>
          <w:rFonts w:hint="eastAsia" w:ascii="宋体" w:hAnsi="宋体" w:eastAsia="宋体" w:cs="宋体"/>
          <w:b w:val="0"/>
          <w:bCs w:val="0"/>
          <w:kern w:val="44"/>
          <w:sz w:val="26"/>
          <w:szCs w:val="26"/>
          <w:lang w:val="en-US" w:eastAsia="zh-CN" w:bidi="ar"/>
        </w:rPr>
        <w:t>（三）报名方式：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75" w:afterAutospacing="0" w:line="315" w:lineRule="atLeast"/>
        <w:ind w:right="0" w:firstLine="520" w:firstLineChars="200"/>
        <w:rPr>
          <w:rFonts w:hint="eastAsia" w:ascii="宋体" w:hAnsi="宋体" w:eastAsia="宋体" w:cs="宋体"/>
          <w:b w:val="0"/>
          <w:bCs w:val="0"/>
          <w:kern w:val="44"/>
          <w:sz w:val="26"/>
          <w:szCs w:val="26"/>
          <w:lang w:val="en-US" w:eastAsia="zh-CN" w:bidi="ar"/>
        </w:rPr>
      </w:pPr>
      <w:r>
        <w:rPr>
          <w:rFonts w:hint="eastAsia" w:ascii="宋体" w:hAnsi="宋体" w:eastAsia="宋体" w:cs="宋体"/>
          <w:b w:val="0"/>
          <w:bCs w:val="0"/>
          <w:kern w:val="44"/>
          <w:sz w:val="26"/>
          <w:szCs w:val="26"/>
          <w:lang w:val="en-US" w:eastAsia="zh-CN" w:bidi="ar"/>
        </w:rPr>
        <w:t>方式一：请携带公司简介资料、营业执照复印件（盖鲜章）、介绍信（盖鲜章）及其他相关资质资料（盖鲜章）到后勤管理处物业管理科办公室（重庆市两江新区金渝大道20号重庆医科大学附属儿童医院两江院区科教楼5楼519办公室）进行资质审核和报名。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75" w:afterAutospacing="0" w:line="315" w:lineRule="atLeast"/>
        <w:ind w:right="0" w:firstLine="520" w:firstLineChars="200"/>
        <w:rPr>
          <w:rFonts w:hint="eastAsia" w:ascii="宋体" w:hAnsi="宋体" w:eastAsia="宋体" w:cs="宋体"/>
          <w:b w:val="0"/>
          <w:bCs w:val="0"/>
          <w:kern w:val="44"/>
          <w:sz w:val="26"/>
          <w:szCs w:val="26"/>
          <w:lang w:val="en-US" w:eastAsia="zh-CN" w:bidi="ar"/>
        </w:rPr>
      </w:pPr>
      <w:r>
        <w:rPr>
          <w:rFonts w:hint="eastAsia" w:ascii="宋体" w:hAnsi="宋体" w:eastAsia="宋体" w:cs="宋体"/>
          <w:b w:val="0"/>
          <w:bCs w:val="0"/>
          <w:kern w:val="44"/>
          <w:sz w:val="26"/>
          <w:szCs w:val="26"/>
          <w:lang w:val="en-US" w:eastAsia="zh-CN" w:bidi="ar"/>
        </w:rPr>
        <w:t>方式二：访问医院招采平台网址https://zbb.chcmu.com/，通过网站线上报名与资料上传。</w:t>
      </w:r>
    </w:p>
    <w:p>
      <w:pPr>
        <w:pStyle w:val="4"/>
        <w:keepNext w:val="0"/>
        <w:keepLines w:val="0"/>
        <w:widowControl/>
        <w:numPr>
          <w:ilvl w:val="0"/>
          <w:numId w:val="2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75" w:afterAutospacing="0" w:line="315" w:lineRule="atLeast"/>
        <w:ind w:right="0" w:firstLine="522" w:firstLineChars="200"/>
        <w:rPr>
          <w:rFonts w:hint="eastAsia" w:ascii="宋体" w:hAnsi="宋体" w:eastAsia="宋体" w:cs="宋体"/>
          <w:b/>
          <w:bCs/>
          <w:kern w:val="44"/>
          <w:sz w:val="26"/>
          <w:szCs w:val="26"/>
          <w:lang w:val="en-US" w:eastAsia="zh-CN" w:bidi="ar"/>
        </w:rPr>
      </w:pPr>
      <w:r>
        <w:rPr>
          <w:rFonts w:hint="eastAsia" w:ascii="宋体" w:hAnsi="宋体" w:eastAsia="宋体" w:cs="宋体"/>
          <w:b/>
          <w:bCs/>
          <w:kern w:val="44"/>
          <w:sz w:val="26"/>
          <w:szCs w:val="26"/>
          <w:lang w:val="en-US" w:eastAsia="zh-CN" w:bidi="ar"/>
        </w:rPr>
        <w:t>现场勘察</w:t>
      </w:r>
    </w:p>
    <w:p>
      <w:pPr>
        <w:pStyle w:val="4"/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75" w:afterAutospacing="0" w:line="315" w:lineRule="atLeast"/>
        <w:ind w:right="0" w:rightChars="0" w:firstLine="520" w:firstLineChars="200"/>
        <w:rPr>
          <w:rFonts w:hint="eastAsia" w:ascii="宋体" w:hAnsi="宋体" w:eastAsia="宋体" w:cs="宋体"/>
          <w:b w:val="0"/>
          <w:bCs w:val="0"/>
          <w:kern w:val="44"/>
          <w:sz w:val="26"/>
          <w:szCs w:val="26"/>
          <w:lang w:val="en-US" w:eastAsia="zh-CN" w:bidi="ar"/>
        </w:rPr>
      </w:pPr>
      <w:r>
        <w:rPr>
          <w:rFonts w:hint="eastAsia" w:ascii="宋体" w:hAnsi="宋体" w:eastAsia="宋体" w:cs="宋体"/>
          <w:b w:val="0"/>
          <w:bCs w:val="0"/>
          <w:kern w:val="44"/>
          <w:sz w:val="26"/>
          <w:szCs w:val="26"/>
          <w:lang w:val="en-US" w:eastAsia="zh-CN" w:bidi="ar"/>
        </w:rPr>
        <w:t>对本次市场调查报名单位，请自行到现场勘察，若有疑问或未能进入勘察地点，可联系68370052。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75" w:afterAutospacing="0" w:line="315" w:lineRule="atLeast"/>
        <w:ind w:right="0" w:firstLine="522" w:firstLineChars="200"/>
        <w:rPr>
          <w:rFonts w:hint="eastAsia" w:ascii="宋体" w:hAnsi="宋体" w:eastAsia="宋体" w:cs="宋体"/>
          <w:b/>
          <w:bCs/>
          <w:kern w:val="44"/>
          <w:sz w:val="26"/>
          <w:szCs w:val="26"/>
          <w:lang w:val="en-US" w:eastAsia="zh-CN" w:bidi="ar"/>
        </w:rPr>
      </w:pPr>
      <w:r>
        <w:rPr>
          <w:rFonts w:hint="eastAsia" w:ascii="宋体" w:hAnsi="宋体" w:eastAsia="宋体" w:cs="宋体"/>
          <w:b/>
          <w:bCs/>
          <w:kern w:val="44"/>
          <w:sz w:val="26"/>
          <w:szCs w:val="26"/>
          <w:lang w:val="en-US" w:eastAsia="zh-CN" w:bidi="ar"/>
        </w:rPr>
        <w:t>五、现场宣讲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75" w:afterAutospacing="0" w:line="315" w:lineRule="atLeast"/>
        <w:ind w:left="0" w:right="0" w:firstLine="450"/>
        <w:rPr>
          <w:rFonts w:hint="eastAsia" w:ascii="宋体" w:hAnsi="宋体" w:eastAsia="宋体" w:cs="宋体"/>
          <w:b w:val="0"/>
          <w:bCs w:val="0"/>
          <w:kern w:val="44"/>
          <w:sz w:val="26"/>
          <w:szCs w:val="26"/>
          <w:lang w:val="en-US" w:eastAsia="zh-CN" w:bidi="ar"/>
        </w:rPr>
      </w:pPr>
      <w:r>
        <w:rPr>
          <w:rFonts w:hint="eastAsia" w:ascii="宋体" w:hAnsi="宋体" w:eastAsia="宋体" w:cs="宋体"/>
          <w:b w:val="0"/>
          <w:bCs w:val="0"/>
          <w:kern w:val="44"/>
          <w:sz w:val="26"/>
          <w:szCs w:val="26"/>
          <w:lang w:val="en-US" w:eastAsia="zh-CN" w:bidi="ar"/>
        </w:rPr>
        <w:t>资质审查合格后，后勤管理处将安排阳光推介会，由各报名公司根据实际情况，对公司实力、类似业绩、运维方案、制度流程、人员配置、岗位职责、规范要求、管理目标以及未满足目标的考核（含违约条款）、预算报价等进行现场逐一宣讲。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75" w:afterAutospacing="0" w:line="315" w:lineRule="atLeast"/>
        <w:ind w:left="0" w:right="0" w:firstLine="450"/>
        <w:rPr>
          <w:rFonts w:hint="eastAsia" w:ascii="宋体" w:hAnsi="宋体" w:eastAsia="宋体" w:cs="宋体"/>
          <w:b w:val="0"/>
          <w:bCs w:val="0"/>
          <w:kern w:val="44"/>
          <w:sz w:val="26"/>
          <w:szCs w:val="26"/>
          <w:lang w:val="en-US" w:eastAsia="zh-CN" w:bidi="ar"/>
        </w:rPr>
      </w:pP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75" w:afterAutospacing="0" w:line="315" w:lineRule="atLeast"/>
        <w:ind w:left="0" w:right="0" w:firstLine="450"/>
        <w:rPr>
          <w:rFonts w:hint="eastAsia" w:ascii="宋体" w:hAnsi="宋体" w:eastAsia="宋体" w:cs="宋体"/>
          <w:b w:val="0"/>
          <w:bCs w:val="0"/>
          <w:kern w:val="44"/>
          <w:sz w:val="26"/>
          <w:szCs w:val="26"/>
          <w:lang w:val="en-US" w:eastAsia="zh-CN" w:bidi="ar"/>
        </w:rPr>
      </w:pP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75" w:afterAutospacing="0" w:line="315" w:lineRule="atLeast"/>
        <w:ind w:left="0" w:right="0" w:firstLine="450"/>
        <w:rPr>
          <w:rFonts w:hint="eastAsia" w:ascii="宋体" w:hAnsi="宋体" w:eastAsia="宋体" w:cs="宋体"/>
          <w:b w:val="0"/>
          <w:bCs w:val="0"/>
          <w:kern w:val="44"/>
          <w:sz w:val="26"/>
          <w:szCs w:val="26"/>
          <w:lang w:val="en-US" w:eastAsia="zh-CN" w:bidi="ar"/>
        </w:rPr>
      </w:pP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75" w:afterAutospacing="0" w:line="315" w:lineRule="atLeast"/>
        <w:ind w:left="0" w:right="0" w:firstLine="450"/>
        <w:rPr>
          <w:rFonts w:hint="eastAsia" w:ascii="宋体" w:hAnsi="宋体" w:eastAsia="宋体" w:cs="宋体"/>
          <w:b w:val="0"/>
          <w:bCs w:val="0"/>
          <w:kern w:val="44"/>
          <w:sz w:val="26"/>
          <w:szCs w:val="26"/>
          <w:lang w:val="en-US" w:eastAsia="zh-CN" w:bidi="ar"/>
        </w:rPr>
      </w:pP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75" w:afterAutospacing="0" w:line="315" w:lineRule="atLeast"/>
        <w:ind w:right="0"/>
        <w:rPr>
          <w:rFonts w:hint="eastAsia" w:ascii="宋体" w:hAnsi="宋体" w:eastAsia="宋体" w:cs="宋体"/>
          <w:b w:val="0"/>
          <w:bCs w:val="0"/>
          <w:kern w:val="44"/>
          <w:sz w:val="26"/>
          <w:szCs w:val="26"/>
          <w:lang w:val="en-US" w:eastAsia="zh-CN" w:bidi="ar"/>
        </w:rPr>
      </w:pP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75" w:afterAutospacing="0" w:line="315" w:lineRule="atLeast"/>
        <w:ind w:right="0"/>
        <w:rPr>
          <w:rFonts w:hint="eastAsia" w:ascii="宋体" w:hAnsi="宋体" w:eastAsia="宋体" w:cs="宋体"/>
          <w:b w:val="0"/>
          <w:bCs w:val="0"/>
          <w:kern w:val="44"/>
          <w:sz w:val="26"/>
          <w:szCs w:val="26"/>
          <w:lang w:val="en-US" w:eastAsia="zh-CN" w:bidi="ar"/>
        </w:rPr>
      </w:pPr>
      <w:r>
        <w:rPr>
          <w:rFonts w:hint="eastAsia" w:ascii="宋体" w:hAnsi="宋体" w:eastAsia="宋体" w:cs="宋体"/>
          <w:b w:val="0"/>
          <w:bCs w:val="0"/>
          <w:kern w:val="44"/>
          <w:sz w:val="26"/>
          <w:szCs w:val="26"/>
          <w:lang w:val="en-US" w:eastAsia="zh-CN" w:bidi="ar"/>
        </w:rPr>
        <w:t>附件：设备清单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75" w:afterAutospacing="0" w:line="315" w:lineRule="atLeast"/>
        <w:ind w:right="0"/>
      </w:pPr>
      <w:r>
        <w:drawing>
          <wp:inline distT="0" distB="0" distL="114300" distR="114300">
            <wp:extent cx="5271770" cy="4173855"/>
            <wp:effectExtent l="0" t="0" r="5080" b="17145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1770" cy="41738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273675" cy="3524885"/>
            <wp:effectExtent l="0" t="0" r="3175" b="18415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73675" cy="3524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272405" cy="3465195"/>
            <wp:effectExtent l="0" t="0" r="4445" b="1905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72405" cy="34651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273040" cy="4930140"/>
            <wp:effectExtent l="0" t="0" r="3810" b="3810"/>
            <wp:docPr id="5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73040" cy="4930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75" w:afterAutospacing="0" w:line="315" w:lineRule="atLeast"/>
        <w:ind w:right="0"/>
      </w:pP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75" w:afterAutospacing="0" w:line="315" w:lineRule="atLeast"/>
        <w:ind w:right="0"/>
        <w:rPr>
          <w:rFonts w:hint="default" w:ascii="宋体" w:hAnsi="宋体" w:eastAsia="宋体" w:cs="宋体"/>
          <w:b w:val="0"/>
          <w:bCs w:val="0"/>
          <w:kern w:val="44"/>
          <w:sz w:val="26"/>
          <w:szCs w:val="26"/>
          <w:lang w:val="en-US" w:eastAsia="zh-CN" w:bidi="ar"/>
        </w:rPr>
      </w:pPr>
      <w:r>
        <w:drawing>
          <wp:inline distT="0" distB="0" distL="114300" distR="114300">
            <wp:extent cx="5269230" cy="2893695"/>
            <wp:effectExtent l="0" t="0" r="7620" b="1905"/>
            <wp:docPr id="6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69230" cy="2893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DD96968E"/>
    <w:multiLevelType w:val="singleLevel"/>
    <w:tmpl w:val="DD96968E"/>
    <w:lvl w:ilvl="0" w:tentative="0">
      <w:start w:val="4"/>
      <w:numFmt w:val="chineseCounting"/>
      <w:suff w:val="nothing"/>
      <w:lvlText w:val="%1、"/>
      <w:lvlJc w:val="left"/>
      <w:rPr>
        <w:rFonts w:hint="eastAsia"/>
      </w:rPr>
    </w:lvl>
  </w:abstractNum>
  <w:abstractNum w:abstractNumId="1">
    <w:nsid w:val="0B6335AA"/>
    <w:multiLevelType w:val="singleLevel"/>
    <w:tmpl w:val="0B6335AA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0478C9"/>
    <w:rsid w:val="029F1C35"/>
    <w:rsid w:val="044E22D4"/>
    <w:rsid w:val="04BD64B7"/>
    <w:rsid w:val="05463EAC"/>
    <w:rsid w:val="072F18C1"/>
    <w:rsid w:val="08C36C81"/>
    <w:rsid w:val="0A5B47F2"/>
    <w:rsid w:val="0BBA35B2"/>
    <w:rsid w:val="0BE272A7"/>
    <w:rsid w:val="0CC93645"/>
    <w:rsid w:val="0CE471DB"/>
    <w:rsid w:val="0F3F1364"/>
    <w:rsid w:val="0FC5322B"/>
    <w:rsid w:val="10250D03"/>
    <w:rsid w:val="10B026D8"/>
    <w:rsid w:val="113C1D4D"/>
    <w:rsid w:val="11810B98"/>
    <w:rsid w:val="12521412"/>
    <w:rsid w:val="12AB0161"/>
    <w:rsid w:val="14312ED9"/>
    <w:rsid w:val="148F2C01"/>
    <w:rsid w:val="14A1287B"/>
    <w:rsid w:val="14D00B8D"/>
    <w:rsid w:val="15A60884"/>
    <w:rsid w:val="16452B17"/>
    <w:rsid w:val="167C51A4"/>
    <w:rsid w:val="16F76088"/>
    <w:rsid w:val="171F1F9B"/>
    <w:rsid w:val="176921C8"/>
    <w:rsid w:val="17850BAF"/>
    <w:rsid w:val="17B24C1F"/>
    <w:rsid w:val="17E07132"/>
    <w:rsid w:val="181B226A"/>
    <w:rsid w:val="19EE2AA6"/>
    <w:rsid w:val="1B604280"/>
    <w:rsid w:val="1BF01554"/>
    <w:rsid w:val="1C1F5F51"/>
    <w:rsid w:val="1C5B2C3A"/>
    <w:rsid w:val="1D0D3ABD"/>
    <w:rsid w:val="1DCC10CA"/>
    <w:rsid w:val="1ED730FC"/>
    <w:rsid w:val="1F91525F"/>
    <w:rsid w:val="1FCF0CDB"/>
    <w:rsid w:val="20D601FB"/>
    <w:rsid w:val="227D08D4"/>
    <w:rsid w:val="232B5318"/>
    <w:rsid w:val="23772805"/>
    <w:rsid w:val="23D87E04"/>
    <w:rsid w:val="242774E8"/>
    <w:rsid w:val="27694844"/>
    <w:rsid w:val="2939316F"/>
    <w:rsid w:val="2990403C"/>
    <w:rsid w:val="2AB5626E"/>
    <w:rsid w:val="2ADC7BCE"/>
    <w:rsid w:val="2C74649F"/>
    <w:rsid w:val="2D6C10BF"/>
    <w:rsid w:val="2DD8417C"/>
    <w:rsid w:val="2E3321D7"/>
    <w:rsid w:val="2F750B23"/>
    <w:rsid w:val="30EB3EBC"/>
    <w:rsid w:val="30EC3FB9"/>
    <w:rsid w:val="31007CBE"/>
    <w:rsid w:val="31A54B04"/>
    <w:rsid w:val="33A92038"/>
    <w:rsid w:val="33BC41F4"/>
    <w:rsid w:val="346050F4"/>
    <w:rsid w:val="34A703DD"/>
    <w:rsid w:val="350C06FE"/>
    <w:rsid w:val="37E11F45"/>
    <w:rsid w:val="37E20DD0"/>
    <w:rsid w:val="37E755C0"/>
    <w:rsid w:val="38382D41"/>
    <w:rsid w:val="386B62D8"/>
    <w:rsid w:val="38A21479"/>
    <w:rsid w:val="39686346"/>
    <w:rsid w:val="39DA0AD8"/>
    <w:rsid w:val="3A0D0213"/>
    <w:rsid w:val="3BF16250"/>
    <w:rsid w:val="3EC1457F"/>
    <w:rsid w:val="3FF80F69"/>
    <w:rsid w:val="401F5CD7"/>
    <w:rsid w:val="40E24633"/>
    <w:rsid w:val="411D561E"/>
    <w:rsid w:val="413D5DB9"/>
    <w:rsid w:val="41926CEF"/>
    <w:rsid w:val="432B7717"/>
    <w:rsid w:val="43561E74"/>
    <w:rsid w:val="43991A9C"/>
    <w:rsid w:val="45567EA2"/>
    <w:rsid w:val="45AB7E04"/>
    <w:rsid w:val="45BE271E"/>
    <w:rsid w:val="4602234A"/>
    <w:rsid w:val="47AB4990"/>
    <w:rsid w:val="48075F66"/>
    <w:rsid w:val="4822501C"/>
    <w:rsid w:val="49D2697F"/>
    <w:rsid w:val="4A07729A"/>
    <w:rsid w:val="4ACC35DE"/>
    <w:rsid w:val="4DB25601"/>
    <w:rsid w:val="4E007FED"/>
    <w:rsid w:val="4E4E33C3"/>
    <w:rsid w:val="4E731C2A"/>
    <w:rsid w:val="4ECE2F4E"/>
    <w:rsid w:val="4F866453"/>
    <w:rsid w:val="4F926824"/>
    <w:rsid w:val="4FE9039D"/>
    <w:rsid w:val="506A3A12"/>
    <w:rsid w:val="51044775"/>
    <w:rsid w:val="51691796"/>
    <w:rsid w:val="52A40DDE"/>
    <w:rsid w:val="52DE5DCC"/>
    <w:rsid w:val="5356037C"/>
    <w:rsid w:val="54C06AEC"/>
    <w:rsid w:val="55B91C8A"/>
    <w:rsid w:val="56706BBF"/>
    <w:rsid w:val="568F5A17"/>
    <w:rsid w:val="56A45B0B"/>
    <w:rsid w:val="57333930"/>
    <w:rsid w:val="57634ECE"/>
    <w:rsid w:val="57E5415F"/>
    <w:rsid w:val="585D4734"/>
    <w:rsid w:val="59073BDC"/>
    <w:rsid w:val="59903FF9"/>
    <w:rsid w:val="59A437E9"/>
    <w:rsid w:val="5A3F2060"/>
    <w:rsid w:val="5A5C71CA"/>
    <w:rsid w:val="5AFF00D2"/>
    <w:rsid w:val="5C9F4A7C"/>
    <w:rsid w:val="5D261C38"/>
    <w:rsid w:val="5D756766"/>
    <w:rsid w:val="5DDD25DC"/>
    <w:rsid w:val="5E5E0859"/>
    <w:rsid w:val="5EDD6A75"/>
    <w:rsid w:val="5FD83D60"/>
    <w:rsid w:val="608506D9"/>
    <w:rsid w:val="61734BF4"/>
    <w:rsid w:val="61955567"/>
    <w:rsid w:val="62012E27"/>
    <w:rsid w:val="62436F10"/>
    <w:rsid w:val="63E379E8"/>
    <w:rsid w:val="642164D8"/>
    <w:rsid w:val="652E1A85"/>
    <w:rsid w:val="65465D2D"/>
    <w:rsid w:val="66131E01"/>
    <w:rsid w:val="66241A3F"/>
    <w:rsid w:val="66A265E8"/>
    <w:rsid w:val="685E58EA"/>
    <w:rsid w:val="68744B53"/>
    <w:rsid w:val="688A2B8A"/>
    <w:rsid w:val="68CA50BE"/>
    <w:rsid w:val="694B17DF"/>
    <w:rsid w:val="69AC646F"/>
    <w:rsid w:val="69FB52E1"/>
    <w:rsid w:val="6B1E333A"/>
    <w:rsid w:val="6BB500B8"/>
    <w:rsid w:val="6C3D160F"/>
    <w:rsid w:val="6C757A87"/>
    <w:rsid w:val="6D552732"/>
    <w:rsid w:val="6ED64941"/>
    <w:rsid w:val="70F76A73"/>
    <w:rsid w:val="7197289F"/>
    <w:rsid w:val="74C17C19"/>
    <w:rsid w:val="74EA3592"/>
    <w:rsid w:val="766E1D26"/>
    <w:rsid w:val="76EC0410"/>
    <w:rsid w:val="77787693"/>
    <w:rsid w:val="77895C6A"/>
    <w:rsid w:val="77AC5CE9"/>
    <w:rsid w:val="784D4189"/>
    <w:rsid w:val="79EA602F"/>
    <w:rsid w:val="7A056106"/>
    <w:rsid w:val="7B6246D4"/>
    <w:rsid w:val="7BB011F7"/>
    <w:rsid w:val="7C4232EA"/>
    <w:rsid w:val="7E1410FF"/>
    <w:rsid w:val="7E65414B"/>
    <w:rsid w:val="7EAC34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qFormat="1"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kern w:val="44"/>
      <w:sz w:val="48"/>
      <w:szCs w:val="48"/>
      <w:lang w:val="en-US" w:eastAsia="zh-CN" w:bidi="ar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alloon Text"/>
    <w:basedOn w:val="1"/>
    <w:qFormat/>
    <w:uiPriority w:val="0"/>
    <w:rPr>
      <w:sz w:val="18"/>
    </w:rPr>
  </w:style>
  <w:style w:type="paragraph" w:styleId="4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7">
    <w:name w:val="Strong"/>
    <w:basedOn w:val="6"/>
    <w:qFormat/>
    <w:uiPriority w:val="0"/>
    <w:rPr>
      <w:b/>
    </w:rPr>
  </w:style>
  <w:style w:type="character" w:styleId="8">
    <w:name w:val="Hyperlink"/>
    <w:basedOn w:val="6"/>
    <w:qFormat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customXml" Target="../customXml/item1.xml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1" Type="http://schemas.openxmlformats.org/officeDocument/2006/relationships/fontTable" Target="fontTable.xml"/><Relationship Id="rId10" Type="http://schemas.openxmlformats.org/officeDocument/2006/relationships/numbering" Target="numbering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12</TotalTime>
  <ScaleCrop>false</ScaleCrop>
  <LinksUpToDate>false</LinksUpToDate>
  <CharactersWithSpaces>0</CharactersWithSpaces>
  <Application>WPS Office_11.8.2.10393_F1E327BC-269C-435d-A152-05C5408002CA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2021-07-23T09:12:00Z</dcterms:created>
  <dc:creator>lenovo</dc:creator>
  <cp:lastModifiedBy>xixima</cp:lastModifiedBy>
  <cp:lastPrinted>2025-02-08T08:28:00Z</cp:lastPrinted>
  <dcterms:modified xsi:type="dcterms:W3CDTF">2025-02-13T07:54:12Z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2052-11.8.2.10393</vt:lpwstr>
  </property>
  <property fmtid="{D5CDD505-2E9C-101B-9397-08002B2CF9AE}" pid="3" name="ICV">
    <vt:lpwstr>494ABBD1E44A4840A1B710D3BA291B76</vt:lpwstr>
  </property>
</Properties>
</file>