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一、核心性能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激光与检测器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至少4根固态激光器，包括405nm、488nm、561nm、640nm。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至少15个荧光检测通道，各激光器独立工作。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灵敏度与分辨率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可检测≤80nm颗粒，适用于外泌体、病毒等微小颗粒。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FITC、PE、APC荧光灵敏度达到常规高标准。</w:t>
      </w:r>
      <w:bookmarkStart w:id="0" w:name="_GoBack"/>
      <w:bookmarkEnd w:id="0"/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分选功能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支持4路分选，具备富集、纯度、单细胞、混合分选模式。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支持不加电垂直分选，适用于多孔板、深孔板。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系统独立性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分析与分选为独立系统，可同步进行不同实验。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二、分析性能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荧光补偿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支持全自动补偿，在线/脱机均可，具备荧光补偿库。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光学系统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采用高效分光与检测技术，确保信号精度≥24-bit。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三、分选性能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速度与效率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最大分析速度≥40,000 events/s。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分选纯度≥99%，分选活率≥90%（在30,000 events/s条件下）。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自动化功能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支持自动开关机、自动液滴延迟调节，无需微球校准。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应用支持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具备侧群（SP）细胞检测能力。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四、液流系统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激发方式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采用石英杯激发，固定光路，鞘压≤15 psi（适配100µm喷嘴）。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气泡处理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具备在线气泡检测与自动排除功能。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泵系统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内置防振静音泵，无需外接压力/真空装置。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五、软件与兼容性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软件功能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中英文分析软件，支持远程诊断与操作。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分析仪配套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提供一台流式分析仪，至少3激光10色，可升级。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分析仪与分选仪数据兼容，方案可直接导出使用。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分辨率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分析仪散射光分辨率≤80nm，支持外泌体分析。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六、基本配置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流式细胞分选仪主机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1台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流式分析仪主机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1台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分析软件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2套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质控微球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不低于3支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清洗液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不低于5桶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鞘液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不低于5桶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流式管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不低于5000支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关机液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不低于5桶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其他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七、质保不低于5年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F1588"/>
    <w:rsid w:val="7337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2025-10-27T07:36:14Z</dcterms:created>
  <dc:creator>Admin</dc:creator>
  <cp:lastModifiedBy>邓思建</cp:lastModifiedBy>
  <dcterms:modified xsi:type="dcterms:W3CDTF">2025-10-27T07:43:02Z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0DCADEAF00874C9E99173B07707D9025</vt:lpwstr>
  </property>
</Properties>
</file>